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420E6" w14:textId="77777777" w:rsidR="00954215" w:rsidRDefault="008B6E86" w:rsidP="00954215">
      <w:pPr>
        <w:spacing w:line="276" w:lineRule="auto"/>
        <w:rPr>
          <w:rFonts w:ascii="Times New Roman" w:hAnsi="Times New Roman" w:cs="Times New Roman"/>
        </w:rPr>
      </w:pPr>
      <w:r w:rsidRPr="00C604B7">
        <w:rPr>
          <w:rFonts w:ascii="Times New Roman" w:hAnsi="Times New Roman" w:cs="Times New Roman"/>
          <w:b/>
          <w:bCs/>
          <w:sz w:val="32"/>
          <w:szCs w:val="32"/>
        </w:rPr>
        <w:t>StratusLink Campaign Performance Summary</w:t>
      </w:r>
    </w:p>
    <w:p w14:paraId="7EACBE8D" w14:textId="2F5EC051" w:rsidR="008B6E86" w:rsidRPr="008B6E86" w:rsidRDefault="008B6E86" w:rsidP="00954215">
      <w:pPr>
        <w:spacing w:line="276" w:lineRule="auto"/>
        <w:rPr>
          <w:rFonts w:ascii="Times New Roman" w:hAnsi="Times New Roman" w:cs="Times New Roman"/>
        </w:rPr>
      </w:pPr>
      <w:r w:rsidRPr="008B6E86">
        <w:rPr>
          <w:rFonts w:ascii="Times New Roman" w:hAnsi="Times New Roman" w:cs="Times New Roman"/>
        </w:rPr>
        <w:t>StratusLink Communications’ digital advertising analysis provided a comprehensive view of where the campaign excelled and where major optimization opportunities exist across geography, audience behavior, creative performance, and publisher inventory. Florida emerged as the strongest state overall, delivering 7.9 million viewable impressions and the highest CTR at 16.2%, signaling exceptional engagement and strong ad placement. Connecticut also performed well with 14.9% CTR, though its 41.2% viewability revealed placement inefficiencies that should be addressed to unlock its full potential. Regionally, the Northeast led with 13.11% CTR, indicating the strongest engagement nationwide, while the West achieved the highest 48.9% viewability, making both regions high-priority targets for scaling. Suburban environments produced the strongest combination of reach and efficiency, generating 78.6 million impressions, a 12.78% CTR, and nearly 49.3% viewability, outperforming both urban and rural areas.</w:t>
      </w:r>
      <w:r w:rsidR="00B90A15">
        <w:rPr>
          <w:rFonts w:ascii="Times New Roman" w:hAnsi="Times New Roman" w:cs="Times New Roman"/>
        </w:rPr>
        <w:t xml:space="preserve"> </w:t>
      </w:r>
      <w:r w:rsidRPr="008B6E86">
        <w:rPr>
          <w:rFonts w:ascii="Times New Roman" w:hAnsi="Times New Roman" w:cs="Times New Roman"/>
        </w:rPr>
        <w:t xml:space="preserve">Meanwhile, rural regions significantly </w:t>
      </w:r>
      <w:r w:rsidR="00B90A15" w:rsidRPr="008B6E86">
        <w:rPr>
          <w:rFonts w:ascii="Times New Roman" w:hAnsi="Times New Roman" w:cs="Times New Roman"/>
        </w:rPr>
        <w:t>underperformed</w:t>
      </w:r>
      <w:r w:rsidRPr="008B6E86">
        <w:rPr>
          <w:rFonts w:ascii="Times New Roman" w:hAnsi="Times New Roman" w:cs="Times New Roman"/>
        </w:rPr>
        <w:t xml:space="preserve"> CTR, impressions, and viewability and should be carefully re-evaluated before future investment. From an audience perspective, users aged 18–30 consistently showed the best cost efficiency with lower CPA and higher CVR, and mobile devices especially smartphones outperformed desktops with lower CPA and CPM across all major segments. Creative testing reinforced the dominance of the 728×90px format, which delivered the lowest CPA, strong engagement, and the best conversion results achieving a remarkable 84.21% CVR in Connecticut and 79.56% CVR in New Mexico when paired with the winning “Get Unlimited” message. Publisher analysis further highlighted performance gaps in inventory quality: WebMD (55.03% viewability), Architectural Digest (54.31%), Food52 (52.50%), Sports Yahoo (51.50%), and Houzz (51.04%) were the top-performing partners delivering high visibility and consistent CTR/CVR, while publishers like Billboard, Expedia, and Instyle consistently underperformed and failed to meet the 60% viewability target, making them low-priority for future buys. These insights collectively support a strategy that reallocates spending toward the strongest regions, suburban environments, mobile-first audiences, and premium publishers, while focusing on high-performing months such as March, April, May, August, and September to maximize engagement and efficiency. Leveraging the standout 72890px creative and eliminating wasteful inventory will help StratusLink significantly improve viewability, scale conversions, and deliver a more cost-effective advertising strategy across all markets.</w:t>
      </w:r>
    </w:p>
    <w:p w14:paraId="57FE0B17" w14:textId="62B629FE" w:rsidR="00C777CF" w:rsidRPr="008B6E86" w:rsidRDefault="00C777CF">
      <w:pPr>
        <w:rPr>
          <w:rFonts w:ascii="Times New Roman" w:hAnsi="Times New Roman" w:cs="Times New Roman"/>
        </w:rPr>
      </w:pPr>
    </w:p>
    <w:sectPr w:rsidR="00C777CF" w:rsidRPr="008B6E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7D67B2"/>
    <w:multiLevelType w:val="multilevel"/>
    <w:tmpl w:val="C7E66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2596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E86"/>
    <w:rsid w:val="00377D5D"/>
    <w:rsid w:val="008B6E86"/>
    <w:rsid w:val="00954215"/>
    <w:rsid w:val="00B90A15"/>
    <w:rsid w:val="00BB685F"/>
    <w:rsid w:val="00C604B7"/>
    <w:rsid w:val="00C777CF"/>
    <w:rsid w:val="00E9511F"/>
    <w:rsid w:val="00F619AB"/>
    <w:rsid w:val="00FD15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0B1D9"/>
  <w15:chartTrackingRefBased/>
  <w15:docId w15:val="{610E2A3C-E32C-43D4-AC69-BC799A561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6E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6E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6E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6E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6E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6E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6E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6E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6E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6E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6E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6E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6E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6E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6E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6E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6E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6E86"/>
    <w:rPr>
      <w:rFonts w:eastAsiaTheme="majorEastAsia" w:cstheme="majorBidi"/>
      <w:color w:val="272727" w:themeColor="text1" w:themeTint="D8"/>
    </w:rPr>
  </w:style>
  <w:style w:type="paragraph" w:styleId="Title">
    <w:name w:val="Title"/>
    <w:basedOn w:val="Normal"/>
    <w:next w:val="Normal"/>
    <w:link w:val="TitleChar"/>
    <w:uiPriority w:val="10"/>
    <w:qFormat/>
    <w:rsid w:val="008B6E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6E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6E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6E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6E86"/>
    <w:pPr>
      <w:spacing w:before="160"/>
      <w:jc w:val="center"/>
    </w:pPr>
    <w:rPr>
      <w:i/>
      <w:iCs/>
      <w:color w:val="404040" w:themeColor="text1" w:themeTint="BF"/>
    </w:rPr>
  </w:style>
  <w:style w:type="character" w:customStyle="1" w:styleId="QuoteChar">
    <w:name w:val="Quote Char"/>
    <w:basedOn w:val="DefaultParagraphFont"/>
    <w:link w:val="Quote"/>
    <w:uiPriority w:val="29"/>
    <w:rsid w:val="008B6E86"/>
    <w:rPr>
      <w:i/>
      <w:iCs/>
      <w:color w:val="404040" w:themeColor="text1" w:themeTint="BF"/>
    </w:rPr>
  </w:style>
  <w:style w:type="paragraph" w:styleId="ListParagraph">
    <w:name w:val="List Paragraph"/>
    <w:basedOn w:val="Normal"/>
    <w:uiPriority w:val="34"/>
    <w:qFormat/>
    <w:rsid w:val="008B6E86"/>
    <w:pPr>
      <w:ind w:left="720"/>
      <w:contextualSpacing/>
    </w:pPr>
  </w:style>
  <w:style w:type="character" w:styleId="IntenseEmphasis">
    <w:name w:val="Intense Emphasis"/>
    <w:basedOn w:val="DefaultParagraphFont"/>
    <w:uiPriority w:val="21"/>
    <w:qFormat/>
    <w:rsid w:val="008B6E86"/>
    <w:rPr>
      <w:i/>
      <w:iCs/>
      <w:color w:val="0F4761" w:themeColor="accent1" w:themeShade="BF"/>
    </w:rPr>
  </w:style>
  <w:style w:type="paragraph" w:styleId="IntenseQuote">
    <w:name w:val="Intense Quote"/>
    <w:basedOn w:val="Normal"/>
    <w:next w:val="Normal"/>
    <w:link w:val="IntenseQuoteChar"/>
    <w:uiPriority w:val="30"/>
    <w:qFormat/>
    <w:rsid w:val="008B6E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6E86"/>
    <w:rPr>
      <w:i/>
      <w:iCs/>
      <w:color w:val="0F4761" w:themeColor="accent1" w:themeShade="BF"/>
    </w:rPr>
  </w:style>
  <w:style w:type="character" w:styleId="IntenseReference">
    <w:name w:val="Intense Reference"/>
    <w:basedOn w:val="DefaultParagraphFont"/>
    <w:uiPriority w:val="32"/>
    <w:qFormat/>
    <w:rsid w:val="008B6E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402</Words>
  <Characters>2297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Sekou Bangoura</dc:creator>
  <cp:keywords/>
  <dc:description/>
  <cp:lastModifiedBy>Sekou Bangoura</cp:lastModifiedBy>
  <cp:revision>4</cp:revision>
  <dcterms:created xsi:type="dcterms:W3CDTF">2025-11-30T02:33:00Z</dcterms:created>
  <dcterms:modified xsi:type="dcterms:W3CDTF">2025-11-30T02:48:00Z</dcterms:modified>
</cp:coreProperties>
</file>