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006/drop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Sabtu,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08,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2022-01-08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Obat Batuk Hitam sirup (OBH)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8,58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500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125 mg/5 ml - 60 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3,63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Kaptopril 25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