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2955.43654365436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560"/>
        <w:gridCol w:w="4782.718271827182"/>
        <w:gridCol w:w="4782.718271827182"/>
        <w:tblGridChange w:id="0">
          <w:tblGrid>
            <w:gridCol w:w="1830"/>
            <w:gridCol w:w="1560"/>
            <w:gridCol w:w="4782.718271827182"/>
            <w:gridCol w:w="4782.7182718271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Why it would be helpful for research on toxic facilities: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Viol_type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 Other than Serious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 Serious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 Willful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 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rtl w:val="0"/>
              </w:rPr>
              <w:t xml:space="preserve">Other than serious - “</w:t>
            </w:r>
            <w:r w:rsidDel="00000000" w:rsidR="00000000" w:rsidRPr="00000000">
              <w:rPr>
                <w:color w:val="333333"/>
                <w:highlight w:val="white"/>
                <w:rtl w:val="0"/>
              </w:rPr>
              <w:t xml:space="preserve">A violation that has a direct relationship to job safety and health, but is not serious in nature, is classified as "other-than-serious."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Serious - “A serious violation exists when the workplace hazard could cause an accident or illness that would most likely result in death or serious physical harm, unless the employer did not know or could not have known of the violation.”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Willful - “A willful violation is defined as a violation in which the employer either knowingly failed to comply with a legal requirement (purposeful disregard) or acted with plain indifference to employee safety.”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Repeated - “A Federal agency may be cited for a repeated violation if the agency has been cited previously for the same or a substantially similar condition and, for a serious violation, OSHA's regionwide (see last page) inspection history for the agency lists a previous OSHA Notice issued within the past five years; or, for an other-than-serious violation, the establishment being inspected received a previous OSHA Notice issued within the past five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variable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   R   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595  13 189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this 32% of the prisons had a serious violation.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useful for identifying the most hazardous facilities in tandem with the other variables.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common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3203</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5193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5199</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3395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5142</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5144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19100305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19100303</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5194</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3328</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3314</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1529</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3273</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3328</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342</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5162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OSHA standard violated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3203 - </w:t>
            </w:r>
            <w:hyperlink r:id="rId7">
              <w:r w:rsidDel="00000000" w:rsidR="00000000" w:rsidRPr="00000000">
                <w:rPr>
                  <w:color w:val="1155cc"/>
                  <w:u w:val="single"/>
                  <w:rtl w:val="0"/>
                </w:rPr>
                <w:t xml:space="preserve">Injury and Illness Prevention Program</w:t>
              </w:r>
            </w:hyperlink>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3362 - </w:t>
            </w:r>
            <w:hyperlink r:id="rId8">
              <w:r w:rsidDel="00000000" w:rsidR="00000000" w:rsidRPr="00000000">
                <w:rPr>
                  <w:color w:val="1155cc"/>
                  <w:u w:val="single"/>
                  <w:rtl w:val="0"/>
                </w:rPr>
                <w:t xml:space="preserve">General Requirements (under Sanitation)</w:t>
              </w:r>
            </w:hyperlink>
            <w:r w:rsidDel="00000000" w:rsidR="00000000" w:rsidRPr="00000000">
              <w:rPr>
                <w:rtl w:val="0"/>
              </w:rPr>
              <w:t xml:space="preserve"> - it might be interesting to look at the sub letters because some are related to vermin, waste, sweeping etc. </w:t>
            </w:r>
          </w:p>
          <w:p w:rsidR="00000000" w:rsidDel="00000000" w:rsidP="00000000" w:rsidRDefault="00000000" w:rsidRPr="00000000" w14:paraId="00000038">
            <w:pPr>
              <w:widowControl w:val="0"/>
              <w:spacing w:line="240" w:lineRule="auto"/>
              <w:rPr/>
            </w:pPr>
            <w:r w:rsidDel="00000000" w:rsidR="00000000" w:rsidRPr="00000000">
              <w:rPr>
                <w:rtl w:val="0"/>
              </w:rPr>
              <w:t xml:space="preserve">5193 - </w:t>
            </w:r>
            <w:hyperlink r:id="rId9">
              <w:r w:rsidDel="00000000" w:rsidR="00000000" w:rsidRPr="00000000">
                <w:rPr>
                  <w:color w:val="1155cc"/>
                  <w:u w:val="single"/>
                  <w:rtl w:val="0"/>
                </w:rPr>
                <w:t xml:space="preserve">Bloodborne Pathogens</w:t>
              </w:r>
            </w:hyperlink>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5199 - </w:t>
            </w:r>
            <w:hyperlink r:id="rId10">
              <w:r w:rsidDel="00000000" w:rsidR="00000000" w:rsidRPr="00000000">
                <w:rPr>
                  <w:color w:val="1155cc"/>
                  <w:u w:val="single"/>
                  <w:rtl w:val="0"/>
                </w:rPr>
                <w:t xml:space="preserve">Aerosol Transmissible Diseases </w:t>
              </w:r>
            </w:hyperlink>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3395 - </w:t>
            </w:r>
            <w:hyperlink r:id="rId11">
              <w:r w:rsidDel="00000000" w:rsidR="00000000" w:rsidRPr="00000000">
                <w:rPr>
                  <w:color w:val="1155cc"/>
                  <w:u w:val="single"/>
                  <w:rtl w:val="0"/>
                </w:rPr>
                <w:t xml:space="preserve">Heat Illness Prevention</w:t>
              </w:r>
            </w:hyperlink>
            <w:r w:rsidDel="00000000" w:rsidR="00000000" w:rsidRPr="00000000">
              <w:rPr>
                <w:rtl w:val="0"/>
              </w:rPr>
              <w:t xml:space="preserve"> </w:t>
            </w:r>
          </w:p>
          <w:p w:rsidR="00000000" w:rsidDel="00000000" w:rsidP="00000000" w:rsidRDefault="00000000" w:rsidRPr="00000000" w14:paraId="0000003B">
            <w:pPr>
              <w:widowControl w:val="0"/>
              <w:spacing w:line="240" w:lineRule="auto"/>
              <w:rPr/>
            </w:pPr>
            <w:r w:rsidDel="00000000" w:rsidR="00000000" w:rsidRPr="00000000">
              <w:rPr>
                <w:rtl w:val="0"/>
              </w:rPr>
              <w:t xml:space="preserve">5142 - </w:t>
            </w:r>
            <w:hyperlink r:id="rId12">
              <w:r w:rsidDel="00000000" w:rsidR="00000000" w:rsidRPr="00000000">
                <w:rPr>
                  <w:color w:val="1155cc"/>
                  <w:u w:val="single"/>
                  <w:rtl w:val="0"/>
                </w:rPr>
                <w:t xml:space="preserve">HVAC systems (under Dusts, Fumes, Mists, Vapors, and Gases)</w:t>
              </w:r>
            </w:hyperlink>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5144 - </w:t>
            </w:r>
            <w:hyperlink r:id="rId13">
              <w:r w:rsidDel="00000000" w:rsidR="00000000" w:rsidRPr="00000000">
                <w:rPr>
                  <w:color w:val="1155cc"/>
                  <w:u w:val="single"/>
                  <w:rtl w:val="0"/>
                </w:rPr>
                <w:t xml:space="preserve">Respiratory Protection</w:t>
              </w:r>
            </w:hyperlink>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19100305 - </w:t>
            </w:r>
            <w:hyperlink r:id="rId14">
              <w:r w:rsidDel="00000000" w:rsidR="00000000" w:rsidRPr="00000000">
                <w:rPr>
                  <w:color w:val="1155cc"/>
                  <w:u w:val="single"/>
                  <w:rtl w:val="0"/>
                </w:rPr>
                <w:t xml:space="preserve">Writing methods, components, and equipment for general use</w:t>
              </w:r>
            </w:hyperlink>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19100303 - </w:t>
            </w:r>
            <w:hyperlink r:id="rId15">
              <w:r w:rsidDel="00000000" w:rsidR="00000000" w:rsidRPr="00000000">
                <w:rPr>
                  <w:color w:val="1155cc"/>
                  <w:u w:val="single"/>
                  <w:rtl w:val="0"/>
                </w:rPr>
                <w:t xml:space="preserve">Design Safety for Electrical Systems - General</w:t>
              </w:r>
            </w:hyperlink>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5194 - </w:t>
            </w:r>
            <w:hyperlink r:id="rId16">
              <w:r w:rsidDel="00000000" w:rsidR="00000000" w:rsidRPr="00000000">
                <w:rPr>
                  <w:color w:val="1155cc"/>
                  <w:u w:val="single"/>
                  <w:rtl w:val="0"/>
                </w:rPr>
                <w:t xml:space="preserve">Hazard Communication</w:t>
              </w:r>
            </w:hyperlink>
            <w:r w:rsidDel="00000000" w:rsidR="00000000" w:rsidRPr="00000000">
              <w:rPr>
                <w:rtl w:val="0"/>
              </w:rPr>
              <w:t xml:space="preserve"> </w:t>
            </w:r>
          </w:p>
          <w:p w:rsidR="00000000" w:rsidDel="00000000" w:rsidP="00000000" w:rsidRDefault="00000000" w:rsidRPr="00000000" w14:paraId="00000040">
            <w:pPr>
              <w:widowControl w:val="0"/>
              <w:spacing w:line="240" w:lineRule="auto"/>
              <w:rPr/>
            </w:pPr>
            <w:r w:rsidDel="00000000" w:rsidR="00000000" w:rsidRPr="00000000">
              <w:rPr>
                <w:rtl w:val="0"/>
              </w:rPr>
              <w:t xml:space="preserve">3328 - </w:t>
            </w:r>
            <w:hyperlink r:id="rId17">
              <w:r w:rsidDel="00000000" w:rsidR="00000000" w:rsidRPr="00000000">
                <w:rPr>
                  <w:color w:val="1155cc"/>
                  <w:u w:val="single"/>
                  <w:rtl w:val="0"/>
                </w:rPr>
                <w:t xml:space="preserve">Machinery and Equipment</w:t>
              </w:r>
            </w:hyperlink>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3314 - </w:t>
            </w:r>
            <w:hyperlink r:id="rId18">
              <w:r w:rsidDel="00000000" w:rsidR="00000000" w:rsidRPr="00000000">
                <w:rPr>
                  <w:color w:val="1155cc"/>
                  <w:u w:val="single"/>
                  <w:rtl w:val="0"/>
                </w:rPr>
                <w:t xml:space="preserve">Control of cleaning/repairing/servicing machinery</w:t>
              </w:r>
            </w:hyperlink>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1529 - </w:t>
            </w:r>
            <w:hyperlink r:id="rId19">
              <w:r w:rsidDel="00000000" w:rsidR="00000000" w:rsidRPr="00000000">
                <w:rPr>
                  <w:color w:val="1155cc"/>
                  <w:u w:val="single"/>
                  <w:rtl w:val="0"/>
                </w:rPr>
                <w:t xml:space="preserve">Asbestos </w:t>
              </w:r>
            </w:hyperlink>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3273 - </w:t>
            </w:r>
            <w:hyperlink r:id="rId20">
              <w:r w:rsidDel="00000000" w:rsidR="00000000" w:rsidRPr="00000000">
                <w:rPr>
                  <w:color w:val="1155cc"/>
                  <w:u w:val="single"/>
                  <w:rtl w:val="0"/>
                </w:rPr>
                <w:t xml:space="preserve">Working area (slipping/falling hazards)</w:t>
              </w:r>
            </w:hyperlink>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342 - </w:t>
            </w:r>
            <w:hyperlink r:id="rId21">
              <w:r w:rsidDel="00000000" w:rsidR="00000000" w:rsidRPr="00000000">
                <w:rPr>
                  <w:color w:val="1155cc"/>
                  <w:u w:val="single"/>
                  <w:rtl w:val="0"/>
                </w:rPr>
                <w:t xml:space="preserve">Reporting work-related fatalities and serious injuries</w:t>
              </w:r>
            </w:hyperlink>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5162 - </w:t>
            </w:r>
            <w:hyperlink r:id="rId22">
              <w:r w:rsidDel="00000000" w:rsidR="00000000" w:rsidRPr="00000000">
                <w:rPr>
                  <w:color w:val="1155cc"/>
                  <w:u w:val="single"/>
                  <w:rtl w:val="0"/>
                </w:rPr>
                <w:t xml:space="preserve">Emergency eyewash and shower equipment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defines the standard violated in the facility. Useful for categorizing type of hazard in place. Requires recoding.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are the most common?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collected this data pre-covid. Might be interesting for someone to look at exposures.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some of these related to Valley fever?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of these would be issues for prisoners in addition to employees.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Current_penalty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Initial_penalty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Nr_instances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show toxicity is there are greater number of instances, particularly, greater number of instances of chemical exposure.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Nr_exposed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employees exposed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Useful for understanding the potential scope of the violation. While a hazard experienced by one person is unacceptable in its own right, the exposure of 100s or 1000s of people is extremely concerning.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of gravity for serious viol - 01-10.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low gravity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moderate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high gravity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3 which we don’t know what it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the gravity rankings correspond to the penalty amounts?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manual - Serious Violation &amp; GBP (gravity based penalty). a. The gravity of a violation is defined by the GBP:  A high gravity violation is one with a GBP of $12,471.  A moderate gravity violation is one with a GBP ranging from $7,126 to $10,689.  A low gravity violation is one with a GBP of $5,345.</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this the case?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 = Accident</w:t>
            </w:r>
          </w:p>
          <w:p w:rsidR="00000000" w:rsidDel="00000000" w:rsidP="00000000" w:rsidRDefault="00000000" w:rsidRPr="00000000" w14:paraId="00000075">
            <w:pPr>
              <w:widowControl w:val="0"/>
              <w:spacing w:line="240" w:lineRule="auto"/>
              <w:rPr/>
            </w:pPr>
            <w:r w:rsidDel="00000000" w:rsidR="00000000" w:rsidRPr="00000000">
              <w:rPr>
                <w:rtl w:val="0"/>
              </w:rPr>
              <w:t xml:space="preserve">C = Complaint</w:t>
            </w:r>
          </w:p>
          <w:p w:rsidR="00000000" w:rsidDel="00000000" w:rsidP="00000000" w:rsidRDefault="00000000" w:rsidRPr="00000000" w14:paraId="00000076">
            <w:pPr>
              <w:widowControl w:val="0"/>
              <w:spacing w:line="240" w:lineRule="auto"/>
              <w:rPr/>
            </w:pPr>
            <w:r w:rsidDel="00000000" w:rsidR="00000000" w:rsidRPr="00000000">
              <w:rPr>
                <w:rtl w:val="0"/>
              </w:rPr>
              <w:t xml:space="preserve">I = Imminent Danger </w:t>
            </w:r>
          </w:p>
          <w:p w:rsidR="00000000" w:rsidDel="00000000" w:rsidP="00000000" w:rsidRDefault="00000000" w:rsidRPr="00000000" w14:paraId="00000077">
            <w:pPr>
              <w:widowControl w:val="0"/>
              <w:spacing w:line="240" w:lineRule="auto"/>
              <w:rPr/>
            </w:pPr>
            <w:r w:rsidDel="00000000" w:rsidR="00000000" w:rsidRPr="00000000">
              <w:rPr>
                <w:rtl w:val="0"/>
              </w:rPr>
              <w:t xml:space="preserve">R = Referral</w:t>
            </w:r>
          </w:p>
          <w:p w:rsidR="00000000" w:rsidDel="00000000" w:rsidP="00000000" w:rsidRDefault="00000000" w:rsidRPr="00000000" w14:paraId="00000078">
            <w:pPr>
              <w:widowControl w:val="0"/>
              <w:spacing w:line="240" w:lineRule="auto"/>
              <w:rPr/>
            </w:pPr>
            <w:r w:rsidDel="00000000" w:rsidR="00000000" w:rsidRPr="00000000">
              <w:rPr>
                <w:rtl w:val="0"/>
              </w:rPr>
              <w:t xml:space="preserve">V =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hyperlink r:id="rId24">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hyperlink r:id="rId2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A = Accident - </w:t>
            </w:r>
            <w:r w:rsidDel="00000000" w:rsidR="00000000" w:rsidRPr="00000000">
              <w:rPr>
                <w:color w:val="333333"/>
                <w:sz w:val="23"/>
                <w:szCs w:val="23"/>
                <w:highlight w:val="white"/>
                <w:rtl w:val="0"/>
              </w:rPr>
              <w:t xml:space="preserve">Reports of accidents resulting in serious injury or illness or death.</w:t>
            </w: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C = Complaint -</w:t>
            </w:r>
            <w:r w:rsidDel="00000000" w:rsidR="00000000" w:rsidRPr="00000000">
              <w:rPr>
                <w:color w:val="333333"/>
                <w:sz w:val="23"/>
                <w:szCs w:val="23"/>
                <w:highlight w:val="white"/>
                <w:rtl w:val="0"/>
              </w:rPr>
              <w:t xml:space="preserve">Complaints of workplace hazards filed by employees, employee representatives, and others. Reports of serious violations received from law enforcement.</w:t>
            </w: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sz w:val="21"/>
                <w:szCs w:val="21"/>
                <w:highlight w:val="white"/>
              </w:rPr>
            </w:pPr>
            <w:r w:rsidDel="00000000" w:rsidR="00000000" w:rsidRPr="00000000">
              <w:rPr>
                <w:rtl w:val="0"/>
              </w:rPr>
              <w:t xml:space="preserve">I =</w:t>
            </w:r>
            <w:hyperlink r:id="rId26">
              <w:r w:rsidDel="00000000" w:rsidR="00000000" w:rsidRPr="00000000">
                <w:rPr>
                  <w:color w:val="1155cc"/>
                  <w:u w:val="single"/>
                  <w:rtl w:val="0"/>
                </w:rPr>
                <w:t xml:space="preserve"> Imminent Danger </w:t>
              </w:r>
            </w:hyperlink>
            <w:r w:rsidDel="00000000" w:rsidR="00000000" w:rsidRPr="00000000">
              <w:rPr>
                <w:rtl w:val="0"/>
              </w:rPr>
              <w:t xml:space="preserve">- </w:t>
            </w:r>
            <w:r w:rsidDel="00000000" w:rsidR="00000000" w:rsidRPr="00000000">
              <w:rPr>
                <w:sz w:val="21"/>
                <w:szCs w:val="21"/>
                <w:highlight w:val="white"/>
                <w:rtl w:val="0"/>
              </w:rPr>
              <w:t xml:space="preserve">"... any conditions or practices in any place of employment which are such that a danger exists which could reasonably be expected to cause death or serious physical harm immediately or before the imminence of such danger can be eliminated through the enforcement procedures otherwise provided by this Act."</w:t>
            </w:r>
          </w:p>
          <w:p w:rsidR="00000000" w:rsidDel="00000000" w:rsidP="00000000" w:rsidRDefault="00000000" w:rsidRPr="00000000" w14:paraId="00000082">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R =</w:t>
            </w:r>
            <w:hyperlink r:id="rId27">
              <w:r w:rsidDel="00000000" w:rsidR="00000000" w:rsidRPr="00000000">
                <w:rPr>
                  <w:color w:val="1155cc"/>
                  <w:u w:val="single"/>
                  <w:rtl w:val="0"/>
                </w:rPr>
                <w:t xml:space="preserve"> Referral</w:t>
              </w:r>
            </w:hyperlink>
            <w:r w:rsidDel="00000000" w:rsidR="00000000" w:rsidRPr="00000000">
              <w:rPr>
                <w:rtl w:val="0"/>
              </w:rPr>
              <w:t xml:space="preserve"> - A referral to the Division of Occupational Safety and Health is distinguished from a complaint to the Division solely by the source providing the information about the potentially hazardous workplace condition Information about a potentially hazardous workplace condition originating from a non-governmental organizational entity, like print or electronic news organizations, shall be categorized as a referral. There are also referrals from within Cal/OSHA. </w:t>
            </w: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V =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of this information is blank.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C   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701  27  68   1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296 - NAs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it stands none were imminent danger.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9999" w:val="clear"/>
              </w:rPr>
            </w:pPr>
            <w:r w:rsidDel="00000000" w:rsidR="00000000" w:rsidRPr="00000000">
              <w:rPr>
                <w:shd w:fill="ea9999" w:val="clear"/>
                <w:rtl w:val="0"/>
              </w:rPr>
              <w:t xml:space="preserve">Why are so many blank?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FTA_penalty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failure to abate exists when a previously cited violation continues unabated and the abatement date has passed or the abatement date is covered under a settlement agreement, or the employer has not complied with interim measures within the allotted time specified in a long-term abatement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only 9 of these.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Hist_penalty.1 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says this is the amount assessed. But that doesn’t seem to be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w:t>
            </w:r>
            <w:hyperlink r:id="rId29">
              <w:r w:rsidDel="00000000" w:rsidR="00000000" w:rsidRPr="00000000">
                <w:rPr>
                  <w:color w:val="1155cc"/>
                  <w:u w:val="single"/>
                  <w:rtl w:val="0"/>
                </w:rPr>
                <w:t xml:space="preserve">this prison</w:t>
              </w:r>
            </w:hyperlink>
            <w:r w:rsidDel="00000000" w:rsidR="00000000" w:rsidRPr="00000000">
              <w:rPr>
                <w:rtl w:val="0"/>
              </w:rPr>
              <w:t xml:space="preserve"> hist_penalty1 for one of the violations is the initial abate penalty (not the initital_penalty actually) they assigned. But hist_penalty_1 for another violation is the actual amount they paid.  While hist_penaty_2 is the initial amount.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does not seem to be consistent. Sometime it is current penalty and sometimes it is initial penalty. It’s only useful if you compare dates so you understand what you are looking at.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Hazsub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1340 - Gasoline</w:t>
            </w:r>
          </w:p>
          <w:p w:rsidR="00000000" w:rsidDel="00000000" w:rsidP="00000000" w:rsidRDefault="00000000" w:rsidRPr="00000000" w14:paraId="000000A0">
            <w:pPr>
              <w:widowControl w:val="0"/>
              <w:spacing w:line="240" w:lineRule="auto"/>
              <w:rPr/>
            </w:pPr>
            <w:r w:rsidDel="00000000" w:rsidR="00000000" w:rsidRPr="00000000">
              <w:rPr>
                <w:rtl w:val="0"/>
              </w:rPr>
              <w:t xml:space="preserve">1430 - hydrogen chloride</w:t>
            </w:r>
          </w:p>
          <w:p w:rsidR="00000000" w:rsidDel="00000000" w:rsidP="00000000" w:rsidRDefault="00000000" w:rsidRPr="00000000" w14:paraId="000000A1">
            <w:pPr>
              <w:widowControl w:val="0"/>
              <w:spacing w:line="240" w:lineRule="auto"/>
              <w:rPr/>
            </w:pPr>
            <w:r w:rsidDel="00000000" w:rsidR="00000000" w:rsidRPr="00000000">
              <w:rPr>
                <w:rtl w:val="0"/>
              </w:rPr>
              <w:t xml:space="preserve">8120 - fungi (</w:t>
            </w:r>
          </w:p>
          <w:p w:rsidR="00000000" w:rsidDel="00000000" w:rsidP="00000000" w:rsidRDefault="00000000" w:rsidRPr="00000000" w14:paraId="000000A2">
            <w:pPr>
              <w:widowControl w:val="0"/>
              <w:spacing w:line="240" w:lineRule="auto"/>
              <w:rPr/>
            </w:pPr>
            <w:r w:rsidDel="00000000" w:rsidR="00000000" w:rsidRPr="00000000">
              <w:rPr>
                <w:rtl w:val="0"/>
              </w:rPr>
              <w:t xml:space="preserve">8870 - electrical shock</w:t>
            </w:r>
          </w:p>
          <w:p w:rsidR="00000000" w:rsidDel="00000000" w:rsidP="00000000" w:rsidRDefault="00000000" w:rsidRPr="00000000" w14:paraId="000000A3">
            <w:pPr>
              <w:widowControl w:val="0"/>
              <w:spacing w:line="240" w:lineRule="auto"/>
              <w:rPr/>
            </w:pPr>
            <w:r w:rsidDel="00000000" w:rsidR="00000000" w:rsidRPr="00000000">
              <w:rPr>
                <w:rtl w:val="0"/>
              </w:rPr>
              <w:t xml:space="preserve">8880 - all other physical hazards</w:t>
            </w:r>
          </w:p>
          <w:p w:rsidR="00000000" w:rsidDel="00000000" w:rsidP="00000000" w:rsidRDefault="00000000" w:rsidRPr="00000000" w14:paraId="000000A4">
            <w:pPr>
              <w:widowControl w:val="0"/>
              <w:spacing w:line="240" w:lineRule="auto"/>
              <w:rPr/>
            </w:pPr>
            <w:r w:rsidDel="00000000" w:rsidR="00000000" w:rsidRPr="00000000">
              <w:rPr>
                <w:rtl w:val="0"/>
              </w:rPr>
              <w:t xml:space="preserve">B418 - bacteria </w:t>
            </w:r>
          </w:p>
          <w:p w:rsidR="00000000" w:rsidDel="00000000" w:rsidP="00000000" w:rsidRDefault="00000000" w:rsidRPr="00000000" w14:paraId="000000A5">
            <w:pPr>
              <w:widowControl w:val="0"/>
              <w:spacing w:line="240" w:lineRule="auto"/>
              <w:rPr>
                <w:rFonts w:ascii="Roboto" w:cs="Roboto" w:eastAsia="Roboto" w:hAnsi="Roboto"/>
                <w:sz w:val="24"/>
                <w:szCs w:val="24"/>
                <w:highlight w:val="white"/>
              </w:rPr>
            </w:pPr>
            <w:r w:rsidDel="00000000" w:rsidR="00000000" w:rsidRPr="00000000">
              <w:rPr>
                <w:rtl w:val="0"/>
              </w:rPr>
              <w:t xml:space="preserve">9523 - </w:t>
            </w:r>
            <w:r w:rsidDel="00000000" w:rsidR="00000000" w:rsidRPr="00000000">
              <w:rPr>
                <w:rFonts w:ascii="Roboto" w:cs="Roboto" w:eastAsia="Roboto" w:hAnsi="Roboto"/>
                <w:sz w:val="24"/>
                <w:szCs w:val="24"/>
                <w:highlight w:val="white"/>
                <w:rtl w:val="0"/>
              </w:rPr>
              <w:t xml:space="preserve">Stachybotrys chartarum (black mold)</w:t>
            </w:r>
          </w:p>
          <w:p w:rsidR="00000000" w:rsidDel="00000000" w:rsidP="00000000" w:rsidRDefault="00000000" w:rsidRPr="00000000" w14:paraId="000000A6">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S227 - </w:t>
            </w:r>
            <w:r w:rsidDel="00000000" w:rsidR="00000000" w:rsidRPr="00000000">
              <w:rPr>
                <w:rFonts w:ascii="Roboto" w:cs="Roboto" w:eastAsia="Roboto" w:hAnsi="Roboto"/>
                <w:sz w:val="20"/>
                <w:szCs w:val="20"/>
                <w:highlight w:val="white"/>
                <w:rtl w:val="0"/>
              </w:rPr>
              <w:t xml:space="preserve">SODIUM HYPOCHLORITE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0">
              <w:r w:rsidDel="00000000" w:rsidR="00000000" w:rsidRPr="00000000">
                <w:rPr>
                  <w:color w:val="1155cc"/>
                  <w:u w:val="single"/>
                  <w:rtl w:val="0"/>
                </w:rPr>
                <w:t xml:space="preserve">They use EPA guidelines</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is </w:t>
            </w:r>
            <w:hyperlink r:id="rId31">
              <w:r w:rsidDel="00000000" w:rsidR="00000000" w:rsidRPr="00000000">
                <w:rPr>
                  <w:color w:val="1155cc"/>
                  <w:u w:val="single"/>
                  <w:rtl w:val="0"/>
                </w:rPr>
                <w:t xml:space="preserve">the database</w:t>
              </w:r>
            </w:hyperlink>
            <w:r w:rsidDel="00000000" w:rsidR="00000000" w:rsidRPr="00000000">
              <w:rPr>
                <w:rtl w:val="0"/>
              </w:rPr>
              <w:t xml:space="preserve"> to search for these codes.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also have the</w:t>
            </w:r>
            <w:hyperlink r:id="rId32">
              <w:r w:rsidDel="00000000" w:rsidR="00000000" w:rsidRPr="00000000">
                <w:rPr>
                  <w:color w:val="1155cc"/>
                  <w:u w:val="single"/>
                  <w:rtl w:val="0"/>
                </w:rPr>
                <w:t xml:space="preserve"> IMIS spreadsheet</w:t>
              </w:r>
            </w:hyperlink>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8120 - </w:t>
            </w:r>
            <w:r w:rsidDel="00000000" w:rsidR="00000000" w:rsidRPr="00000000">
              <w:rPr>
                <w:sz w:val="21"/>
                <w:szCs w:val="21"/>
                <w:highlight w:val="white"/>
                <w:rtl w:val="0"/>
              </w:rPr>
              <w:t xml:space="preserve">Various types include (not limited to): Coccidioides spp.</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could also examine the amount of time it took for things to be abated. How long inspections were open.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time related variables?</w:t>
            </w:r>
          </w:p>
        </w:tc>
      </w:tr>
    </w:tbl>
    <w:p w:rsidR="00000000" w:rsidDel="00000000" w:rsidP="00000000" w:rsidRDefault="00000000" w:rsidRPr="00000000" w14:paraId="000000BA">
      <w:pPr>
        <w:ind w:left="2880" w:firstLine="0"/>
        <w:rPr>
          <w:highlight w:val="yellow"/>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ir.ca.gov/title8/3273.html" TargetMode="External"/><Relationship Id="rId22" Type="http://schemas.openxmlformats.org/officeDocument/2006/relationships/hyperlink" Target="https://www.dir.ca.gov/title8/5162.html" TargetMode="External"/><Relationship Id="rId21" Type="http://schemas.openxmlformats.org/officeDocument/2006/relationships/hyperlink" Target="https://www.dir.ca.gov/title8/342.html" TargetMode="External"/><Relationship Id="rId24" Type="http://schemas.openxmlformats.org/officeDocument/2006/relationships/hyperlink" Target="https://www.osha.gov/sites/default/files/publications/factsheet-inspections.pdf" TargetMode="External"/><Relationship Id="rId23" Type="http://schemas.openxmlformats.org/officeDocument/2006/relationships/hyperlink" Target="https://www.osha.gov/sites/default/files/enforcement/directives/CPL_02-00-16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r.ca.gov/title8/5193.html" TargetMode="External"/><Relationship Id="rId26" Type="http://schemas.openxmlformats.org/officeDocument/2006/relationships/hyperlink" Target="https://www.osha.gov/as/opa/worker/danger.html" TargetMode="External"/><Relationship Id="rId25" Type="http://schemas.openxmlformats.org/officeDocument/2006/relationships/hyperlink" Target="https://www.dir.ca.gov/dosh/Enforcementpage.htm" TargetMode="External"/><Relationship Id="rId28" Type="http://schemas.openxmlformats.org/officeDocument/2006/relationships/hyperlink" Target="https://www.osha.gov/sites/default/files/enforcement/directives/CPL_02-00-160.pdf" TargetMode="External"/><Relationship Id="rId27" Type="http://schemas.openxmlformats.org/officeDocument/2006/relationships/hyperlink" Target="https://www.dir.ca.gov/DOSHPol/P&amp;PC-90.html" TargetMode="External"/><Relationship Id="rId5" Type="http://schemas.openxmlformats.org/officeDocument/2006/relationships/styles" Target="styles.xml"/><Relationship Id="rId6" Type="http://schemas.openxmlformats.org/officeDocument/2006/relationships/hyperlink" Target="https://www.osha.gov/publications/fedrites" TargetMode="External"/><Relationship Id="rId29" Type="http://schemas.openxmlformats.org/officeDocument/2006/relationships/hyperlink" Target="https://www.osha.gov/pls/imis/establishment.inspection_detail?id=312663560" TargetMode="External"/><Relationship Id="rId7" Type="http://schemas.openxmlformats.org/officeDocument/2006/relationships/hyperlink" Target="https://www.dir.ca.gov/title8/3203.html" TargetMode="External"/><Relationship Id="rId8" Type="http://schemas.openxmlformats.org/officeDocument/2006/relationships/hyperlink" Target="https://www.dir.ca.gov/title8/3362.html" TargetMode="External"/><Relationship Id="rId31" Type="http://schemas.openxmlformats.org/officeDocument/2006/relationships/hyperlink" Target="https://www.osha.gov/chemicaldata/index.html" TargetMode="External"/><Relationship Id="rId30" Type="http://schemas.openxmlformats.org/officeDocument/2006/relationships/hyperlink" Target="https://www.osha.gov/laws-regs/standardinterpretations/1996-11-07" TargetMode="External"/><Relationship Id="rId11" Type="http://schemas.openxmlformats.org/officeDocument/2006/relationships/hyperlink" Target="https://www.dir.ca.gov/title8/3395.html" TargetMode="External"/><Relationship Id="rId10" Type="http://schemas.openxmlformats.org/officeDocument/2006/relationships/hyperlink" Target="https://www.dir.ca.gov/title8/5199.html" TargetMode="External"/><Relationship Id="rId32" Type="http://schemas.openxmlformats.org/officeDocument/2006/relationships/hyperlink" Target="https://drive.google.com/file/d/1ArwBbEUO1MZAqmcj1yonIC5SV74Qbd92/view?usp=sharing" TargetMode="External"/><Relationship Id="rId13" Type="http://schemas.openxmlformats.org/officeDocument/2006/relationships/hyperlink" Target="https://www.dir.ca.gov/title8/5144.html" TargetMode="External"/><Relationship Id="rId12" Type="http://schemas.openxmlformats.org/officeDocument/2006/relationships/hyperlink" Target="https://www.dir.ca.gov/title8/5142.html" TargetMode="External"/><Relationship Id="rId15" Type="http://schemas.openxmlformats.org/officeDocument/2006/relationships/hyperlink" Target="https://www.osha.gov/laws-regs/regulations/standardnumber/1910/1910TableofContents" TargetMode="External"/><Relationship Id="rId14" Type="http://schemas.openxmlformats.org/officeDocument/2006/relationships/hyperlink" Target="https://www.osha.gov/laws-regs/regulations/standardnumber/1910/1910.305" TargetMode="External"/><Relationship Id="rId17" Type="http://schemas.openxmlformats.org/officeDocument/2006/relationships/hyperlink" Target="https://www.dir.ca.gov/title8/3328.html" TargetMode="External"/><Relationship Id="rId16" Type="http://schemas.openxmlformats.org/officeDocument/2006/relationships/hyperlink" Target="https://www.dir.ca.gov/title8/5194.html" TargetMode="External"/><Relationship Id="rId19" Type="http://schemas.openxmlformats.org/officeDocument/2006/relationships/hyperlink" Target="https://www.dir.ca.gov/title8/1529.html" TargetMode="External"/><Relationship Id="rId18" Type="http://schemas.openxmlformats.org/officeDocument/2006/relationships/hyperlink" Target="https://www.dir.ca.gov/title8/331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