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866"/>
      </w:tblGrid>
      <w:tr w:rsidR="00696874" w14:paraId="748F76C5" w14:textId="77777777">
        <w:trPr>
          <w:jc w:val="center"/>
        </w:trPr>
        <w:tc>
          <w:tcPr>
            <w:tcW w:w="9866" w:type="dxa"/>
            <w:shd w:val="clear" w:color="auto" w:fill="0B7A6B"/>
          </w:tcPr>
          <w:p w14:paraId="229DD50C" w14:textId="77777777" w:rsidR="00696874" w:rsidRDefault="00000000">
            <w:pPr>
              <w:spacing w:after="160"/>
            </w:pPr>
            <w:r>
              <w:rPr>
                <w:b/>
                <w:color w:val="AED580"/>
                <w:sz w:val="20"/>
              </w:rPr>
              <w:t>W E E K L Y   R E P O R T</w:t>
            </w:r>
          </w:p>
          <w:p w14:paraId="1C02FB83" w14:textId="77777777" w:rsidR="00696874" w:rsidRDefault="00000000">
            <w:pPr>
              <w:spacing w:after="120"/>
            </w:pPr>
            <w:r>
              <w:rPr>
                <w:b/>
                <w:color w:val="FFFFFF"/>
                <w:sz w:val="48"/>
              </w:rPr>
              <w:t>Weekly Outgoing Shipment Summary</w:t>
            </w:r>
          </w:p>
          <w:p w14:paraId="39779560" w14:textId="77777777" w:rsidR="00696874" w:rsidRDefault="00000000">
            <w:pPr>
              <w:spacing w:after="120"/>
            </w:pPr>
            <w:r>
              <w:rPr>
                <w:color w:val="CBE8DD"/>
              </w:rPr>
              <w:t>Outgoing Logistics Performance — Volume, Shipment Types &amp; Payment Methods</w:t>
            </w:r>
          </w:p>
          <w:p w14:paraId="3BAA53F9" w14:textId="77777777" w:rsidR="00696874" w:rsidRDefault="00000000">
            <w:pPr>
              <w:spacing w:after="120"/>
            </w:pPr>
            <w:r>
              <w:rPr>
                <w:color w:val="9BD0C5"/>
                <w:sz w:val="19"/>
              </w:rPr>
              <w:t>Reporting period: Monday – Sunday  ·  5 working days  ·  Tuesday &amp; Sunday off</w:t>
            </w:r>
          </w:p>
          <w:p w14:paraId="106457F8" w14:textId="33261CB1" w:rsidR="00696874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Prepared by:  Tigist A</w:t>
            </w:r>
            <w:r w:rsidR="00D65B43">
              <w:rPr>
                <w:b/>
                <w:color w:val="FFFFFF"/>
                <w:sz w:val="24"/>
              </w:rPr>
              <w:t>hme</w:t>
            </w:r>
            <w:r>
              <w:rPr>
                <w:b/>
                <w:color w:val="FFFFFF"/>
                <w:sz w:val="24"/>
              </w:rPr>
              <w:t>d</w:t>
            </w:r>
          </w:p>
        </w:tc>
      </w:tr>
    </w:tbl>
    <w:p w14:paraId="3ECC4DD1" w14:textId="77777777" w:rsidR="00696874" w:rsidRDefault="00000000">
      <w:pPr>
        <w:pBdr>
          <w:bottom w:val="single" w:sz="14" w:space="3" w:color="AED580"/>
        </w:pBdr>
        <w:spacing w:before="280" w:after="120"/>
      </w:pPr>
      <w:r>
        <w:rPr>
          <w:b/>
          <w:color w:val="0B7A6B"/>
          <w:sz w:val="30"/>
        </w:rPr>
        <w:t>1.  Weekly Highlights</w:t>
      </w:r>
    </w:p>
    <w:tbl>
      <w:tblPr>
        <w:tblW w:w="0" w:type="auto"/>
        <w:jc w:val="center"/>
        <w:tblBorders>
          <w:top w:val="single" w:sz="4" w:space="0" w:color="D9E4D2"/>
          <w:left w:val="single" w:sz="4" w:space="0" w:color="D9E4D2"/>
          <w:bottom w:val="single" w:sz="4" w:space="0" w:color="D9E4D2"/>
          <w:right w:val="single" w:sz="4" w:space="0" w:color="D9E4D2"/>
          <w:insideH w:val="single" w:sz="4" w:space="0" w:color="D9E4D2"/>
          <w:insideV w:val="single" w:sz="4" w:space="0" w:color="D9E4D2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696874" w14:paraId="1B16EFCB" w14:textId="77777777">
        <w:trPr>
          <w:jc w:val="center"/>
        </w:trPr>
        <w:tc>
          <w:tcPr>
            <w:tcW w:w="3231" w:type="dxa"/>
            <w:shd w:val="clear" w:color="auto" w:fill="F0F6EA"/>
            <w:vAlign w:val="center"/>
          </w:tcPr>
          <w:p w14:paraId="3ED21448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38"/>
              </w:rPr>
              <w:t>323</w:t>
            </w:r>
          </w:p>
          <w:p w14:paraId="1C60E154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2A3B34"/>
                <w:sz w:val="20"/>
              </w:rPr>
              <w:t>Total Shipments</w:t>
            </w:r>
          </w:p>
          <w:p w14:paraId="4BB11ED1" w14:textId="77777777" w:rsidR="00696874" w:rsidRDefault="00000000">
            <w:pPr>
              <w:spacing w:before="20" w:after="20"/>
              <w:jc w:val="center"/>
            </w:pPr>
            <w:r>
              <w:rPr>
                <w:color w:val="8AA096"/>
                <w:sz w:val="17"/>
              </w:rPr>
              <w:t>Across 5 working days</w:t>
            </w:r>
          </w:p>
        </w:tc>
        <w:tc>
          <w:tcPr>
            <w:tcW w:w="3231" w:type="dxa"/>
            <w:shd w:val="clear" w:color="auto" w:fill="F0F6EA"/>
            <w:vAlign w:val="center"/>
          </w:tcPr>
          <w:p w14:paraId="64F826D1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6B8E3D"/>
                <w:sz w:val="38"/>
              </w:rPr>
              <w:t>764 kg</w:t>
            </w:r>
          </w:p>
          <w:p w14:paraId="1EF61989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2A3B34"/>
                <w:sz w:val="20"/>
              </w:rPr>
              <w:t>Total Outgoing Weight</w:t>
            </w:r>
          </w:p>
          <w:p w14:paraId="623E6F0A" w14:textId="77777777" w:rsidR="00696874" w:rsidRDefault="00000000">
            <w:pPr>
              <w:spacing w:before="20" w:after="20"/>
              <w:jc w:val="center"/>
            </w:pPr>
            <w:r>
              <w:rPr>
                <w:color w:val="8AA096"/>
                <w:sz w:val="17"/>
              </w:rPr>
              <w:t>Avg 2.37 kg per shipment</w:t>
            </w:r>
          </w:p>
        </w:tc>
        <w:tc>
          <w:tcPr>
            <w:tcW w:w="3231" w:type="dxa"/>
            <w:shd w:val="clear" w:color="auto" w:fill="F0F6EA"/>
            <w:vAlign w:val="center"/>
          </w:tcPr>
          <w:p w14:paraId="1036BD69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6B8E3D"/>
                <w:sz w:val="38"/>
              </w:rPr>
              <w:t>64.6</w:t>
            </w:r>
          </w:p>
          <w:p w14:paraId="1F0D1267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2A3B34"/>
                <w:sz w:val="20"/>
              </w:rPr>
              <w:t>Avg Shipments / Day</w:t>
            </w:r>
          </w:p>
          <w:p w14:paraId="5387C82B" w14:textId="77777777" w:rsidR="00696874" w:rsidRDefault="00000000">
            <w:pPr>
              <w:spacing w:before="20" w:after="20"/>
              <w:jc w:val="center"/>
            </w:pPr>
            <w:r>
              <w:rPr>
                <w:color w:val="8AA096"/>
                <w:sz w:val="17"/>
              </w:rPr>
              <w:t>On working days</w:t>
            </w:r>
          </w:p>
        </w:tc>
      </w:tr>
      <w:tr w:rsidR="00696874" w14:paraId="3005D62D" w14:textId="77777777">
        <w:trPr>
          <w:jc w:val="center"/>
        </w:trPr>
        <w:tc>
          <w:tcPr>
            <w:tcW w:w="3231" w:type="dxa"/>
            <w:shd w:val="clear" w:color="auto" w:fill="F0F6EA"/>
            <w:vAlign w:val="center"/>
          </w:tcPr>
          <w:p w14:paraId="59F9EDE0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A9761D"/>
                <w:sz w:val="38"/>
              </w:rPr>
              <w:t>201.45 kg</w:t>
            </w:r>
          </w:p>
          <w:p w14:paraId="64278DE1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2A3B34"/>
                <w:sz w:val="20"/>
              </w:rPr>
              <w:t>Heaviest Day — Friday</w:t>
            </w:r>
          </w:p>
          <w:p w14:paraId="5C7AD2F8" w14:textId="77777777" w:rsidR="00696874" w:rsidRDefault="00000000">
            <w:pPr>
              <w:spacing w:before="20" w:after="20"/>
              <w:jc w:val="center"/>
            </w:pPr>
            <w:r>
              <w:rPr>
                <w:color w:val="8AA096"/>
                <w:sz w:val="17"/>
              </w:rPr>
              <w:t>74 shipments (peak volume)</w:t>
            </w:r>
          </w:p>
        </w:tc>
        <w:tc>
          <w:tcPr>
            <w:tcW w:w="3231" w:type="dxa"/>
            <w:shd w:val="clear" w:color="auto" w:fill="F0F6EA"/>
            <w:vAlign w:val="center"/>
          </w:tcPr>
          <w:p w14:paraId="6EFC52F3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38"/>
              </w:rPr>
              <w:t>62.8%</w:t>
            </w:r>
          </w:p>
          <w:p w14:paraId="610732D4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2A3B34"/>
                <w:sz w:val="20"/>
              </w:rPr>
              <w:t>COD Share of Payments</w:t>
            </w:r>
          </w:p>
          <w:p w14:paraId="6C35E746" w14:textId="77777777" w:rsidR="00696874" w:rsidRDefault="00000000">
            <w:pPr>
              <w:spacing w:before="20" w:after="20"/>
              <w:jc w:val="center"/>
            </w:pPr>
            <w:r>
              <w:rPr>
                <w:color w:val="8AA096"/>
                <w:sz w:val="17"/>
              </w:rPr>
              <w:t>203 of 323 shipments</w:t>
            </w:r>
          </w:p>
        </w:tc>
        <w:tc>
          <w:tcPr>
            <w:tcW w:w="3231" w:type="dxa"/>
            <w:shd w:val="clear" w:color="auto" w:fill="F0F6EA"/>
            <w:vAlign w:val="center"/>
          </w:tcPr>
          <w:p w14:paraId="6AF656B9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6B8E3D"/>
                <w:sz w:val="38"/>
              </w:rPr>
              <w:t>98.1%</w:t>
            </w:r>
          </w:p>
          <w:p w14:paraId="0769DF70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2A3B34"/>
                <w:sz w:val="20"/>
              </w:rPr>
              <w:t>Settled (COD + Cash)</w:t>
            </w:r>
          </w:p>
          <w:p w14:paraId="03AD7248" w14:textId="77777777" w:rsidR="00696874" w:rsidRDefault="00000000">
            <w:pPr>
              <w:spacing w:before="20" w:after="20"/>
              <w:jc w:val="center"/>
            </w:pPr>
            <w:r>
              <w:rPr>
                <w:color w:val="8AA096"/>
                <w:sz w:val="17"/>
              </w:rPr>
              <w:t>Only 5 credit · 1 pending</w:t>
            </w:r>
          </w:p>
        </w:tc>
      </w:tr>
    </w:tbl>
    <w:p w14:paraId="6AF641A7" w14:textId="77777777" w:rsidR="00696874" w:rsidRDefault="00000000">
      <w:pPr>
        <w:pBdr>
          <w:bottom w:val="single" w:sz="14" w:space="3" w:color="AED580"/>
        </w:pBdr>
        <w:spacing w:before="320" w:after="120"/>
      </w:pPr>
      <w:r>
        <w:rPr>
          <w:b/>
          <w:color w:val="0B7A6B"/>
          <w:sz w:val="30"/>
        </w:rPr>
        <w:t>2.  Weekly Outgoing Shipment Data</w:t>
      </w:r>
    </w:p>
    <w:tbl>
      <w:tblPr>
        <w:tblW w:w="0" w:type="auto"/>
        <w:jc w:val="center"/>
        <w:tblBorders>
          <w:top w:val="single" w:sz="4" w:space="0" w:color="D9E4D2"/>
          <w:left w:val="single" w:sz="4" w:space="0" w:color="D9E4D2"/>
          <w:bottom w:val="single" w:sz="4" w:space="0" w:color="D9E4D2"/>
          <w:right w:val="single" w:sz="4" w:space="0" w:color="D9E4D2"/>
          <w:insideH w:val="single" w:sz="4" w:space="0" w:color="D9E4D2"/>
          <w:insideV w:val="single" w:sz="4" w:space="0" w:color="D9E4D2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1134"/>
        <w:gridCol w:w="907"/>
        <w:gridCol w:w="1020"/>
        <w:gridCol w:w="822"/>
        <w:gridCol w:w="935"/>
        <w:gridCol w:w="765"/>
        <w:gridCol w:w="680"/>
        <w:gridCol w:w="680"/>
        <w:gridCol w:w="765"/>
        <w:gridCol w:w="822"/>
        <w:gridCol w:w="794"/>
      </w:tblGrid>
      <w:tr w:rsidR="00696874" w14:paraId="70BB3B6F" w14:textId="77777777">
        <w:trPr>
          <w:jc w:val="center"/>
        </w:trPr>
        <w:tc>
          <w:tcPr>
            <w:tcW w:w="1134" w:type="dxa"/>
            <w:shd w:val="clear" w:color="auto" w:fill="0B7A6B"/>
            <w:vAlign w:val="center"/>
          </w:tcPr>
          <w:p w14:paraId="0441A48C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w="907" w:type="dxa"/>
            <w:shd w:val="clear" w:color="auto" w:fill="0B7A6B"/>
            <w:vAlign w:val="center"/>
          </w:tcPr>
          <w:p w14:paraId="65525285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Shipments</w:t>
            </w:r>
          </w:p>
        </w:tc>
        <w:tc>
          <w:tcPr>
            <w:tcW w:w="1020" w:type="dxa"/>
            <w:shd w:val="clear" w:color="auto" w:fill="0B7A6B"/>
            <w:vAlign w:val="center"/>
          </w:tcPr>
          <w:p w14:paraId="223492FB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Weight (kg)</w:t>
            </w:r>
          </w:p>
        </w:tc>
        <w:tc>
          <w:tcPr>
            <w:tcW w:w="822" w:type="dxa"/>
            <w:shd w:val="clear" w:color="auto" w:fill="0B7A6B"/>
            <w:vAlign w:val="center"/>
          </w:tcPr>
          <w:p w14:paraId="55F778C8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Valuable</w:t>
            </w:r>
          </w:p>
        </w:tc>
        <w:tc>
          <w:tcPr>
            <w:tcW w:w="935" w:type="dxa"/>
            <w:shd w:val="clear" w:color="auto" w:fill="0B7A6B"/>
            <w:vAlign w:val="center"/>
          </w:tcPr>
          <w:p w14:paraId="11E16315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w="765" w:type="dxa"/>
            <w:shd w:val="clear" w:color="auto" w:fill="0B7A6B"/>
            <w:vAlign w:val="center"/>
          </w:tcPr>
          <w:p w14:paraId="0EA2C89D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Parcel</w:t>
            </w:r>
          </w:p>
        </w:tc>
        <w:tc>
          <w:tcPr>
            <w:tcW w:w="680" w:type="dxa"/>
            <w:shd w:val="clear" w:color="auto" w:fill="0B7A6B"/>
            <w:vAlign w:val="center"/>
          </w:tcPr>
          <w:p w14:paraId="15F6FA6A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COD</w:t>
            </w:r>
          </w:p>
        </w:tc>
        <w:tc>
          <w:tcPr>
            <w:tcW w:w="680" w:type="dxa"/>
            <w:shd w:val="clear" w:color="auto" w:fill="0B7A6B"/>
            <w:vAlign w:val="center"/>
          </w:tcPr>
          <w:p w14:paraId="3EF18402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Cash</w:t>
            </w:r>
          </w:p>
        </w:tc>
        <w:tc>
          <w:tcPr>
            <w:tcW w:w="765" w:type="dxa"/>
            <w:shd w:val="clear" w:color="auto" w:fill="0B7A6B"/>
            <w:vAlign w:val="center"/>
          </w:tcPr>
          <w:p w14:paraId="52620FDA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Credit</w:t>
            </w:r>
          </w:p>
        </w:tc>
        <w:tc>
          <w:tcPr>
            <w:tcW w:w="822" w:type="dxa"/>
            <w:shd w:val="clear" w:color="auto" w:fill="0B7A6B"/>
            <w:vAlign w:val="center"/>
          </w:tcPr>
          <w:p w14:paraId="1706F0D8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Pending</w:t>
            </w:r>
          </w:p>
        </w:tc>
        <w:tc>
          <w:tcPr>
            <w:tcW w:w="794" w:type="dxa"/>
            <w:shd w:val="clear" w:color="auto" w:fill="0B7A6B"/>
            <w:vAlign w:val="center"/>
          </w:tcPr>
          <w:p w14:paraId="00524F5C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Remark</w:t>
            </w:r>
          </w:p>
        </w:tc>
      </w:tr>
      <w:tr w:rsidR="00696874" w14:paraId="78D66EA0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9E40850" w14:textId="77777777" w:rsidR="00696874" w:rsidRDefault="00000000">
            <w:pPr>
              <w:spacing w:before="20" w:after="20"/>
            </w:pPr>
            <w:r>
              <w:rPr>
                <w:b/>
                <w:color w:val="0B7A6B"/>
                <w:sz w:val="17"/>
              </w:rPr>
              <w:t>Monday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C1FB803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47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E3017E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118.72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2ABCED4E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5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2CE89B75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7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72A0B456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35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A334978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30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C964EBF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16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6D57BA2B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598DFA15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0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6BFD836" w14:textId="77777777" w:rsidR="00696874" w:rsidRDefault="00696874">
            <w:pPr>
              <w:spacing w:before="20" w:after="20"/>
              <w:jc w:val="center"/>
            </w:pPr>
          </w:p>
        </w:tc>
      </w:tr>
      <w:tr w:rsidR="00696874" w14:paraId="3A7E0703" w14:textId="77777777">
        <w:trPr>
          <w:jc w:val="center"/>
        </w:trPr>
        <w:tc>
          <w:tcPr>
            <w:tcW w:w="1134" w:type="dxa"/>
            <w:shd w:val="clear" w:color="auto" w:fill="F5F8F2"/>
            <w:vAlign w:val="center"/>
          </w:tcPr>
          <w:p w14:paraId="555ED640" w14:textId="77777777" w:rsidR="00696874" w:rsidRDefault="00000000">
            <w:pPr>
              <w:spacing w:before="20" w:after="20"/>
            </w:pPr>
            <w:r>
              <w:rPr>
                <w:b/>
                <w:i/>
                <w:color w:val="8AA096"/>
                <w:sz w:val="17"/>
              </w:rPr>
              <w:t>Tuesday</w:t>
            </w:r>
          </w:p>
        </w:tc>
        <w:tc>
          <w:tcPr>
            <w:tcW w:w="907" w:type="dxa"/>
            <w:shd w:val="clear" w:color="auto" w:fill="F5F8F2"/>
            <w:vAlign w:val="center"/>
          </w:tcPr>
          <w:p w14:paraId="324E4545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1020" w:type="dxa"/>
            <w:shd w:val="clear" w:color="auto" w:fill="F5F8F2"/>
            <w:vAlign w:val="center"/>
          </w:tcPr>
          <w:p w14:paraId="7FC430BE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–</w:t>
            </w:r>
          </w:p>
        </w:tc>
        <w:tc>
          <w:tcPr>
            <w:tcW w:w="822" w:type="dxa"/>
            <w:shd w:val="clear" w:color="auto" w:fill="F5F8F2"/>
            <w:vAlign w:val="center"/>
          </w:tcPr>
          <w:p w14:paraId="248EF092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935" w:type="dxa"/>
            <w:shd w:val="clear" w:color="auto" w:fill="F5F8F2"/>
            <w:vAlign w:val="center"/>
          </w:tcPr>
          <w:p w14:paraId="1AAFDB25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765" w:type="dxa"/>
            <w:shd w:val="clear" w:color="auto" w:fill="F5F8F2"/>
            <w:vAlign w:val="center"/>
          </w:tcPr>
          <w:p w14:paraId="6776E691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680" w:type="dxa"/>
            <w:shd w:val="clear" w:color="auto" w:fill="F5F8F2"/>
            <w:vAlign w:val="center"/>
          </w:tcPr>
          <w:p w14:paraId="5778377E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680" w:type="dxa"/>
            <w:shd w:val="clear" w:color="auto" w:fill="F5F8F2"/>
            <w:vAlign w:val="center"/>
          </w:tcPr>
          <w:p w14:paraId="39F5CF6A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765" w:type="dxa"/>
            <w:shd w:val="clear" w:color="auto" w:fill="F5F8F2"/>
            <w:vAlign w:val="center"/>
          </w:tcPr>
          <w:p w14:paraId="2622EBE7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822" w:type="dxa"/>
            <w:shd w:val="clear" w:color="auto" w:fill="F5F8F2"/>
            <w:vAlign w:val="center"/>
          </w:tcPr>
          <w:p w14:paraId="24C0C0F4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794" w:type="dxa"/>
            <w:shd w:val="clear" w:color="auto" w:fill="F5F8F2"/>
            <w:vAlign w:val="center"/>
          </w:tcPr>
          <w:p w14:paraId="11B727C9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6"/>
              </w:rPr>
              <w:t>Off day</w:t>
            </w:r>
          </w:p>
        </w:tc>
      </w:tr>
      <w:tr w:rsidR="00696874" w14:paraId="188DB20B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FDFD263" w14:textId="77777777" w:rsidR="00696874" w:rsidRDefault="00000000">
            <w:pPr>
              <w:spacing w:before="20" w:after="20"/>
            </w:pPr>
            <w:r>
              <w:rPr>
                <w:b/>
                <w:color w:val="0B7A6B"/>
                <w:sz w:val="17"/>
              </w:rPr>
              <w:t>Wednesday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896E0B5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73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3730D4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171.4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359343F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11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003618DA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11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36640D02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52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753C6D7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49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400086A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23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304F89F9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766CE986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0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B47B23D" w14:textId="77777777" w:rsidR="00696874" w:rsidRDefault="00696874">
            <w:pPr>
              <w:spacing w:before="20" w:after="20"/>
              <w:jc w:val="center"/>
            </w:pPr>
          </w:p>
        </w:tc>
      </w:tr>
      <w:tr w:rsidR="00696874" w14:paraId="392DA476" w14:textId="77777777">
        <w:trPr>
          <w:jc w:val="center"/>
        </w:trPr>
        <w:tc>
          <w:tcPr>
            <w:tcW w:w="1134" w:type="dxa"/>
            <w:shd w:val="clear" w:color="auto" w:fill="F0F6EA"/>
            <w:vAlign w:val="center"/>
          </w:tcPr>
          <w:p w14:paraId="0EF40858" w14:textId="77777777" w:rsidR="00696874" w:rsidRDefault="00000000">
            <w:pPr>
              <w:spacing w:before="20" w:after="20"/>
            </w:pPr>
            <w:r>
              <w:rPr>
                <w:b/>
                <w:color w:val="0B7A6B"/>
                <w:sz w:val="17"/>
              </w:rPr>
              <w:t>Thursday</w:t>
            </w:r>
          </w:p>
        </w:tc>
        <w:tc>
          <w:tcPr>
            <w:tcW w:w="907" w:type="dxa"/>
            <w:shd w:val="clear" w:color="auto" w:fill="F0F6EA"/>
            <w:vAlign w:val="center"/>
          </w:tcPr>
          <w:p w14:paraId="42F0E239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69</w:t>
            </w:r>
          </w:p>
        </w:tc>
        <w:tc>
          <w:tcPr>
            <w:tcW w:w="1020" w:type="dxa"/>
            <w:shd w:val="clear" w:color="auto" w:fill="F0F6EA"/>
            <w:vAlign w:val="center"/>
          </w:tcPr>
          <w:p w14:paraId="2E237EC6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174.53</w:t>
            </w:r>
          </w:p>
        </w:tc>
        <w:tc>
          <w:tcPr>
            <w:tcW w:w="822" w:type="dxa"/>
            <w:shd w:val="clear" w:color="auto" w:fill="F0F6EA"/>
            <w:vAlign w:val="center"/>
          </w:tcPr>
          <w:p w14:paraId="22C33225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3</w:t>
            </w:r>
          </w:p>
        </w:tc>
        <w:tc>
          <w:tcPr>
            <w:tcW w:w="935" w:type="dxa"/>
            <w:shd w:val="clear" w:color="auto" w:fill="F0F6EA"/>
            <w:vAlign w:val="center"/>
          </w:tcPr>
          <w:p w14:paraId="35678278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18</w:t>
            </w:r>
          </w:p>
        </w:tc>
        <w:tc>
          <w:tcPr>
            <w:tcW w:w="765" w:type="dxa"/>
            <w:shd w:val="clear" w:color="auto" w:fill="F0F6EA"/>
            <w:vAlign w:val="center"/>
          </w:tcPr>
          <w:p w14:paraId="5F0504F1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58</w:t>
            </w:r>
          </w:p>
        </w:tc>
        <w:tc>
          <w:tcPr>
            <w:tcW w:w="680" w:type="dxa"/>
            <w:shd w:val="clear" w:color="auto" w:fill="F0F6EA"/>
            <w:vAlign w:val="center"/>
          </w:tcPr>
          <w:p w14:paraId="5E9B791A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39</w:t>
            </w:r>
          </w:p>
        </w:tc>
        <w:tc>
          <w:tcPr>
            <w:tcW w:w="680" w:type="dxa"/>
            <w:shd w:val="clear" w:color="auto" w:fill="F0F6EA"/>
            <w:vAlign w:val="center"/>
          </w:tcPr>
          <w:p w14:paraId="0D81B556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26</w:t>
            </w:r>
          </w:p>
        </w:tc>
        <w:tc>
          <w:tcPr>
            <w:tcW w:w="765" w:type="dxa"/>
            <w:shd w:val="clear" w:color="auto" w:fill="F0F6EA"/>
            <w:vAlign w:val="center"/>
          </w:tcPr>
          <w:p w14:paraId="44166462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3</w:t>
            </w:r>
          </w:p>
        </w:tc>
        <w:tc>
          <w:tcPr>
            <w:tcW w:w="822" w:type="dxa"/>
            <w:shd w:val="clear" w:color="auto" w:fill="F0F6EA"/>
            <w:vAlign w:val="center"/>
          </w:tcPr>
          <w:p w14:paraId="2A15C9A9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</w:t>
            </w:r>
          </w:p>
        </w:tc>
        <w:tc>
          <w:tcPr>
            <w:tcW w:w="794" w:type="dxa"/>
            <w:shd w:val="clear" w:color="auto" w:fill="F0F6EA"/>
            <w:vAlign w:val="center"/>
          </w:tcPr>
          <w:p w14:paraId="20E62BDE" w14:textId="77777777" w:rsidR="00696874" w:rsidRDefault="00696874">
            <w:pPr>
              <w:spacing w:before="20" w:after="20"/>
              <w:jc w:val="center"/>
            </w:pPr>
          </w:p>
        </w:tc>
      </w:tr>
      <w:tr w:rsidR="00696874" w14:paraId="0D40579B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270B2147" w14:textId="77777777" w:rsidR="00696874" w:rsidRDefault="00000000">
            <w:pPr>
              <w:spacing w:before="20" w:after="20"/>
            </w:pPr>
            <w:r>
              <w:rPr>
                <w:b/>
                <w:color w:val="0B7A6B"/>
                <w:sz w:val="17"/>
              </w:rPr>
              <w:t>Friday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1087589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74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91F351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201.45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6304FA8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6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766CA2CA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20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40AE1984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48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215B9C9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45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685563F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29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044A7D0A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0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8ABAD6B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0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D28B1F9" w14:textId="77777777" w:rsidR="00696874" w:rsidRDefault="00696874">
            <w:pPr>
              <w:spacing w:before="20" w:after="20"/>
              <w:jc w:val="center"/>
            </w:pPr>
          </w:p>
        </w:tc>
      </w:tr>
      <w:tr w:rsidR="00696874" w14:paraId="749DECCF" w14:textId="77777777">
        <w:trPr>
          <w:jc w:val="center"/>
        </w:trPr>
        <w:tc>
          <w:tcPr>
            <w:tcW w:w="1134" w:type="dxa"/>
            <w:shd w:val="clear" w:color="auto" w:fill="F0F6EA"/>
            <w:vAlign w:val="center"/>
          </w:tcPr>
          <w:p w14:paraId="786D86FC" w14:textId="77777777" w:rsidR="00696874" w:rsidRDefault="00000000">
            <w:pPr>
              <w:spacing w:before="20" w:after="20"/>
            </w:pPr>
            <w:r>
              <w:rPr>
                <w:b/>
                <w:color w:val="0B7A6B"/>
                <w:sz w:val="17"/>
              </w:rPr>
              <w:t>Saturday</w:t>
            </w:r>
          </w:p>
        </w:tc>
        <w:tc>
          <w:tcPr>
            <w:tcW w:w="907" w:type="dxa"/>
            <w:shd w:val="clear" w:color="auto" w:fill="F0F6EA"/>
            <w:vAlign w:val="center"/>
          </w:tcPr>
          <w:p w14:paraId="1CE05BCC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60</w:t>
            </w:r>
          </w:p>
        </w:tc>
        <w:tc>
          <w:tcPr>
            <w:tcW w:w="1020" w:type="dxa"/>
            <w:shd w:val="clear" w:color="auto" w:fill="F0F6EA"/>
            <w:vAlign w:val="center"/>
          </w:tcPr>
          <w:p w14:paraId="662E6A76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97.9</w:t>
            </w:r>
          </w:p>
        </w:tc>
        <w:tc>
          <w:tcPr>
            <w:tcW w:w="822" w:type="dxa"/>
            <w:shd w:val="clear" w:color="auto" w:fill="F0F6EA"/>
            <w:vAlign w:val="center"/>
          </w:tcPr>
          <w:p w14:paraId="1DB72A67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</w:t>
            </w:r>
          </w:p>
        </w:tc>
        <w:tc>
          <w:tcPr>
            <w:tcW w:w="935" w:type="dxa"/>
            <w:shd w:val="clear" w:color="auto" w:fill="F0F6EA"/>
            <w:vAlign w:val="center"/>
          </w:tcPr>
          <w:p w14:paraId="16E27CB9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15</w:t>
            </w:r>
          </w:p>
        </w:tc>
        <w:tc>
          <w:tcPr>
            <w:tcW w:w="765" w:type="dxa"/>
            <w:shd w:val="clear" w:color="auto" w:fill="F0F6EA"/>
            <w:vAlign w:val="center"/>
          </w:tcPr>
          <w:p w14:paraId="09D78DBE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44</w:t>
            </w:r>
          </w:p>
        </w:tc>
        <w:tc>
          <w:tcPr>
            <w:tcW w:w="680" w:type="dxa"/>
            <w:shd w:val="clear" w:color="auto" w:fill="F0F6EA"/>
            <w:vAlign w:val="center"/>
          </w:tcPr>
          <w:p w14:paraId="2D655EE8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40</w:t>
            </w:r>
          </w:p>
        </w:tc>
        <w:tc>
          <w:tcPr>
            <w:tcW w:w="680" w:type="dxa"/>
            <w:shd w:val="clear" w:color="auto" w:fill="F0F6EA"/>
            <w:vAlign w:val="center"/>
          </w:tcPr>
          <w:p w14:paraId="24F6BC8E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20</w:t>
            </w:r>
          </w:p>
        </w:tc>
        <w:tc>
          <w:tcPr>
            <w:tcW w:w="765" w:type="dxa"/>
            <w:shd w:val="clear" w:color="auto" w:fill="F0F6EA"/>
            <w:vAlign w:val="center"/>
          </w:tcPr>
          <w:p w14:paraId="28AC57FF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0</w:t>
            </w:r>
          </w:p>
        </w:tc>
        <w:tc>
          <w:tcPr>
            <w:tcW w:w="822" w:type="dxa"/>
            <w:shd w:val="clear" w:color="auto" w:fill="F0F6EA"/>
            <w:vAlign w:val="center"/>
          </w:tcPr>
          <w:p w14:paraId="76B8A541" w14:textId="77777777" w:rsidR="00696874" w:rsidRDefault="00000000">
            <w:pPr>
              <w:spacing w:before="20" w:after="20"/>
              <w:jc w:val="center"/>
            </w:pPr>
            <w:r>
              <w:rPr>
                <w:color w:val="2A3B34"/>
                <w:sz w:val="17"/>
              </w:rPr>
              <w:t>0</w:t>
            </w:r>
          </w:p>
        </w:tc>
        <w:tc>
          <w:tcPr>
            <w:tcW w:w="794" w:type="dxa"/>
            <w:shd w:val="clear" w:color="auto" w:fill="F0F6EA"/>
            <w:vAlign w:val="center"/>
          </w:tcPr>
          <w:p w14:paraId="24A8A3BA" w14:textId="77777777" w:rsidR="00696874" w:rsidRDefault="00696874">
            <w:pPr>
              <w:spacing w:before="20" w:after="20"/>
              <w:jc w:val="center"/>
            </w:pPr>
          </w:p>
        </w:tc>
      </w:tr>
      <w:tr w:rsidR="00696874" w14:paraId="4FF510A5" w14:textId="77777777">
        <w:trPr>
          <w:jc w:val="center"/>
        </w:trPr>
        <w:tc>
          <w:tcPr>
            <w:tcW w:w="1134" w:type="dxa"/>
            <w:shd w:val="clear" w:color="auto" w:fill="F5F8F2"/>
            <w:vAlign w:val="center"/>
          </w:tcPr>
          <w:p w14:paraId="6992C406" w14:textId="77777777" w:rsidR="00696874" w:rsidRDefault="00000000">
            <w:pPr>
              <w:spacing w:before="20" w:after="20"/>
            </w:pPr>
            <w:r>
              <w:rPr>
                <w:b/>
                <w:i/>
                <w:color w:val="8AA096"/>
                <w:sz w:val="17"/>
              </w:rPr>
              <w:t>Sunday</w:t>
            </w:r>
          </w:p>
        </w:tc>
        <w:tc>
          <w:tcPr>
            <w:tcW w:w="907" w:type="dxa"/>
            <w:shd w:val="clear" w:color="auto" w:fill="F5F8F2"/>
            <w:vAlign w:val="center"/>
          </w:tcPr>
          <w:p w14:paraId="3E76F9B7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1020" w:type="dxa"/>
            <w:shd w:val="clear" w:color="auto" w:fill="F5F8F2"/>
            <w:vAlign w:val="center"/>
          </w:tcPr>
          <w:p w14:paraId="7556ABA8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–</w:t>
            </w:r>
          </w:p>
        </w:tc>
        <w:tc>
          <w:tcPr>
            <w:tcW w:w="822" w:type="dxa"/>
            <w:shd w:val="clear" w:color="auto" w:fill="F5F8F2"/>
            <w:vAlign w:val="center"/>
          </w:tcPr>
          <w:p w14:paraId="1904457E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935" w:type="dxa"/>
            <w:shd w:val="clear" w:color="auto" w:fill="F5F8F2"/>
            <w:vAlign w:val="center"/>
          </w:tcPr>
          <w:p w14:paraId="53EAB72F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765" w:type="dxa"/>
            <w:shd w:val="clear" w:color="auto" w:fill="F5F8F2"/>
            <w:vAlign w:val="center"/>
          </w:tcPr>
          <w:p w14:paraId="6E8259B1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680" w:type="dxa"/>
            <w:shd w:val="clear" w:color="auto" w:fill="F5F8F2"/>
            <w:vAlign w:val="center"/>
          </w:tcPr>
          <w:p w14:paraId="19B7D06B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680" w:type="dxa"/>
            <w:shd w:val="clear" w:color="auto" w:fill="F5F8F2"/>
            <w:vAlign w:val="center"/>
          </w:tcPr>
          <w:p w14:paraId="3BC348C0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765" w:type="dxa"/>
            <w:shd w:val="clear" w:color="auto" w:fill="F5F8F2"/>
            <w:vAlign w:val="center"/>
          </w:tcPr>
          <w:p w14:paraId="4DCACA36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822" w:type="dxa"/>
            <w:shd w:val="clear" w:color="auto" w:fill="F5F8F2"/>
            <w:vAlign w:val="center"/>
          </w:tcPr>
          <w:p w14:paraId="77BC58FF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7"/>
              </w:rPr>
              <w:t>0</w:t>
            </w:r>
          </w:p>
        </w:tc>
        <w:tc>
          <w:tcPr>
            <w:tcW w:w="794" w:type="dxa"/>
            <w:shd w:val="clear" w:color="auto" w:fill="F5F8F2"/>
            <w:vAlign w:val="center"/>
          </w:tcPr>
          <w:p w14:paraId="0FAF379C" w14:textId="77777777" w:rsidR="00696874" w:rsidRDefault="00000000">
            <w:pPr>
              <w:spacing w:before="20" w:after="20"/>
              <w:jc w:val="center"/>
            </w:pPr>
            <w:r>
              <w:rPr>
                <w:i/>
                <w:color w:val="8AA096"/>
                <w:sz w:val="16"/>
              </w:rPr>
              <w:t>Off day</w:t>
            </w:r>
          </w:p>
        </w:tc>
      </w:tr>
      <w:tr w:rsidR="00696874" w14:paraId="1381A51F" w14:textId="77777777">
        <w:trPr>
          <w:jc w:val="center"/>
        </w:trPr>
        <w:tc>
          <w:tcPr>
            <w:tcW w:w="1134" w:type="dxa"/>
            <w:shd w:val="clear" w:color="auto" w:fill="DDEBC9"/>
            <w:vAlign w:val="center"/>
          </w:tcPr>
          <w:p w14:paraId="078C73E5" w14:textId="77777777" w:rsidR="00696874" w:rsidRDefault="00000000">
            <w:pPr>
              <w:spacing w:before="20" w:after="20"/>
            </w:pPr>
            <w:r>
              <w:rPr>
                <w:b/>
                <w:color w:val="0B7A6B"/>
                <w:sz w:val="18"/>
              </w:rPr>
              <w:t>TOTAL</w:t>
            </w:r>
          </w:p>
        </w:tc>
        <w:tc>
          <w:tcPr>
            <w:tcW w:w="907" w:type="dxa"/>
            <w:shd w:val="clear" w:color="auto" w:fill="DDEBC9"/>
            <w:vAlign w:val="center"/>
          </w:tcPr>
          <w:p w14:paraId="3246C586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323</w:t>
            </w:r>
          </w:p>
        </w:tc>
        <w:tc>
          <w:tcPr>
            <w:tcW w:w="1020" w:type="dxa"/>
            <w:shd w:val="clear" w:color="auto" w:fill="DDEBC9"/>
            <w:vAlign w:val="center"/>
          </w:tcPr>
          <w:p w14:paraId="60147B65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764</w:t>
            </w:r>
          </w:p>
        </w:tc>
        <w:tc>
          <w:tcPr>
            <w:tcW w:w="822" w:type="dxa"/>
            <w:shd w:val="clear" w:color="auto" w:fill="DDEBC9"/>
            <w:vAlign w:val="center"/>
          </w:tcPr>
          <w:p w14:paraId="0CCECA1B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26</w:t>
            </w:r>
          </w:p>
        </w:tc>
        <w:tc>
          <w:tcPr>
            <w:tcW w:w="935" w:type="dxa"/>
            <w:shd w:val="clear" w:color="auto" w:fill="DDEBC9"/>
            <w:vAlign w:val="center"/>
          </w:tcPr>
          <w:p w14:paraId="742C1D4F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71</w:t>
            </w:r>
          </w:p>
        </w:tc>
        <w:tc>
          <w:tcPr>
            <w:tcW w:w="765" w:type="dxa"/>
            <w:shd w:val="clear" w:color="auto" w:fill="DDEBC9"/>
            <w:vAlign w:val="center"/>
          </w:tcPr>
          <w:p w14:paraId="5B6D660B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237</w:t>
            </w:r>
          </w:p>
        </w:tc>
        <w:tc>
          <w:tcPr>
            <w:tcW w:w="680" w:type="dxa"/>
            <w:shd w:val="clear" w:color="auto" w:fill="DDEBC9"/>
            <w:vAlign w:val="center"/>
          </w:tcPr>
          <w:p w14:paraId="0EF0A810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203</w:t>
            </w:r>
          </w:p>
        </w:tc>
        <w:tc>
          <w:tcPr>
            <w:tcW w:w="680" w:type="dxa"/>
            <w:shd w:val="clear" w:color="auto" w:fill="DDEBC9"/>
            <w:vAlign w:val="center"/>
          </w:tcPr>
          <w:p w14:paraId="416C2F26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114</w:t>
            </w:r>
          </w:p>
        </w:tc>
        <w:tc>
          <w:tcPr>
            <w:tcW w:w="765" w:type="dxa"/>
            <w:shd w:val="clear" w:color="auto" w:fill="DDEBC9"/>
            <w:vAlign w:val="center"/>
          </w:tcPr>
          <w:p w14:paraId="6E59ADA0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5</w:t>
            </w:r>
          </w:p>
        </w:tc>
        <w:tc>
          <w:tcPr>
            <w:tcW w:w="822" w:type="dxa"/>
            <w:shd w:val="clear" w:color="auto" w:fill="DDEBC9"/>
            <w:vAlign w:val="center"/>
          </w:tcPr>
          <w:p w14:paraId="0166D7C1" w14:textId="77777777" w:rsidR="00696874" w:rsidRDefault="00000000">
            <w:pPr>
              <w:spacing w:before="20" w:after="20"/>
              <w:jc w:val="center"/>
            </w:pPr>
            <w:r>
              <w:rPr>
                <w:b/>
                <w:color w:val="0B7A6B"/>
                <w:sz w:val="18"/>
              </w:rPr>
              <w:t>1</w:t>
            </w:r>
          </w:p>
        </w:tc>
        <w:tc>
          <w:tcPr>
            <w:tcW w:w="794" w:type="dxa"/>
            <w:shd w:val="clear" w:color="auto" w:fill="DDEBC9"/>
            <w:vAlign w:val="center"/>
          </w:tcPr>
          <w:p w14:paraId="616FA7B5" w14:textId="77777777" w:rsidR="00696874" w:rsidRDefault="00696874">
            <w:pPr>
              <w:spacing w:before="20" w:after="20"/>
              <w:jc w:val="center"/>
            </w:pPr>
          </w:p>
        </w:tc>
      </w:tr>
    </w:tbl>
    <w:p w14:paraId="6FA85772" w14:textId="77777777" w:rsidR="00696874" w:rsidRDefault="00000000">
      <w:pPr>
        <w:spacing w:before="120" w:after="40"/>
      </w:pPr>
      <w:r>
        <w:rPr>
          <w:i/>
          <w:color w:val="8AA096"/>
          <w:sz w:val="19"/>
        </w:rPr>
        <w:t>Tuesday &amp; Sunday are off days — no outgoing shipments were made.</w:t>
      </w:r>
    </w:p>
    <w:p w14:paraId="282FB1AB" w14:textId="77777777" w:rsidR="00696874" w:rsidRDefault="00000000">
      <w:pPr>
        <w:spacing w:after="80"/>
      </w:pPr>
      <w:r>
        <w:rPr>
          <w:i/>
          <w:color w:val="8AA096"/>
          <w:sz w:val="19"/>
        </w:rPr>
        <w:t>Note on source data: item-type counts (26 + 71 + 237 = 334) run 11 above the recorded 323 shipments — a records reconciliation is recommended.</w:t>
      </w:r>
    </w:p>
    <w:p w14:paraId="48BFAD56" w14:textId="77777777" w:rsidR="00696874" w:rsidRDefault="00000000">
      <w:pPr>
        <w:pBdr>
          <w:bottom w:val="single" w:sz="14" w:space="3" w:color="AED580"/>
        </w:pBdr>
        <w:spacing w:before="320" w:after="120"/>
      </w:pPr>
      <w:r>
        <w:rPr>
          <w:b/>
          <w:color w:val="0B7A6B"/>
          <w:sz w:val="30"/>
        </w:rPr>
        <w:t>3.  Daily Performance — Volume &amp; Weight</w:t>
      </w:r>
    </w:p>
    <w:p w14:paraId="7C698944" w14:textId="77777777" w:rsidR="006968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446902" wp14:editId="677D6E55">
            <wp:extent cx="5472000" cy="28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hipm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B6A" w14:textId="77777777" w:rsidR="00696874" w:rsidRDefault="00000000">
      <w:pPr>
        <w:jc w:val="center"/>
      </w:pPr>
      <w:r>
        <w:rPr>
          <w:i/>
          <w:color w:val="8AA096"/>
          <w:sz w:val="18"/>
        </w:rPr>
        <w:t>Figure 1 — Shipments per day (working days in teal; off days in grey)</w:t>
      </w:r>
    </w:p>
    <w:p w14:paraId="322B2923" w14:textId="77777777" w:rsidR="00696874" w:rsidRDefault="00000000">
      <w:pPr>
        <w:jc w:val="center"/>
      </w:pPr>
      <w:r>
        <w:rPr>
          <w:noProof/>
        </w:rPr>
        <w:drawing>
          <wp:inline distT="0" distB="0" distL="0" distR="0" wp14:anchorId="51FE8F6A" wp14:editId="2DD0BBDC">
            <wp:extent cx="5472000" cy="280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we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DF49" w14:textId="77777777" w:rsidR="00696874" w:rsidRDefault="00000000">
      <w:pPr>
        <w:jc w:val="center"/>
      </w:pPr>
      <w:r>
        <w:rPr>
          <w:i/>
          <w:color w:val="8AA096"/>
          <w:sz w:val="18"/>
        </w:rPr>
        <w:t>Figure 2 — Outgoing weight per day (kg)</w:t>
      </w:r>
    </w:p>
    <w:p w14:paraId="73E3B681" w14:textId="77777777" w:rsidR="00696874" w:rsidRDefault="00000000">
      <w:pPr>
        <w:spacing w:after="80"/>
        <w:jc w:val="center"/>
      </w:pPr>
      <w:r>
        <w:rPr>
          <w:b/>
          <w:color w:val="0B7A6B"/>
          <w:sz w:val="21"/>
        </w:rPr>
        <w:t>Friday drove the weekly peak in both count (74 shipments) and weight (201.45 kg); activity pauses on Tuesday &amp; Sunday (off days).</w:t>
      </w:r>
    </w:p>
    <w:p w14:paraId="01DD5B8B" w14:textId="77777777" w:rsidR="00696874" w:rsidRDefault="00000000">
      <w:pPr>
        <w:pBdr>
          <w:bottom w:val="single" w:sz="14" w:space="3" w:color="AED580"/>
        </w:pBdr>
        <w:spacing w:before="320" w:after="120"/>
      </w:pPr>
      <w:r>
        <w:rPr>
          <w:b/>
          <w:color w:val="0B7A6B"/>
          <w:sz w:val="30"/>
        </w:rPr>
        <w:t>4.  Shipment Type Breakdown</w:t>
      </w:r>
    </w:p>
    <w:p w14:paraId="240D8D88" w14:textId="77777777" w:rsidR="006968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C3C568" wp14:editId="6079027E">
            <wp:extent cx="4500000" cy="26590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5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706D" w14:textId="77777777" w:rsidR="00696874" w:rsidRDefault="00000000">
      <w:pPr>
        <w:jc w:val="center"/>
      </w:pPr>
      <w:r>
        <w:rPr>
          <w:i/>
          <w:color w:val="8AA096"/>
          <w:sz w:val="18"/>
        </w:rPr>
        <w:t>Figure 3 — Share of 334 classified items (weekly total)</w:t>
      </w:r>
    </w:p>
    <w:p w14:paraId="6714E428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Parcels dominate: </w:t>
      </w:r>
      <w:r>
        <w:rPr>
          <w:color w:val="2A3B34"/>
          <w:sz w:val="21"/>
        </w:rPr>
        <w:t>237 items — about 71% of the outbound mix. Parcel handling capacity is the operation's core requirement.</w:t>
      </w:r>
    </w:p>
    <w:p w14:paraId="2781B537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Documents are secondary: </w:t>
      </w:r>
      <w:r>
        <w:rPr>
          <w:color w:val="2A3B34"/>
          <w:sz w:val="21"/>
        </w:rPr>
        <w:t>71 items (≈21%) — a steady, routine flow with low handling risk.</w:t>
      </w:r>
    </w:p>
    <w:p w14:paraId="3611BAED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Valuables are few but critical: </w:t>
      </w:r>
      <w:r>
        <w:rPr>
          <w:color w:val="2A3B34"/>
          <w:sz w:val="21"/>
        </w:rPr>
        <w:t>26 items (≈8%) — low volume, high risk; they demand strict chain-of-custody and secure packaging.</w:t>
      </w:r>
    </w:p>
    <w:p w14:paraId="613CD58F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Monday is valuable-heavy: </w:t>
      </w:r>
      <w:r>
        <w:rPr>
          <w:color w:val="2A3B34"/>
          <w:sz w:val="21"/>
        </w:rPr>
        <w:t>5 of the week's 26 valuables moved on Monday, the highest single-day count.</w:t>
      </w:r>
    </w:p>
    <w:p w14:paraId="75D9C961" w14:textId="77777777" w:rsidR="00696874" w:rsidRDefault="00000000">
      <w:pPr>
        <w:pBdr>
          <w:bottom w:val="single" w:sz="14" w:space="3" w:color="AED580"/>
        </w:pBdr>
        <w:spacing w:before="320" w:after="120"/>
      </w:pPr>
      <w:r>
        <w:rPr>
          <w:b/>
          <w:color w:val="0B7A6B"/>
          <w:sz w:val="30"/>
        </w:rPr>
        <w:t>5.  Payment Method Breakdown</w:t>
      </w:r>
    </w:p>
    <w:p w14:paraId="3F0F86CC" w14:textId="77777777" w:rsidR="00696874" w:rsidRDefault="00000000">
      <w:pPr>
        <w:jc w:val="center"/>
      </w:pPr>
      <w:r>
        <w:rPr>
          <w:noProof/>
        </w:rPr>
        <w:drawing>
          <wp:inline distT="0" distB="0" distL="0" distR="0" wp14:anchorId="1D618234" wp14:editId="40CCC3FB">
            <wp:extent cx="5220000" cy="2335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ay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3FD" w14:textId="77777777" w:rsidR="00696874" w:rsidRDefault="00000000">
      <w:pPr>
        <w:jc w:val="center"/>
      </w:pPr>
      <w:r>
        <w:rPr>
          <w:i/>
          <w:color w:val="8AA096"/>
          <w:sz w:val="18"/>
        </w:rPr>
        <w:t>Figure 4 — Shipments per payment method (of 323 total)</w:t>
      </w:r>
    </w:p>
    <w:p w14:paraId="60787F9E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COD leads: </w:t>
      </w:r>
      <w:r>
        <w:rPr>
          <w:color w:val="2A3B34"/>
          <w:sz w:val="21"/>
        </w:rPr>
        <w:t>203 shipments (62.8%) paid cash on delivery — the primary collection channel and a healthy cash-flow driver.</w:t>
      </w:r>
    </w:p>
    <w:p w14:paraId="09C4C105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Cash adds 35.3%: </w:t>
      </w:r>
      <w:r>
        <w:rPr>
          <w:color w:val="2A3B34"/>
          <w:sz w:val="21"/>
        </w:rPr>
        <w:t>114 shipments prepaid or paid at counter. COD + cash covers 98.1% of the week's shipments.</w:t>
      </w:r>
    </w:p>
    <w:p w14:paraId="5C2D9084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Credit is negligible: </w:t>
      </w:r>
      <w:r>
        <w:rPr>
          <w:color w:val="2A3B34"/>
          <w:sz w:val="21"/>
        </w:rPr>
        <w:t>only 5 shipments (1.5%) — receivables exposure is minimal under current limits.</w:t>
      </w:r>
    </w:p>
    <w:p w14:paraId="5B0DFE87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One payment pending: </w:t>
      </w:r>
      <w:r>
        <w:rPr>
          <w:color w:val="2A3B34"/>
          <w:sz w:val="21"/>
        </w:rPr>
        <w:t>a single shipment (Thursday) awaits settlement — follow up to close the week at 100%.</w:t>
      </w:r>
    </w:p>
    <w:p w14:paraId="42EA746F" w14:textId="77777777" w:rsidR="00696874" w:rsidRDefault="00000000">
      <w:pPr>
        <w:pBdr>
          <w:bottom w:val="single" w:sz="14" w:space="3" w:color="AED580"/>
        </w:pBdr>
        <w:spacing w:before="320" w:after="120"/>
      </w:pPr>
      <w:r>
        <w:rPr>
          <w:b/>
          <w:color w:val="0B7A6B"/>
          <w:sz w:val="30"/>
        </w:rPr>
        <w:t>6.  Key Findings</w:t>
      </w:r>
    </w:p>
    <w:p w14:paraId="378195AD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lastRenderedPageBreak/>
        <w:t xml:space="preserve">Friday was the peak day: </w:t>
      </w:r>
      <w:r>
        <w:rPr>
          <w:color w:val="2A3B34"/>
          <w:sz w:val="21"/>
        </w:rPr>
        <w:t>74 shipments (23% of weekly volume) and 201.45 kg (26% of weekly weight). Saturday was the lightest working day (60 shipments, 97.9 kg).</w:t>
      </w:r>
    </w:p>
    <w:p w14:paraId="0157CF0A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Mid-week stayed strong: </w:t>
      </w:r>
      <w:r>
        <w:rPr>
          <w:color w:val="2A3B34"/>
          <w:sz w:val="21"/>
        </w:rPr>
        <w:t>Wednesday and Thursday together moved 142 shipments — about 44% of the week — showing a stable core rhythm.</w:t>
      </w:r>
    </w:p>
    <w:p w14:paraId="20AE6729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The mix is parcel-heavy: </w:t>
      </w:r>
      <w:r>
        <w:rPr>
          <w:color w:val="2A3B34"/>
          <w:sz w:val="21"/>
        </w:rPr>
        <w:t>237 parcels (≈71%), 71 documents (≈21%) and 26 valuables (≈8%) — sorting and packaging should be parcel-first.</w:t>
      </w:r>
    </w:p>
    <w:p w14:paraId="5DB85008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Collections were secure: </w:t>
      </w:r>
      <w:r>
        <w:rPr>
          <w:color w:val="2A3B34"/>
          <w:sz w:val="21"/>
        </w:rPr>
        <w:t>COD (203) plus cash (114) settled 98.1% of shipments; only 5 on credit and 1 pending.</w:t>
      </w:r>
    </w:p>
    <w:p w14:paraId="02E33AD5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Cargo is light: </w:t>
      </w:r>
      <w:r>
        <w:rPr>
          <w:color w:val="2A3B34"/>
          <w:sz w:val="21"/>
        </w:rPr>
        <w:t>average weight of just 2.37 kg per shipment — well suited to consolidated batching and light vehicles.</w:t>
      </w:r>
    </w:p>
    <w:p w14:paraId="6254B92B" w14:textId="77777777" w:rsidR="00696874" w:rsidRDefault="00000000">
      <w:pPr>
        <w:pStyle w:val="ListBullet"/>
        <w:spacing w:after="100"/>
      </w:pPr>
      <w:r>
        <w:rPr>
          <w:b/>
          <w:color w:val="0B7A6B"/>
          <w:sz w:val="21"/>
        </w:rPr>
        <w:t xml:space="preserve">Operations pause on off days: </w:t>
      </w:r>
      <w:r>
        <w:rPr>
          <w:color w:val="2A3B34"/>
          <w:sz w:val="21"/>
        </w:rPr>
        <w:t>Tuesday and Sunday recorded no outgoing shipments, concentrating the week into 5 working days.</w:t>
      </w:r>
    </w:p>
    <w:p w14:paraId="6750A4E0" w14:textId="77777777" w:rsidR="00696874" w:rsidRDefault="00000000">
      <w:pPr>
        <w:pBdr>
          <w:bottom w:val="single" w:sz="14" w:space="3" w:color="AED580"/>
        </w:pBdr>
        <w:spacing w:before="320" w:after="120"/>
      </w:pPr>
      <w:r>
        <w:rPr>
          <w:b/>
          <w:color w:val="0B7A6B"/>
          <w:sz w:val="30"/>
        </w:rPr>
        <w:t>7.  Conclusion &amp; Recommendations</w:t>
      </w:r>
    </w:p>
    <w:tbl>
      <w:tblPr>
        <w:tblW w:w="0" w:type="auto"/>
        <w:jc w:val="center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866"/>
      </w:tblGrid>
      <w:tr w:rsidR="00696874" w14:paraId="660A06AE" w14:textId="77777777">
        <w:trPr>
          <w:jc w:val="center"/>
        </w:trPr>
        <w:tc>
          <w:tcPr>
            <w:tcW w:w="9866" w:type="dxa"/>
            <w:shd w:val="clear" w:color="auto" w:fill="0B7A6B"/>
          </w:tcPr>
          <w:p w14:paraId="1BD218B1" w14:textId="77777777" w:rsidR="00696874" w:rsidRDefault="00000000">
            <w:pPr>
              <w:spacing w:after="0"/>
            </w:pPr>
            <w:r>
              <w:rPr>
                <w:b/>
                <w:color w:val="FFFFFF"/>
              </w:rPr>
              <w:t>The week's outgoing operation delivered 323 shipments (764 kg) across 5 working days, with 98.1% settled through COD or cash — a stable, parcel-driven and financially secure performance.</w:t>
            </w:r>
          </w:p>
        </w:tc>
      </w:tr>
    </w:tbl>
    <w:p w14:paraId="29AF2CE2" w14:textId="77777777" w:rsidR="00696874" w:rsidRDefault="00696874">
      <w:pPr>
        <w:spacing w:after="40"/>
      </w:pPr>
    </w:p>
    <w:p w14:paraId="4059B49E" w14:textId="77777777" w:rsidR="00696874" w:rsidRDefault="00000000">
      <w:pPr>
        <w:spacing w:before="160" w:after="80"/>
      </w:pPr>
      <w:r>
        <w:rPr>
          <w:b/>
          <w:color w:val="0B7A6B"/>
          <w:sz w:val="25"/>
        </w:rPr>
        <w:t>What Went Well</w:t>
      </w:r>
    </w:p>
    <w:p w14:paraId="4C72D50F" w14:textId="77777777" w:rsidR="00696874" w:rsidRDefault="00000000">
      <w:pPr>
        <w:pStyle w:val="ListBullet"/>
        <w:spacing w:after="80"/>
      </w:pPr>
      <w:r>
        <w:rPr>
          <w:b/>
          <w:color w:val="0B7A6B"/>
          <w:sz w:val="21"/>
        </w:rPr>
        <w:t xml:space="preserve">Strong collections: </w:t>
      </w:r>
      <w:r>
        <w:rPr>
          <w:color w:val="2A3B34"/>
          <w:sz w:val="21"/>
        </w:rPr>
        <w:t>98.1% of shipments settled on delivery — minimal receivables risk.</w:t>
      </w:r>
    </w:p>
    <w:p w14:paraId="6C647B1C" w14:textId="77777777" w:rsidR="00696874" w:rsidRDefault="00000000">
      <w:pPr>
        <w:pStyle w:val="ListBullet"/>
        <w:spacing w:after="80"/>
      </w:pPr>
      <w:r>
        <w:rPr>
          <w:b/>
          <w:color w:val="0B7A6B"/>
          <w:sz w:val="21"/>
        </w:rPr>
        <w:t xml:space="preserve">Consistent output: </w:t>
      </w:r>
      <w:r>
        <w:rPr>
          <w:color w:val="2A3B34"/>
          <w:sz w:val="21"/>
        </w:rPr>
        <w:t>60–74 shipments every working day; no idle capacity days.</w:t>
      </w:r>
    </w:p>
    <w:p w14:paraId="65D3D921" w14:textId="77777777" w:rsidR="00696874" w:rsidRDefault="00000000">
      <w:pPr>
        <w:pStyle w:val="ListBullet"/>
        <w:spacing w:after="80"/>
      </w:pPr>
      <w:r>
        <w:rPr>
          <w:b/>
          <w:color w:val="0B7A6B"/>
          <w:sz w:val="21"/>
        </w:rPr>
        <w:t xml:space="preserve">Manageable cargo: </w:t>
      </w:r>
      <w:r>
        <w:rPr>
          <w:color w:val="2A3B34"/>
          <w:sz w:val="21"/>
        </w:rPr>
        <w:t>light average load (2.37 kg) keeps handling simple and costs low.</w:t>
      </w:r>
    </w:p>
    <w:p w14:paraId="0B3DBFDA" w14:textId="77777777" w:rsidR="00696874" w:rsidRDefault="00000000">
      <w:pPr>
        <w:spacing w:before="160" w:after="80"/>
      </w:pPr>
      <w:r>
        <w:rPr>
          <w:b/>
          <w:color w:val="0B7A6B"/>
          <w:sz w:val="25"/>
        </w:rPr>
        <w:t>Recommended Actions</w:t>
      </w:r>
    </w:p>
    <w:p w14:paraId="5AF5C125" w14:textId="77777777" w:rsidR="00696874" w:rsidRDefault="00000000">
      <w:pPr>
        <w:pStyle w:val="ListNumber"/>
        <w:spacing w:after="80"/>
      </w:pPr>
      <w:r>
        <w:rPr>
          <w:color w:val="2A3B34"/>
          <w:sz w:val="21"/>
        </w:rPr>
        <w:t>Staff for the Friday peak — add picking, packing and delivery capacity; keep Saturday light.</w:t>
      </w:r>
    </w:p>
    <w:p w14:paraId="20FF9610" w14:textId="77777777" w:rsidR="00696874" w:rsidRDefault="00000000">
      <w:pPr>
        <w:pStyle w:val="ListNumber"/>
        <w:spacing w:after="80"/>
      </w:pPr>
      <w:r>
        <w:rPr>
          <w:color w:val="2A3B34"/>
          <w:sz w:val="21"/>
        </w:rPr>
        <w:t>Tighten COD &amp; cash controls — daily reconciliation, secure floats, and promote digital payment to cut cash-handling risk.</w:t>
      </w:r>
    </w:p>
    <w:p w14:paraId="082CB3B1" w14:textId="77777777" w:rsidR="00696874" w:rsidRDefault="00000000">
      <w:pPr>
        <w:pStyle w:val="ListNumber"/>
        <w:spacing w:after="80"/>
      </w:pPr>
      <w:r>
        <w:rPr>
          <w:color w:val="2A3B34"/>
          <w:sz w:val="21"/>
        </w:rPr>
        <w:t>Protect the parcel flow — keep sorting space and packaging materials stocked for ~71% of volume.</w:t>
      </w:r>
    </w:p>
    <w:p w14:paraId="35F6328B" w14:textId="77777777" w:rsidR="00696874" w:rsidRDefault="00000000">
      <w:pPr>
        <w:pStyle w:val="ListNumber"/>
        <w:spacing w:after="80"/>
      </w:pPr>
      <w:r>
        <w:rPr>
          <w:color w:val="2A3B34"/>
          <w:sz w:val="21"/>
        </w:rPr>
        <w:t>Secure valuables — enforce chain-of-custody checks for the 26 high-risk items.</w:t>
      </w:r>
    </w:p>
    <w:p w14:paraId="40FDBC89" w14:textId="77777777" w:rsidR="00696874" w:rsidRDefault="00000000">
      <w:pPr>
        <w:pStyle w:val="ListNumber"/>
        <w:spacing w:after="80"/>
      </w:pPr>
      <w:r>
        <w:rPr>
          <w:color w:val="2A3B34"/>
          <w:sz w:val="21"/>
        </w:rPr>
        <w:t>Close the gaps — chase the 1 pending payment and reconcile the 11-unit gap between type counts (334) and shipment records (323).</w:t>
      </w:r>
    </w:p>
    <w:p w14:paraId="0BF970F7" w14:textId="19614005" w:rsidR="00696874" w:rsidRDefault="00696874">
      <w:pPr>
        <w:jc w:val="center"/>
      </w:pPr>
    </w:p>
    <w:p w14:paraId="7B6F6A0D" w14:textId="77777777" w:rsidR="00696874" w:rsidRDefault="00000000">
      <w:pPr>
        <w:spacing w:after="120"/>
        <w:jc w:val="center"/>
      </w:pPr>
      <w:r>
        <w:rPr>
          <w:i/>
          <w:color w:val="8AA096"/>
          <w:sz w:val="18"/>
        </w:rPr>
        <w:t>Source: Weekly Outgoing Summary sheet (as captured from the original record)</w:t>
      </w:r>
    </w:p>
    <w:sectPr w:rsidR="00696874" w:rsidSect="00034616">
      <w:footerReference w:type="default" r:id="rId12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97EE" w14:textId="77777777" w:rsidR="003A363D" w:rsidRDefault="003A363D">
      <w:pPr>
        <w:spacing w:after="0" w:line="240" w:lineRule="auto"/>
      </w:pPr>
      <w:r>
        <w:separator/>
      </w:r>
    </w:p>
  </w:endnote>
  <w:endnote w:type="continuationSeparator" w:id="0">
    <w:p w14:paraId="0C5E17B9" w14:textId="77777777" w:rsidR="003A363D" w:rsidRDefault="003A3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E4DA" w14:textId="57D8B543" w:rsidR="00696874" w:rsidRDefault="00000000">
    <w:pPr>
      <w:pStyle w:val="Footer"/>
      <w:jc w:val="center"/>
    </w:pPr>
    <w:r>
      <w:rPr>
        <w:color w:val="8AA096"/>
        <w:sz w:val="16"/>
      </w:rPr>
      <w:t xml:space="preserve">Weekly Outgoing Shipment </w:t>
    </w:r>
    <w:proofErr w:type="gramStart"/>
    <w:r>
      <w:rPr>
        <w:color w:val="8AA096"/>
        <w:sz w:val="16"/>
      </w:rPr>
      <w:t>Summary  ·</w:t>
    </w:r>
    <w:proofErr w:type="gramEnd"/>
    <w:r>
      <w:rPr>
        <w:color w:val="8AA096"/>
        <w:sz w:val="16"/>
      </w:rPr>
      <w:t xml:space="preserve">  Prepared by Tigist </w:t>
    </w:r>
    <w:proofErr w:type="gramStart"/>
    <w:r>
      <w:rPr>
        <w:color w:val="8AA096"/>
        <w:sz w:val="16"/>
      </w:rPr>
      <w:t>A</w:t>
    </w:r>
    <w:r w:rsidR="00D65B43">
      <w:rPr>
        <w:color w:val="8AA096"/>
        <w:sz w:val="16"/>
      </w:rPr>
      <w:t>hme</w:t>
    </w:r>
    <w:r>
      <w:rPr>
        <w:color w:val="8AA096"/>
        <w:sz w:val="16"/>
      </w:rPr>
      <w:t>d  ·</w:t>
    </w:r>
    <w:proofErr w:type="gramEnd"/>
    <w:r>
      <w:rPr>
        <w:color w:val="8AA096"/>
        <w:sz w:val="16"/>
      </w:rPr>
      <w:t xml:space="preserve">  Page </w:t>
    </w:r>
    <w:r>
      <w:rPr>
        <w:color w:val="8AA096"/>
        <w:sz w:val="16"/>
      </w:rPr>
      <w:fldChar w:fldCharType="begin"/>
    </w:r>
    <w:r>
      <w:rPr>
        <w:color w:val="8AA096"/>
        <w:sz w:val="16"/>
      </w:rPr>
      <w:instrText>PAGE</w:instrText>
    </w:r>
    <w:r w:rsidR="00D65B43">
      <w:rPr>
        <w:color w:val="8AA096"/>
        <w:sz w:val="16"/>
      </w:rPr>
      <w:fldChar w:fldCharType="separate"/>
    </w:r>
    <w:r w:rsidR="00D65B43">
      <w:rPr>
        <w:noProof/>
        <w:color w:val="8AA096"/>
        <w:sz w:val="16"/>
      </w:rPr>
      <w:t>1</w:t>
    </w:r>
    <w:r>
      <w:rPr>
        <w:color w:val="8AA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D55D" w14:textId="77777777" w:rsidR="003A363D" w:rsidRDefault="003A363D">
      <w:pPr>
        <w:spacing w:after="0" w:line="240" w:lineRule="auto"/>
      </w:pPr>
      <w:r>
        <w:separator/>
      </w:r>
    </w:p>
  </w:footnote>
  <w:footnote w:type="continuationSeparator" w:id="0">
    <w:p w14:paraId="0A8D1C3A" w14:textId="77777777" w:rsidR="003A363D" w:rsidRDefault="003A3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373262">
    <w:abstractNumId w:val="8"/>
  </w:num>
  <w:num w:numId="2" w16cid:durableId="233467993">
    <w:abstractNumId w:val="6"/>
  </w:num>
  <w:num w:numId="3" w16cid:durableId="947007275">
    <w:abstractNumId w:val="5"/>
  </w:num>
  <w:num w:numId="4" w16cid:durableId="434057378">
    <w:abstractNumId w:val="4"/>
  </w:num>
  <w:num w:numId="5" w16cid:durableId="1552423377">
    <w:abstractNumId w:val="7"/>
  </w:num>
  <w:num w:numId="6" w16cid:durableId="1966960255">
    <w:abstractNumId w:val="3"/>
  </w:num>
  <w:num w:numId="7" w16cid:durableId="539511584">
    <w:abstractNumId w:val="2"/>
  </w:num>
  <w:num w:numId="8" w16cid:durableId="1827546412">
    <w:abstractNumId w:val="1"/>
  </w:num>
  <w:num w:numId="9" w16cid:durableId="122375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A94"/>
    <w:rsid w:val="003A363D"/>
    <w:rsid w:val="00696874"/>
    <w:rsid w:val="00AA1D8D"/>
    <w:rsid w:val="00B47730"/>
    <w:rsid w:val="00CB0664"/>
    <w:rsid w:val="00D65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C88F7"/>
  <w14:defaultImageDpi w14:val="300"/>
  <w15:docId w15:val="{640060E3-1A5C-466B-9BB3-03E5FECE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Outgoing Shipment Summary</dc:title>
  <dc:subject>Outgoing logistics weekly performance report</dc:subject>
  <dc:creator>Tigist Amhrd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2026-09-01T11:55:00Z</dcterms:modified>
  <cp:category/>
</cp:coreProperties>
</file>