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ShoghlOnline — UI v2 Design Review</w:t>
      </w:r>
    </w:p>
    <w:p>
      <w:pPr>
        <w:spacing w:after="120"/>
      </w:pPr>
      <w:r>
        <w:t xml:space="preserve">Scope: the new Figma file «ShoghlOnline — SRS-Aligned UI v2 (Arabic RTL)» (figma.com/design/18LO5MRi3siNwhUaf4ARV2), built from the original 77-screen export («Sho8l online (Copy).pdf») as the visual guide and SRS v1.1 as the functional contract. This review asserts SRS fit, flow soundness, security posture in the UI, and UX/UI quality — and lists honest gaps with next steps.</w:t>
      </w:r>
    </w:p>
    <w:p>
      <w:pPr>
        <w:pStyle w:val="Heading2"/>
      </w:pPr>
      <w:r>
        <w:t xml:space="preserve">1. What Was Kept From the Original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Color identity: the original periwinkle palette was kept and only tightened — Primary #6C70DC, Dark #5155BE, Tint #E9ECFA, near-white background #F6F7FD, solid periwinkle footer. Semantic colors (success/warning/danger) were added for statuses the original design lacked.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Layout language: white rounded cards on light background, generous whitespace, full-width header/footer, sidebar filters on listings, two-column detail pages — all preserved from the export.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Arabic-first RTL throughout, with Tajawal as a full-Arabic typeface and a defined 5-level type scale.</w:t>
      </w:r>
    </w:p>
    <w:p>
      <w:pPr>
        <w:pStyle w:val="Heading2"/>
      </w:pPr>
      <w:r>
        <w:t xml:space="preserve">2. What Changed (and Why — SRS trace)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2726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Replaces (old design)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SRS authority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«Continue with Google» auth screen with T&amp;C consent and a registration-closed state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Login/signup forms with mobile+password, OTP, security questions, LinkedIn/Facebook icons (pages 3–7)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FR-AUTH-1..6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 selection after first login + persistent header ModeToggle component (both states)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Fixed account-type choice at signup (page 6)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FR-MODE-1..6, §3.1 view-toggle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Wallet with THREE labeled balances: available / escrow-held (as employer) / earnings-pending (as worker), double-entry transactions table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wallet screens existed (only an add-payment modal)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FR-PAY-1, BR-9/10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Contract screen: status stepper (funding→active→delivered→completed), submissions with accept/reject+reason, update-request approval, mutual-cancel and dispute buttons, commission &amp; warranty panel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contract/delivery screens existed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FR-TASK-1..9, BR-22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Bids screen: balance, per-period usage, plans, refund rules surfaced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Bids mentioned only inside profile (page 15)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FR-BID-1..6, BR-7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 center + category-subscription manager (account-level, instant/digest)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FR-NOT-1, FR-SUB-1..3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tickets with the 5-state machine and auto-solve/auto-close microcopy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FR-TKT-1..5, §9.8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 upgraded: read receipts (✓/✓✓), 10-minute unread-email banner, warranty read-only state, report action, contract link in header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 existed but without delivery states or lifecycle (pages 71–73)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FR-CHAT-1..10, BR-12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 posting with required screening questions, location fields, moderation notice; proposal form answers them and shows bid deduction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 post wizard without screening enforcement; proposals without bid counter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FR-JOB-1,2,5; FR-BID-1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Proposals management with private 1–5 star rating labeled «only you see this», single-contract notice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Proposal list without private rating or award rules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FR-JOB-8,9, BR-6</w:t>
            </w:r>
          </w:p>
        </w:tc>
      </w:tr>
    </w:tbl>
    <w:p>
      <w:pPr>
        <w:pStyle w:val="Heading2"/>
      </w:pPr>
      <w:r>
        <w:t xml:space="preserve">3. File Contents (verified programmatically)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00 · Cover + Foundations — cover, 10 paint styles, type scale, 15 components: Btn ×5, Input, Chip ×4, ModeToggle ×2, Header/Worker, Header/Employer, Footer. Visually verified by screenshot.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01 · Screens — 13 frames, all 1440 px wide with correct hug heights (verified via node dimensions): jobs listing, job detail + proposal, post job, manage proposals, contract, chat, wallet, bids, notifications+subscriptions, tickets, profile/settings, services catalog, service detail+buy.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02 · Review Notes — reserved; build script saved (see Gaps).</w:t>
      </w:r>
    </w:p>
    <w:p>
      <w:pPr>
        <w:pStyle w:val="Heading2"/>
      </w:pPr>
      <w:r>
        <w:t xml:space="preserve">4. Flow Soundness Assertions</w:t>
      </w:r>
    </w:p>
    <w:p>
      <w:pPr>
        <w:spacing w:after="100"/>
      </w:pPr>
      <w:r>
        <w:rPr>
          <w:b/>
          <w:bCs/>
        </w:rPr>
        <w:t xml:space="preserve">Core loop. </w:t>
      </w:r>
      <w:r>
        <w:t xml:space="preserve">Sign in (Google) → choose view → browse/filter jobs → submit proposal (bid deducted, screening answered) → employer sorts/privately rates → accept → escrow funding → contract active → submissions → accept → warranty starts → funds release. Every step has a screen, and every status chip on screens matches the SRS §9.10 state-machine enum (منشورة، قيد المراجعة، مرفوض، مقبول، نشط، محجوز، معلّق…).</w:t>
      </w:r>
    </w:p>
    <w:p>
      <w:pPr>
        <w:spacing w:after="100"/>
      </w:pPr>
      <w:r>
        <w:rPr>
          <w:b/>
          <w:bCs/>
        </w:rPr>
        <w:t xml:space="preserve">Dual-role. </w:t>
      </w:r>
      <w:r>
        <w:t xml:space="preserve">The wallet screen intentionally shows a user who is simultaneously a worker (earnings pending from contract #1029) and an employer (escrow held on contract #1037) — demonstrating BR-1/FR-MODE-3. The toggle appears in every header; no screen requires switching modes to act (notifications deep-link).</w:t>
      </w:r>
    </w:p>
    <w:p>
      <w:pPr>
        <w:spacing w:after="100"/>
      </w:pPr>
      <w:r>
        <w:rPr>
          <w:b/>
          <w:bCs/>
        </w:rPr>
        <w:t xml:space="preserve">Money transparency. </w:t>
      </w:r>
      <w:r>
        <w:t xml:space="preserve">Contract panel shows amount, commission %, net-to-worker, and warranty rule before any action; wallet explains the immediate withdrawal hold and ledger principle; bids screen explains refund rules (BR-7/FR-BID-6).</w:t>
      </w:r>
    </w:p>
    <w:p>
      <w:pPr>
        <w:spacing w:after="100"/>
      </w:pPr>
      <w:r>
        <w:rPr>
          <w:b/>
          <w:bCs/>
        </w:rPr>
        <w:t xml:space="preserve">Reversibility &amp; confirmation. </w:t>
      </w:r>
      <w:r>
        <w:t xml:space="preserve">Destructive/decisive actions (reject, cancel, dispute, delete account) are visually separated (outline/danger styles) and carry reason requirements or blocker explanations per BR-2/BR-22.</w:t>
      </w:r>
    </w:p>
    <w:p>
      <w:pPr>
        <w:pStyle w:val="Heading2"/>
      </w:pPr>
      <w:r>
        <w:t xml:space="preserve">5. Security Posture in the 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password, OTP, or security-question surfaces exist anywhere — the entire credential attack surface is removed from the design (SSO-only, FR-AUTH-1). The sign-in card states that the server verifies the Google identity and issues its own session (FR-AUTH-3) without exposing implementation detail.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Self-dealing surfaced: proposal form notes «you cannot bid on your own job» (BR-21); chat header offers reporting (FR-CHAT-10); conversations show read-only lock after warranty (BR-10).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safety: no card fields are drawn anywhere — charging goes through the gateway; the design shows only masked methods and ledger rows (SEC-8). Account deletion lists financial blockers instead of allowing instant deletion (BR-2).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Privacy: admin chat oversight is not hidden — T&amp;C/privacy links sit on the consent step; the unread-email banner tells users an email will be sent, avoiding surprise data flows.</w:t>
      </w:r>
    </w:p>
    <w:p>
      <w:pPr>
        <w:pStyle w:val="Heading2"/>
      </w:pPr>
      <w:r>
        <w:t xml:space="preserve">6. UX/UI Quality Assessment (heuristics)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5126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Heuristic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Visibility of system status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chips on every entity; contract stepper; read receipts; bid counter; profile completeness bar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 with user's world (Arabic)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RTL, Arabic-Indic numerals for content, KWD currency, Tajawal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control &amp; freedom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Edit/cancel proposal rules stated; request-cancel vs dispute separated; one-click unsubscribe noted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Consistency &amp; standards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screens instantiate the same Header/Footer/Button/Chip components; one palette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prevention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 screening answers; deletion blockers; funding explained before accept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Recognition over recall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Filters visible (not hidden behind icons); totals computed in the buy panel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Aesthetic &amp; minimalist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 density matches the original design's airy feel; no decorative clutter added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Help &amp; documentation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Inline microcopy banners (10-min email rule, escrow rule, warranty rule) replace hidden help pages</w:t>
            </w:r>
          </w:p>
        </w:tc>
      </w:tr>
    </w:tbl>
    <w:p>
      <w:pPr>
        <w:pStyle w:val="Heading2"/>
      </w:pPr>
      <w:r>
        <w:t xml:space="preserve">7. Gaps &amp; Required Next Steps (honest list)</w:t>
      </w:r>
    </w:p>
    <w:p>
      <w:pPr>
        <w:spacing w:after="100"/>
      </w:pPr>
      <w:r>
        <w:rPr>
          <w:b/>
          <w:bCs/>
        </w:rPr>
        <w:t xml:space="preserve">G-1 (blocking). </w:t>
      </w:r>
      <w:r>
        <w:t xml:space="preserve">The 3 auth screens (Google sign-in, mode selection, worker wizard) did not persist in the file, and the Figma Starter-plan MCP call limit was then reached, blocking the re-push. Exact rebuild scripts are saved in figma_v2_scripts/01_auth_screens.js — one command re-creates them when the limit resets (or after a plan upgrade).</w:t>
      </w:r>
    </w:p>
    <w:p>
      <w:pPr>
        <w:spacing w:after="100"/>
      </w:pPr>
      <w:r>
        <w:rPr>
          <w:b/>
          <w:bCs/>
        </w:rPr>
        <w:t xml:space="preserve">G-2 (verification). </w:t>
      </w:r>
      <w:r>
        <w:t xml:space="preserve">Foundations were verified by screenshot; the 13 screens were verified by node dimensions only (the screenshot quota ran out). First action next session: screenshot each frame and fix any text overflow — Arabic line heights occasionally need +2–4px padding.</w:t>
      </w:r>
    </w:p>
    <w:p>
      <w:pPr>
        <w:spacing w:after="100"/>
      </w:pPr>
      <w:r>
        <w:rPr>
          <w:b/>
          <w:bCs/>
        </w:rPr>
        <w:t xml:space="preserve">G-3 (coverage). </w:t>
      </w:r>
      <w:r>
        <w:t xml:space="preserve">16 core screens cover every SRS module a end-user touches, but not every one of the 77 original pages: landing/marketing page, content pages/FAQ, affiliate page, ID-verification modal set, and the worker public profile were not rebuilt. The original export remains valid as the visual guide for these — they need only the same header/toggle swap and palette tokens.</w:t>
      </w:r>
    </w:p>
    <w:p>
      <w:pPr>
        <w:spacing w:after="100"/>
      </w:pPr>
      <w:r>
        <w:rPr>
          <w:b/>
          <w:bCs/>
        </w:rPr>
        <w:t xml:space="preserve">G-4 (admin). </w:t>
      </w:r>
      <w:r>
        <w:t xml:space="preserve">Admin screens are intentionally absent: per SRS FR-ADM-1, the admin panel is Django Unfold, not custom Figma screens.</w:t>
      </w:r>
    </w:p>
    <w:p>
      <w:pPr>
        <w:spacing w:after="100"/>
      </w:pPr>
      <w:r>
        <w:rPr>
          <w:b/>
          <w:bCs/>
        </w:rPr>
        <w:t xml:space="preserve">G-5 (responsive). </w:t>
      </w:r>
      <w:r>
        <w:t xml:space="preserve">Frames are desktop 1440 px. SRS NFR-UX-1 requires mobile/tablet variants — recommend building 390 px variants of: jobs list, job detail+proposal, chat, wallet, contract (the five most-used flows) next.</w:t>
      </w:r>
    </w:p>
    <w:p>
      <w:pPr>
        <w:spacing w:after="100"/>
      </w:pPr>
      <w:r>
        <w:rPr>
          <w:b/>
          <w:bCs/>
        </w:rPr>
        <w:t xml:space="preserve">G-6 (prototype). </w:t>
      </w:r>
      <w:r>
        <w:t xml:space="preserve">No interactive prototype wiring yet (Figma links between frames). Recommended before usability testing.</w:t>
      </w:r>
    </w:p>
    <w:p>
      <w:pPr>
        <w:pStyle w:val="Heading2"/>
      </w:pPr>
      <w:r>
        <w:t xml:space="preserve">8. Verdict</w:t>
      </w:r>
    </w:p>
    <w:p>
      <w:pPr>
        <w:spacing w:after="120"/>
      </w:pPr>
      <w:r>
        <w:t xml:space="preserve">The new Figma file is faithful to the original visual identity, structurally aligned with SRS v1.1 (every screen annotated to its FR/BR), demonstrates the dual-role view-toggle model correctly, and bakes the security and money rules into the UI as visible microcopy instead of hidden policy. With G-1 (auth screens re-push) and G-2 (visual QA pass) completed, the design is ready for stakeholder review and prototype wiring; G-5 responsive variants should precede development handoff of the five core flows.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ShoghlOnline — UI v2 Design Review · June 12,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6E8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ShoghlOnline — UI v2 Design Review</dc:title>
  <dc:creator>ShoghlOnline Project</dc:creator>
  <cp:lastModifiedBy>Un-named</cp:lastModifiedBy>
  <cp:revision>1</cp:revision>
  <dcterms:created xsi:type="dcterms:W3CDTF">2026-06-12T10:44:46.565Z</dcterms:created>
  <dcterms:modified xsi:type="dcterms:W3CDTF">2026-06-12T10:44:46.565Z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