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G4-WATCH</w:t>
      </w:r>
    </w:p>
    <w:p>
      <w:pPr>
        <w:pStyle w:val="Heading1"/>
      </w:pPr>
      <w:r>
        <w:t>Module Dependency Map</w:t>
      </w:r>
    </w:p>
    <w:p>
      <w:pPr>
        <w:pStyle w:val="BlockText"/>
      </w:pPr>
      <w:r>
        <w:t>Status: Measured from the codebase</w:t>
        <w:br/>
        <w:t>Purpose: Which module consumes which artifact, in what order they must be built, and how the reusability claim is tested rather than asserted</w:t>
        <w:br/>
        <w:t>Repository state: commit 17d6484 on main · 4 September 2026</w:t>
        <w:br/>
        <w:t>Provenance tags: [MEASURED] read from the repository at generation time · [EXTRACTED] from Concept Paper v2 / Research Framework · [ENGINEERING RECOMMENDATION] a design decision for this build.</w:t>
      </w:r>
    </w:p>
    <w:p>
      <w:pPr>
        <w:pStyle w:val="Heading2"/>
      </w:pPr>
      <w:r>
        <w:t>1. Layer Dependency Chain</w:t>
      </w:r>
    </w:p>
    <w:p>
      <w:pPr>
        <w:pStyle w:val="FirstParagraph"/>
      </w:pPr>
      <w:r>
        <w:t>[MEASURED] Dependencies point inward. An arrow means 'imports'.</w:t>
      </w:r>
    </w:p>
    <w:p>
      <w:pPr>
        <w:pStyle w:val="SourceCode"/>
      </w:pPr>
      <w:r>
        <w:t xml:space="preserve">   workflow/ (Nextflow)</w:t>
        <w:br/>
        <w:t xml:space="preserve">        │  invokes via the CLI, never by import</w:t>
        <w:br/>
        <w:t xml:space="preserve">        ▼</w:t>
        <w:br/>
        <w:t xml:space="preserve">   g4watch/cli.py</w:t>
        <w:br/>
        <w:t xml:space="preserve">        │</w:t>
        <w:br/>
        <w:t xml:space="preserve">        ▼</w:t>
        <w:br/>
        <w:t xml:space="preserve">   g4watch/  ◄──────────── web/runner · web/workstation · web/backend</w:t>
        <w:br/>
        <w:t xml:space="preserve">   (13 packages)                        ▲</w:t>
        <w:br/>
        <w:t xml:space="preserve">   imports NOTHING in this repo         │ HTTP + SSE only</w:t>
        <w:br/>
        <w:t xml:space="preserve">                              app.html · g4.js</w:t>
      </w:r>
    </w:p>
    <w:p>
      <w:pPr>
        <w:spacing w:before="140" w:after="180"/>
        <w:ind w:left="173"/>
        <w:pBdr>
          <w:left w:val="single" w:sz="18" w:color="926019"/>
        </w:pBdr>
      </w:pPr>
      <w:r>
        <w:rPr>
          <w:b/>
          <w:color w:val="926019"/>
          <w:sz w:val="17"/>
        </w:rPr>
        <w:t xml:space="preserve">ENFORCED, NOT MERELY INTENDED  </w:t>
      </w:r>
      <w:r>
        <w:rPr>
          <w:sz w:val="18"/>
        </w:rPr>
        <w:t>g4watch imports nothing from web. The reverse violation shipped once — the CLI reached into web.workstation for corpus loading and the installed console script died outside the repository root with ModuleNotFoundError. Corpus loading now lives in g4watch/io/corpus.py.</w:t>
      </w:r>
    </w:p>
    <w:p>
      <w:pPr>
        <w:pStyle w:val="Heading2"/>
      </w:pPr>
      <w:r>
        <w:t>2. Package Dependency Matrix</w:t>
      </w:r>
    </w:p>
    <w:p>
      <w:pPr>
        <w:pStyle w:val="Heading3"/>
      </w:pPr>
      <w:r>
        <w:t>Which shared artifacts does each package consume?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296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Package</w:t>
            </w:r>
          </w:p>
        </w:tc>
        <w:tc>
          <w:tcPr>
            <w:tcW w:type="dxa" w:w="2736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Consumes</w:t>
            </w:r>
          </w:p>
        </w:tc>
        <w:tc>
          <w:tcPr>
            <w:tcW w:type="dxa" w:w="2880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Produces</w:t>
            </w:r>
          </w:p>
        </w:tc>
        <w:tc>
          <w:tcPr>
            <w:tcW w:type="dxa" w:w="2880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Depends on packages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qc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corpus FASTA, metadata TSV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QC report, passed FASTA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atlas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reference FASTA, G4 predictions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G4 Reference Atlas TSV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g4prediction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g4prediction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any sequence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G4Hunter hits, pattern-motif hits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alignment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passed FASTA, reference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aligned FASTA, quality report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io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phylo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aligned FASTA, tree files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trees, ancestral states, clade growth, recombination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io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variants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aligned FASTA, Atlas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variant calls, tip states, mutation counts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atlas, g4prediction, metrics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metrics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annotated samples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7 G.2 terms, outcome labels, normalisation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scoring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normalised terms, labels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fitted weights, M3/M4 scores, CUSUM/EWMA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validation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locus metrics, clades, design matrix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D.H1 gate, D.H3, M1-M4, floors, power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phylo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warning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score series, detection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warning level classification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reporting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everything above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report card, dashboard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pipeline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orchestrates the above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stage drivers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all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io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files on disk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FASTA reader, corpus loader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atlas, metrics, qc, pipeline</w:t>
            </w:r>
          </w:p>
        </w:tc>
      </w:tr>
    </w:tbl>
    <w:p>
      <w:pPr>
        <w:spacing w:after="40"/>
      </w:pPr>
    </w:p>
    <w:p>
      <w:pPr>
        <w:pStyle w:val="Heading2"/>
      </w:pPr>
      <w:r>
        <w:t>3. Detailed Stage Dependencies</w:t>
      </w:r>
    </w:p>
    <w:p>
      <w:pPr>
        <w:pStyle w:val="Heading3"/>
      </w:pPr>
      <w:r>
        <w:t>3.1 Stage 0 — Atlas construction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806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Inputs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reference FASTA; CDS bounds from the GenBank record; G4 prediction parameters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Outputs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G4 Reference Atlas TSV, 24 columns, one row per PQS with two-axis confidence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Consumed by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Stages 3, 4, 4.5, 5 and the tip-state annotator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Design note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Structural confidence and functional context are separate axes on purpose. Collapsing them into one ordinal scale systematically undercounted strong candidates in unannotated regions.</w:t>
            </w:r>
          </w:p>
        </w:tc>
      </w:tr>
    </w:tbl>
    <w:p>
      <w:pPr>
        <w:spacing w:after="40"/>
      </w:pPr>
    </w:p>
    <w:p>
      <w:pPr>
        <w:pStyle w:val="Heading3"/>
      </w:pPr>
      <w:r>
        <w:t>3.2 Stage 1 — QC and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806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Inputs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corpus FASTA, metadata TSV, reference FASTA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Outputs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QC report, QC-passed FASTA, reference-pinned alignment (uniform length)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Consumed by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Stages 2, 3, 4 and the tip-state annotator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Design note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--keeplength means only substitutions and reference-relative deletions are representable. Insertions are discarded. That is a deliberate, documented tradeoff for coordinate comparability.</w:t>
            </w:r>
          </w:p>
        </w:tc>
      </w:tr>
    </w:tbl>
    <w:p>
      <w:pPr>
        <w:spacing w:after="40"/>
      </w:pPr>
    </w:p>
    <w:p>
      <w:pPr>
        <w:pStyle w:val="Heading3"/>
      </w:pPr>
      <w:r>
        <w:t>3.3 Stage 1.5 — Recombination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806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Inputs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aligned FASTA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Outputs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PhiPack result, parsed to a tier-appropriate verdict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Consumed by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Stage 2 (a recombinant corpus invalidates a single tree)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Design note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Mandatory for every pathogen. config.recombination.enabled must be true; the validator raises if it is not, so a config cannot opt out.</w:t>
            </w:r>
          </w:p>
        </w:tc>
      </w:tr>
    </w:tbl>
    <w:p>
      <w:pPr>
        <w:spacing w:after="40"/>
      </w:pPr>
    </w:p>
    <w:p>
      <w:pPr>
        <w:pStyle w:val="Heading3"/>
      </w:pPr>
      <w:r>
        <w:t>3.4 Stage 2 — Phylogenetics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806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Inputs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aligned FASTA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Outputs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ML tree with UFBoot support, ML distance matrix, rooted time tree, ancestral states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Consumed by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clade growth, D.H3, Stage 4 phylo-weighted metrics, the workstation tree view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Design note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Ancestral-state reconstruction is a REQUIRED output, not optional — Stage 4 consumes it directly.</w:t>
            </w:r>
          </w:p>
        </w:tc>
      </w:tr>
    </w:tbl>
    <w:p>
      <w:pPr>
        <w:spacing w:after="40"/>
      </w:pPr>
    </w:p>
    <w:p>
      <w:pPr>
        <w:pStyle w:val="Heading3"/>
      </w:pPr>
      <w:r>
        <w:t>3.5 Stage 3 — Variant calling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806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Inputs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aligned FASTA, reference row of the alignment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Outputs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per-genome substitution and deletion calls in reference coordinates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Consumed by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ΔG4MB, TA, the mutation spectrum view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Design note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Called from the alignment rather than from reads, because the corpus is curated consensus assemblies. This is the same approach Nextstrain/Augur uses, not a workaround.</w:t>
            </w:r>
          </w:p>
        </w:tc>
      </w:tr>
    </w:tbl>
    <w:p>
      <w:pPr>
        <w:spacing w:after="40"/>
      </w:pPr>
    </w:p>
    <w:p>
      <w:pPr>
        <w:pStyle w:val="Heading3"/>
      </w:pPr>
      <w:r>
        <w:t>3.6 Tip-state annotation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806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Inputs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aligned FASTA, Atlas (scoring-eligible loci only), G4Hunter parameters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Outputs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per-genome states {present, disrupted, absent, gained} and substitution counts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Consumed by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all seven G.2 terms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Design note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The layer the implementation audit identified as missing. Without it Sample.states is empty and four of the seven terms are permanently None.</w:t>
            </w:r>
          </w:p>
        </w:tc>
      </w:tr>
    </w:tbl>
    <w:p>
      <w:pPr>
        <w:spacing w:after="40"/>
      </w:pPr>
    </w:p>
    <w:p>
      <w:pPr>
        <w:pStyle w:val="Heading3"/>
      </w:pPr>
      <w:r>
        <w:t>3.7 Stage 4 / 4.5 — Locus metrics and the D.H1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806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Inputs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Atlas, variant calls, ancestral states, GC-matched control regions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Outputs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per-locus disruption rates, Fisher exact p-values, BH correction, GC adjustment, ledger rows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Consumed by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THE GATE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Design note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Writes the ledger. This is the only stage whose output is permanent and append-only.</w:t>
            </w:r>
          </w:p>
        </w:tc>
      </w:tr>
    </w:tbl>
    <w:p>
      <w:pPr>
        <w:spacing w:after="40"/>
      </w:pPr>
    </w:p>
    <w:p>
      <w:pPr>
        <w:pStyle w:val="Heading3"/>
      </w:pPr>
      <w:r>
        <w:t>3.8 Stage 5 — Surveillance 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806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Inputs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annotated samples; requires an open gate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Outputs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7 terms, normalisation, outcome labels, fitted weights, M3/M4 scores, CUSUM/EWMA, D.H3, M1-M4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Consumed by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the report card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Design note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Refuses unless assert_scoring_permitted passes. run_stage5_unchecked exists for demonstration and marks the result authoritative=false.</w:t>
            </w:r>
          </w:p>
        </w:tc>
      </w:tr>
    </w:tbl>
    <w:p>
      <w:pPr>
        <w:spacing w:after="40"/>
      </w:pPr>
    </w:p>
    <w:p>
      <w:pPr>
        <w:pStyle w:val="Heading3"/>
      </w:pPr>
      <w:r>
        <w:t>3.9 Stage 6 — Report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806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Inputs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dataset payload, Stage 5 result, D.H3 verdict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Outputs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12 sections, each reported / blocked / unavailable with a stated 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Consumed by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the scientist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Design note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Never blocked as a whole; individual sections are, and each names the check that blocked it.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4. Build Order (dependency-driven)</w:t>
      </w:r>
    </w:p>
    <w:p>
      <w:pPr>
        <w:pStyle w:val="FirstParagraph"/>
      </w:pPr>
      <w:r>
        <w:t>[MEASURED] The order is forced by the artifact graph, not by preference.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432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736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446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Blocked until</w:t>
            </w:r>
          </w:p>
        </w:tc>
        <w:tc>
          <w:tcPr>
            <w:tcW w:type="dxa" w:w="2160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State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Stage 0 — Atlas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reference genome and CDS bounds are known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BUILT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Stage 1 — QC + alignment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corpus fetched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BUILT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Stage 1.5 — recombination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alignment exists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BUILT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Stage 2 — phylogenetics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alignment passes recombination screening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BUILT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Stage 3 — variants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alignment exists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BUILT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Tip-state annotation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Atlas + alignment exist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BUILT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Stage 4 — locus metrics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variants + ancestral states + controls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BUILT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Stage 4.5 — D.H1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locus metrics; Appendix C floor passed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BUILT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THE GATE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ledger records SUPPORTED and operational_mode is on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BUILT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Stage 5 — scoring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the gate opens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BUILT (CLI only)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Stage 6 — report card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Stage 5 result available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BUILT (CLI only)</w:t>
            </w:r>
          </w:p>
        </w:tc>
      </w:tr>
    </w:tbl>
    <w:p>
      <w:pPr>
        <w:spacing w:after="40"/>
      </w:pPr>
    </w:p>
    <w:p>
      <w:pPr>
        <w:pStyle w:val="Heading2"/>
      </w:pPr>
      <w:r>
        <w:t>5. Inter-stage coupling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Coupling</w:t>
            </w:r>
          </w:p>
        </w:tc>
        <w:tc>
          <w:tcPr>
            <w:tcW w:type="dxa" w:w="302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446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Mitigation in place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Atlas coordinates ↔ alignment coordinates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An alignment built against a different reference silently misplaces every locus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annotation_blocked_reason() checks the reference accession is present in the alignment and refuses otherwise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Tip states ↔ Atlas eligibility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Scoring weak loci would manufacture signal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select_scoring_eligible() is the single enforcement point; bypass requires an explicit flag that forces authoritative=false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Outcome labels ↔ metrics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Reading the label from the same window as the features is circular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Labels read from t+horizon, never t; a non-circularity lint is itself tested against a deliberately circular file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Score ↔ gate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Producing a score for a pathogen whose hypothesis failed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assert_scoring_permitted raises rather than returning a boolean, so it cannot be ignored by accident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Demo data ↔ real results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A synthetic figure reaching a publication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authoritative=false on every synthetic payload, watermarked in the UI, carried into the report card</w:t>
            </w:r>
          </w:p>
        </w:tc>
      </w:tr>
    </w:tbl>
    <w:p>
      <w:pPr>
        <w:spacing w:after="40"/>
      </w:pPr>
    </w:p>
    <w:p>
      <w:pPr>
        <w:pStyle w:val="Heading2"/>
      </w:pPr>
      <w:r>
        <w:t>6. Reusability Verification Tests</w:t>
      </w:r>
    </w:p>
    <w:p>
      <w:pPr>
        <w:pStyle w:val="FirstParagraph"/>
      </w:pPr>
      <w:r>
        <w:t>The claim is that the framework is not FMDV-shaped. These are the tests of that claim.</w:t>
      </w:r>
    </w:p>
    <w:p>
      <w:pPr>
        <w:pStyle w:val="Heading3"/>
      </w:pPr>
      <w:r>
        <w:t>Test A — a second pathogen needs no code</w:t>
      </w:r>
    </w:p>
    <w:p>
      <w:pPr>
        <w:pStyle w:val="BodyText"/>
      </w:pPr>
      <w:r>
        <w:t>Provision LSDV from config alone: reference, CDS bounds, corpus paths, lineage field, thresholds. Run acquisition through D.H1. PASS if a ledger row is produced by the same unmodified pipeline, whatever the verdict. Status: NOT YET RUN — LSDV is a scaffold config.</w:t>
      </w:r>
    </w:p>
    <w:p>
      <w:pPr>
        <w:pStyle w:val="Heading3"/>
      </w:pPr>
      <w:r>
        <w:t>Test B — a different genome scale</w:t>
      </w:r>
    </w:p>
    <w:p>
      <w:pPr>
        <w:pStyle w:val="BodyText"/>
      </w:pPr>
      <w:r>
        <w:t>LSDV is ~150 kb against FMDV's 8.2 kb, and is dsDNA rather than ssRNA. PASS if alignment and phylogenetics complete without stage-specific special-casing. Status: NOT YET RUN.</w:t>
      </w:r>
    </w:p>
    <w:p>
      <w:pPr>
        <w:pStyle w:val="Heading3"/>
      </w:pPr>
      <w:r>
        <w:t>Test C — the gate holds for a pathogen that fails</w:t>
      </w:r>
    </w:p>
    <w:p>
      <w:pPr>
        <w:pStyle w:val="BodyText"/>
      </w:pPr>
      <w:r>
        <w:t>A pathogen whose corpus cannot clear the Appendix C floor must produce INSUFFICIENT_DATA and a closed gate, not a score. PASS if `g4watch score` exits 3. Status: PASSING — this is the current FMDV state and CI asserts it on every push.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B6CB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10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A556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120"/>
    </w:pPr>
    <w:rPr>
      <w:sz w:val="20"/>
    </w:rPr>
  </w:style>
  <w:style w:type="paragraph" w:customStyle="1" w:styleId="BlockText">
    <w:name w:val="Block Text"/>
    <w:basedOn w:val="Normal"/>
    <w:pPr>
      <w:spacing w:before="120" w:after="200"/>
      <w:ind w:left="216"/>
    </w:pPr>
    <w:rPr>
      <w:color w:val="4A5568"/>
      <w:sz w:val="18"/>
    </w:rPr>
  </w:style>
  <w:style w:type="paragraph" w:customStyle="1" w:styleId="SourceCode">
    <w:name w:val="Source Code"/>
    <w:basedOn w:val="Normal"/>
    <w:pPr>
      <w:spacing w:before="80" w:after="160"/>
      <w:ind w:left="144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