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G4-WATCH</w:t>
      </w:r>
    </w:p>
    <w:p>
      <w:pPr>
        <w:pStyle w:val="Heading1"/>
      </w:pPr>
      <w:r>
        <w:t>Algorithm and Statistical Specification</w:t>
      </w:r>
    </w:p>
    <w:p>
      <w:pPr>
        <w:pStyle w:val="BlockText"/>
      </w:pPr>
      <w:r>
        <w:t>Status: The mathematics, as implemented</w:t>
        <w:br/>
        <w:t>Purpose: Every computation the pipeline performs, stated precisely enough to be re-implemented or challenged: formulas, thresholds, edge cases and the refusals each one makes</w:t>
        <w:br/>
        <w:t>Repository state: commit 17d6484 on main · 4 September 2026</w:t>
        <w:br/>
        <w:t>Provenance tags: [MEASURED] read from the repository at generation time · [EXTRACTED] from Concept Paper v2 / Research Framework · [ENGINEERING RECOMMENDATION] a design decision for this build.</w:t>
      </w:r>
    </w:p>
    <w:p>
      <w:pPr>
        <w:pStyle w:val="Heading2"/>
      </w:pPr>
      <w:r>
        <w:t>1. G4 Prediction — G4Hunter</w:t>
      </w:r>
    </w:p>
    <w:p>
      <w:pPr>
        <w:pStyle w:val="FirstParagraph"/>
      </w:pPr>
      <w:r>
        <w:t>Bedrat, Amina &amp; Mergny 2016, NAR. Reimplemented natively; hand-verified against the author's reference script, which is vendored.</w:t>
      </w:r>
    </w:p>
    <w:p>
      <w:pPr>
        <w:pStyle w:val="Heading3"/>
      </w:pPr>
      <w:r>
        <w:t>1.1 Per-base score</w:t>
      </w:r>
    </w:p>
    <w:p>
      <w:pPr>
        <w:pStyle w:val="SourceCode"/>
      </w:pPr>
      <w:r>
        <w:t xml:space="preserve">  For each position i in the sequence:</w:t>
        <w:br/>
        <w:t xml:space="preserve">      if s[i] is in a run of k consecutive G :  score[i] = +min(k, 4)</w:t>
        <w:br/>
        <w:t xml:space="preserve">      if s[i] is in a run of k consecutive C :  score[i] = -min(k, 4)</w:t>
        <w:br/>
        <w:t xml:space="preserve">      otherwise (A, T, U, N, any IUPAC code) :  score[i] =  0</w:t>
      </w:r>
    </w:p>
    <w:p>
      <w:pPr>
        <w:pStyle w:val="BodyText"/>
      </w:pPr>
      <w:r>
        <w:t>The cap at 4 is the published behaviour. Non-G/C characters score zero, matching the reference implementation exactly — its U/T/A-specific branch exists only as commented-out dead code.</w:t>
      </w:r>
    </w:p>
    <w:p>
      <w:pPr>
        <w:pStyle w:val="Heading3"/>
      </w:pPr>
      <w:r>
        <w:t>1.2 Windowed score and merged regions</w:t>
      </w:r>
    </w:p>
    <w:p>
      <w:pPr>
        <w:pStyle w:val="SourceCode"/>
      </w:pPr>
      <w:r>
        <w:t xml:space="preserve">  window_score[j] = mean( score[j .. j+w-1] )            w = 25 (config)</w:t>
        <w:br/>
        <w:t xml:space="preserve">  qualifying j    : window_score[j] &gt;= T  or  &lt;= -T      T = 1.2 (config)</w:t>
        <w:br/>
        <w:t xml:space="preserve">  A maximal run of consecutive qualifying j becomes ONE hit spanning</w:t>
        <w:br/>
        <w:t xml:space="preserve">      [ first_j , last_j + w )        i.e. (run_length - 1 + w) bases</w:t>
        <w:br/>
        <w:t xml:space="preserve">  hit.score  = mean( score[span] )        recomputed over the FULL span</w:t>
        <w:br/>
        <w:t xml:space="preserve">  hit.strand = '+' if hit.score &gt; 0 else '-'      (- means C-rich, G4 on the complement)</w:t>
      </w:r>
    </w:p>
    <w:p>
      <w:pPr>
        <w:spacing w:before="140" w:after="180"/>
        <w:ind w:left="173"/>
        <w:pBdr>
          <w:left w:val="single" w:sz="18" w:color="926019"/>
        </w:pBdr>
      </w:pPr>
      <w:r>
        <w:rPr>
          <w:b/>
          <w:color w:val="926019"/>
          <w:sz w:val="17"/>
        </w:rPr>
        <w:t xml:space="preserve">A COUNTER-INTUITIVE PROPERTY, VERIFIED NOT ASSUMED  </w:t>
      </w:r>
      <w:r>
        <w:rPr>
          <w:sz w:val="18"/>
        </w:rPr>
        <w:t>A merged region spans strictly more bases than any single qualifying window, so its own recomputed mean can fall BELOW the threshold that triggered it. A 25 nt window run of 3 covers 27 bases; two weakly-scoring boundary bases can pull the mean under 1.2. This was confirmed empirically against a real FMDV region and traced to the region-averaging convention. Callers needing 'was any window over threshold' must use sliding_window_scores() directly rather than trusting hit.score.</w:t>
      </w:r>
    </w:p>
    <w:p>
      <w:pPr>
        <w:pStyle w:val="Heading3"/>
      </w:pPr>
      <w:r>
        <w:t>1.3 Documented deviation from the reference script</w:t>
      </w:r>
    </w:p>
    <w:p>
      <w:pPr>
        <w:pStyle w:val="BodyText"/>
      </w:pPr>
      <w:r>
        <w:t>The reference script's WriteSeq re-slices the raw sequence and recomputes per-base scores from the start of a merged span, which can under-count the first bases if they are the tail of a run that began earlier. This implementation computes per-base scores once over the full input and slices into them. A run's cap-at-4 value at a given position cannot depend on where you started slicing, so this is the more correct reading.</w:t>
      </w:r>
    </w:p>
    <w:p>
      <w:pPr>
        <w:pStyle w:val="Heading2"/>
      </w:pPr>
      <w:r>
        <w:t>2. Atlas Classification — Two Independent Axes</w:t>
      </w:r>
    </w:p>
    <w:p>
      <w:pPr>
        <w:pStyle w:val="Heading3"/>
      </w:pPr>
      <w:r>
        <w:t>2.1 Axis 1 — Structural confidence (the only axis that gates scoring)</w:t>
      </w:r>
    </w:p>
    <w:p>
      <w:pPr>
        <w:pStyle w:val="SourceCode"/>
      </w:pPr>
      <w:r>
        <w:t xml:space="preserve">  in_alignment_gap_or_low_quality                       -&gt; AA  (algorithm artefact)</w:t>
        <w:br/>
        <w:t xml:space="preserve">  experimentally_confirmed AND functional_effect_shown  -&gt; EC</w:t>
        <w:br/>
        <w:t xml:space="preserve">  biophysically_confirmed                               -&gt; BC</w:t>
        <w:br/>
        <w:t xml:space="preserve">  tools &gt;= 2  AND  g4hunter &gt;= 1.5  AND  conservation &gt;= 85%   -&gt; SC</w:t>
        <w:br/>
        <w:t xml:space="preserve">  (tools &gt;= 2 AND 1.2 &lt;= g4hunter &lt; 1.5)  OR  (tools == 1 AND g4hunter &gt;= 1.8)  -&gt; MC</w:t>
        <w:br/>
        <w:t xml:space="preserve">  otherwise                                             -&gt; WC</w:t>
        <w:br/>
        <w:br/>
        <w:t xml:space="preserve">  SCORING ELIGIBLE = { EC, BC, SC }        enforced in exactly one place:</w:t>
        <w:br/>
        <w:t xml:space="preserve">                                           atlas.schema.select_scoring_eligible()</w:t>
      </w:r>
    </w:p>
    <w:p>
      <w:pPr>
        <w:pStyle w:val="Heading3"/>
      </w:pPr>
      <w:r>
        <w:t>2.2 Axis 2 — Functional context (never gates anything)</w:t>
      </w:r>
    </w:p>
    <w:p>
      <w:pPr>
        <w:pStyle w:val="SourceCode"/>
      </w:pPr>
      <w:r>
        <w:t xml:space="preserve">  has_conflicting_annotations         -&gt; CONFLICTING</w:t>
        <w:br/>
        <w:t xml:space="preserve">  overlaps_annotated_functional_region-&gt; KNOWN_FUNCTIONAL</w:t>
        <w:br/>
        <w:t xml:space="preserve">  otherwise                           -&gt; UNANNOTATED</w:t>
      </w:r>
    </w:p>
    <w:p>
      <w:pPr>
        <w:spacing w:before="140" w:after="180"/>
        <w:ind w:left="173"/>
        <w:pBdr>
          <w:left w:val="single" w:sz="18" w:color="C53030"/>
        </w:pBdr>
      </w:pPr>
      <w:r>
        <w:rPr>
          <w:b/>
          <w:color w:val="C53030"/>
          <w:sz w:val="17"/>
        </w:rPr>
        <w:t xml:space="preserve">WHY THE AXES ARE SEPARATE  </w:t>
      </w:r>
      <w:r>
        <w:rPr>
          <w:sz w:val="18"/>
        </w:rPr>
        <w:t>Revision 1 collapsed them into one ordinal scale, which systematically undercounted strong structural candidates sitting in unannotated — and therefore often understudied — regions. Adding a functional condition to structural_confidence(), or a score condition to functional_context(), reintroduces exactly that defect.</w:t>
      </w:r>
    </w:p>
    <w:p>
      <w:pPr>
        <w:spacing w:before="140" w:after="180"/>
        <w:ind w:left="173"/>
        <w:pBdr>
          <w:left w:val="single" w:sz="18" w:color="C53030"/>
        </w:pBdr>
      </w:pPr>
      <w:r>
        <w:rPr>
          <w:b/>
          <w:color w:val="C53030"/>
          <w:sz w:val="17"/>
        </w:rPr>
        <w:t xml:space="preserve">MEASURED CONSEQUENCE FOR FMDV  </w:t>
      </w:r>
      <w:r>
        <w:rPr>
          <w:sz w:val="18"/>
        </w:rPr>
        <w:t>All four loci: g4hunter −1.327, 0.951, −0.879, −1.28; conservation 18.18, 41.67, 44.44, 37.50%; concordant_tool_count 1. None reaches MC, let alone SC. select_scoring_eligible() returns an empty list, which is correct. The thresholds above were carried forward from Revision 1 and have never been re-derived for this cross-species application.</w:t>
      </w:r>
    </w:p>
    <w:p>
      <w:r>
        <w:br w:type="page"/>
      </w:r>
    </w:p>
    <w:p>
      <w:pPr>
        <w:pStyle w:val="Heading2"/>
      </w:pPr>
      <w:r>
        <w:t>3. Tip-State Classification</w:t>
      </w:r>
    </w:p>
    <w:p>
      <w:pPr>
        <w:pStyle w:val="FirstParagraph"/>
      </w:pPr>
      <w:r>
        <w:t>Per genome, per Atlas locus, from the reference-pinned alignment directly — not from the variant caller, which correctly skips ambiguous bases and would conflate an all-N span with an all-match span.</w:t>
      </w:r>
    </w:p>
    <w:p>
      <w:pPr>
        <w:pStyle w:val="Heading3"/>
      </w:pPr>
      <w:r>
        <w:t>3.1 The four states</w:t>
      </w:r>
    </w:p>
    <w:p>
      <w:pPr>
        <w:pStyle w:val="SourceCode"/>
      </w:pPr>
      <w:r>
        <w:t xml:space="preserve">  span_ref   = reference[start-1 : end]      1-based inclusive Atlas coordinates</w:t>
        <w:br/>
        <w:t xml:space="preserve">  span_query = query[start-1 : end]</w:t>
        <w:br/>
        <w:br/>
        <w:t xml:space="preserve">  if every base of span_query is gap or IUPAC-ambiguous:</w:t>
        <w:br/>
        <w:t xml:space="preserve">        if span is ALL GAP and both flanks are covered  -&gt; ABSENT   (a real deletion)</w:t>
        <w:br/>
        <w:t xml:space="preserve">        else                                            -&gt; not assessed (omitted entirely)</w:t>
        <w:br/>
        <w:t xml:space="preserve">  elif any position differs from reference, ignoring ambiguous query bases:</w:t>
        <w:br/>
        <w:t xml:space="preserve">                                                        -&gt; DISRUPTED</w:t>
        <w:br/>
        <w:t xml:space="preserve">  else                                                  -&gt; PRESENT</w:t>
        <w:br/>
        <w:br/>
        <w:t xml:space="preserve">  plus, once per genome:</w:t>
        <w:br/>
        <w:t xml:space="preserve">  if G4Hunter predicts a hit overlapping neither a reference hit nor any Atlas locus:</w:t>
        <w:br/>
        <w:t xml:space="preserve">                                                        -&gt; GAINED   (one marker per genome)</w:t>
      </w:r>
    </w:p>
    <w:p>
      <w:pPr>
        <w:pStyle w:val="Heading3"/>
      </w:pPr>
      <w:r>
        <w:t>3.2 The deletion-versus-coverage distinction</w:t>
      </w:r>
    </w:p>
    <w:p>
      <w:pPr>
        <w:pStyle w:val="BodyText"/>
      </w:pPr>
      <w:r>
        <w:t>An all-gap span means one of two opposite things: a real deletion, or a genome that simply does not cover that region. classify_tip_state() refuses to guess and returns UNKNOWN for both, which is correct for its scope. The annotation layer has more context and decides:</w:t>
      </w:r>
    </w:p>
    <w:tbl>
      <w:tblPr>
        <w:tblStyle w:val="TableGrid"/>
        <w:tblW w:type="auto" w:w="0"/>
        <w:jc w:val="center"/>
        <w:tblLook w:firstColumn="1" w:firstRow="1" w:lastColumn="0" w:lastRow="0" w:noHBand="0" w:noVBand="1" w:val="04A0"/>
      </w:tblPr>
      <w:tblGrid>
        <w:gridCol w:w="3264"/>
        <w:gridCol w:w="3264"/>
        <w:gridCol w:w="3264"/>
      </w:tblGrid>
      <w:tr>
        <w:tc>
          <w:tcPr>
            <w:tcW w:type="dxa" w:w="3744"/>
            <w:shd w:val="clear" w:fill="1B2A4A"/>
          </w:tcPr>
          <w:p>
            <w:r/>
            <w:r>
              <w:rPr>
                <w:b/>
                <w:color w:val="FFFFFF"/>
                <w:sz w:val="17"/>
              </w:rPr>
              <w:t>Condition</w:t>
            </w:r>
          </w:p>
        </w:tc>
        <w:tc>
          <w:tcPr>
            <w:tcW w:type="dxa" w:w="1440"/>
            <w:shd w:val="clear" w:fill="1B2A4A"/>
          </w:tcPr>
          <w:p>
            <w:r/>
            <w:r>
              <w:rPr>
                <w:b/>
                <w:color w:val="FFFFFF"/>
                <w:sz w:val="17"/>
              </w:rPr>
              <w:t>State</w:t>
            </w:r>
          </w:p>
        </w:tc>
        <w:tc>
          <w:tcPr>
            <w:tcW w:type="dxa" w:w="4608"/>
            <w:shd w:val="clear" w:fill="1B2A4A"/>
          </w:tcPr>
          <w:p>
            <w:r/>
            <w:r>
              <w:rPr>
                <w:b/>
                <w:color w:val="FFFFFF"/>
                <w:sz w:val="17"/>
              </w:rPr>
              <w:t>Why</w:t>
            </w:r>
          </w:p>
        </w:tc>
      </w:tr>
      <w:tr>
        <w:tc>
          <w:tcPr>
            <w:tcW w:type="dxa" w:w="3744"/>
          </w:tcPr>
          <w:p>
            <w:r/>
            <w:r>
              <w:rPr>
                <w:sz w:val="17"/>
              </w:rPr>
              <w:t>Span all gap; ≥10 informative bases within 50 bp on BOTH sides</w:t>
            </w:r>
          </w:p>
        </w:tc>
        <w:tc>
          <w:tcPr>
            <w:tcW w:type="dxa" w:w="1440"/>
          </w:tcPr>
          <w:p>
            <w:r/>
            <w:r>
              <w:rPr>
                <w:sz w:val="17"/>
              </w:rPr>
              <w:t>ABSENT</w:t>
            </w:r>
          </w:p>
        </w:tc>
        <w:tc>
          <w:tcPr>
            <w:tcW w:type="dxa" w:w="4608"/>
          </w:tcPr>
          <w:p>
            <w:r/>
            <w:r>
              <w:rPr>
                <w:sz w:val="17"/>
              </w:rPr>
              <w:t>Real sequence either side of a gap is a callable deletion</w:t>
            </w:r>
          </w:p>
        </w:tc>
      </w:tr>
      <w:tr>
        <w:tc>
          <w:tcPr>
            <w:tcW w:type="dxa" w:w="3744"/>
          </w:tcPr>
          <w:p>
            <w:r/>
            <w:r>
              <w:rPr>
                <w:sz w:val="17"/>
              </w:rPr>
              <w:t>Span all gap; a flank runs to the edge of coverage</w:t>
            </w:r>
          </w:p>
        </w:tc>
        <w:tc>
          <w:tcPr>
            <w:tcW w:type="dxa" w:w="1440"/>
          </w:tcPr>
          <w:p>
            <w:r/>
            <w:r>
              <w:rPr>
                <w:sz w:val="17"/>
              </w:rPr>
              <w:t>not assessed</w:t>
            </w:r>
          </w:p>
        </w:tc>
        <w:tc>
          <w:tcPr>
            <w:tcW w:type="dxa" w:w="4608"/>
          </w:tcPr>
          <w:p>
            <w:r/>
            <w:r>
              <w:rPr>
                <w:sz w:val="17"/>
              </w:rPr>
              <w:t>The genome does not cover the locus; recording a loss would be fabrication</w:t>
            </w:r>
          </w:p>
        </w:tc>
      </w:tr>
      <w:tr>
        <w:tc>
          <w:tcPr>
            <w:tcW w:type="dxa" w:w="3744"/>
          </w:tcPr>
          <w:p>
            <w:r/>
            <w:r>
              <w:rPr>
                <w:sz w:val="17"/>
              </w:rPr>
              <w:t>Span all ambiguous (N)</w:t>
            </w:r>
          </w:p>
        </w:tc>
        <w:tc>
          <w:tcPr>
            <w:tcW w:type="dxa" w:w="1440"/>
          </w:tcPr>
          <w:p>
            <w:r/>
            <w:r>
              <w:rPr>
                <w:sz w:val="17"/>
              </w:rPr>
              <w:t>not assessed</w:t>
            </w:r>
          </w:p>
        </w:tc>
        <w:tc>
          <w:tcPr>
            <w:tcW w:type="dxa" w:w="4608"/>
          </w:tcPr>
          <w:p>
            <w:r/>
            <w:r>
              <w:rPr>
                <w:sz w:val="17"/>
              </w:rPr>
              <w:t>Missing data, not evidence</w:t>
            </w:r>
          </w:p>
        </w:tc>
      </w:tr>
    </w:tbl>
    <w:p>
      <w:pPr>
        <w:spacing w:after="40"/>
      </w:pPr>
    </w:p>
    <w:p>
      <w:pPr>
        <w:spacing w:before="140" w:after="180"/>
        <w:ind w:left="173"/>
        <w:pBdr>
          <w:left w:val="single" w:sz="18" w:color="926019"/>
        </w:pBdr>
      </w:pPr>
      <w:r>
        <w:rPr>
          <w:b/>
          <w:color w:val="926019"/>
          <w:sz w:val="17"/>
        </w:rPr>
        <w:t xml:space="preserve">WHY THIS MATTERS MORE THAN IT LOOKS  </w:t>
      </w:r>
      <w:r>
        <w:rPr>
          <w:sz w:val="18"/>
        </w:rPr>
        <w:t>Getting it wrong in either direction corrupts G4D, and the failure is silent. On the real FMDV corpus 82 of 847 sequences are entirely gapped at one locus tied to the known 5' UTR poly-C tract — an assembly artefact, not evolution.</w:t>
      </w:r>
    </w:p>
    <w:p>
      <w:pPr>
        <w:pStyle w:val="Heading3"/>
      </w:pPr>
      <w:r>
        <w:t>3.3 Mutation counts</w:t>
      </w:r>
    </w:p>
    <w:p>
      <w:pPr>
        <w:pStyle w:val="SourceCode"/>
      </w:pPr>
      <w:r>
        <w:t xml:space="preserve">  variants   = call_variants(reference_row, query_row)</w:t>
        <w:br/>
        <w:t xml:space="preserve">  substitutions = [v for v in variants if v.type is SNP]      DELETIONS EXCLUDED</w:t>
        <w:br/>
        <w:t xml:space="preserve">  total_mutations = len(substitutions)</w:t>
        <w:br/>
        <w:t xml:space="preserve">  g4_mutations    = |{ v : v.position falls inside any eligible Atlas locus }|</w:t>
      </w:r>
    </w:p>
    <w:p>
      <w:pPr>
        <w:spacing w:before="140" w:after="180"/>
        <w:ind w:left="173"/>
        <w:pBdr>
          <w:left w:val="single" w:sz="18" w:color="C53030"/>
        </w:pBdr>
      </w:pPr>
      <w:r>
        <w:rPr>
          <w:b/>
          <w:color w:val="C53030"/>
          <w:sz w:val="17"/>
        </w:rPr>
        <w:t xml:space="preserve">WHY DELETIONS ARE EXCLUDED FROM THE BURDEN  </w:t>
      </w:r>
      <w:r>
        <w:rPr>
          <w:sz w:val="18"/>
        </w:rPr>
        <w:t>Under --keeplength a genome covering two thirds of the reference produces thousands of reference-relative 'deletions' that are nothing but its coverage window. Counting them would make ΔG4MB a measure of assembly completeness rather than of evolution. The framework defines the term over substitutions.</w:t>
      </w:r>
    </w:p>
    <w:p>
      <w:r>
        <w:br w:type="page"/>
      </w:r>
    </w:p>
    <w:p>
      <w:pPr>
        <w:pStyle w:val="Heading2"/>
      </w:pPr>
      <w:r>
        <w:t>4. The Seven Surveillance Terms</w:t>
      </w:r>
    </w:p>
    <w:p>
      <w:pPr>
        <w:pStyle w:val="FirstParagraph"/>
      </w:pPr>
      <w:r>
        <w:t>Windows are closed-open over collection year. A window with fewer than 8 genomes yields None for every term — never zero.</w:t>
      </w:r>
    </w:p>
    <w:p>
      <w:pPr>
        <w:pStyle w:val="Heading3"/>
      </w:pPr>
      <w:r>
        <w:t>4.1 State-derived terms</w:t>
      </w:r>
    </w:p>
    <w:p>
      <w:pPr>
        <w:pStyle w:val="SourceCode"/>
      </w:pPr>
      <w:r>
        <w:t xml:space="preserve">  Denominator is ASSESSED OBSERVATIONS, not genomes: a genome with three</w:t>
        <w:br/>
        <w:t xml:space="preserve">  assessed loci contributes three. A genome with none contributes nothing.</w:t>
        <w:br/>
        <w:br/>
        <w:t xml:space="preserve">    p_present   = count(PRESENT)   / total_assessed</w:t>
        <w:br/>
        <w:t xml:space="preserve">    G4D         = count(DISRUPTED) / total_assessed</w:t>
        <w:br/>
        <w:t xml:space="preserve">    G4G         = count(GAINED)    / total_assessed</w:t>
        <w:br/>
        <w:br/>
        <w:t xml:space="preserve">    G4C_t       = p_present                              (a level)</w:t>
        <w:br/>
        <w:t xml:space="preserve">    ΔG4C_t      = G4C_t  -  mean( G4C over the trailing B windows )    B = 4</w:t>
      </w:r>
    </w:p>
    <w:p>
      <w:pPr>
        <w:pStyle w:val="Heading3"/>
      </w:pPr>
      <w:r>
        <w:t>4.2 Mutation burden</w:t>
      </w:r>
    </w:p>
    <w:p>
      <w:pPr>
        <w:pStyle w:val="SourceCode"/>
      </w:pPr>
      <w:r>
        <w:t xml:space="preserve">    G4MB_t   = Σ g4_mutations  /  Σ total_mutations      over the window</w:t>
        <w:br/>
        <w:t xml:space="preserve">    ΔG4MB_t  = G4MB_t - mean( G4MB over the trailing B windows )</w:t>
        <w:br/>
        <w:br/>
        <w:t xml:space="preserve">  A SHARE, not a count, so the term does not simply track how many genomes</w:t>
        <w:br/>
        <w:t xml:space="preserve">  happen to have been sequenced in that window.</w:t>
      </w:r>
    </w:p>
    <w:p>
      <w:pPr>
        <w:pStyle w:val="Heading3"/>
      </w:pPr>
      <w:r>
        <w:t>4.3 Conventional terms</w:t>
      </w:r>
    </w:p>
    <w:p>
      <w:pPr>
        <w:pStyle w:val="SourceCode"/>
      </w:pPr>
      <w:r>
        <w:t xml:space="preserve">    LF_t  = max over lineages L of [ freq_t(L) - freq_{t-1}(L) ]</w:t>
        <w:br/>
        <w:t xml:space="preserve">            reported together with the lineage it belongs to, because +0.12</w:t>
        <w:br/>
        <w:t xml:space="preserve">            means something different for a dominant than for a rare lineage</w:t>
        <w:br/>
        <w:br/>
        <w:t xml:space="preserve">    GE_t  = -Σ p_c · ln p_c    over countries c, restricted to genomes whose</w:t>
        <w:br/>
        <w:t xml:space="preserve">            state set contains DISRUPTED or GAINED.  The framework defines GE</w:t>
        <w:br/>
        <w:t xml:space="preserve">            over the G4-CHANGED lineage, so a wide spread of unchanged</w:t>
        <w:br/>
        <w:t xml:space="preserve">            sequence must not inflate it.</w:t>
        <w:br/>
        <w:br/>
        <w:t xml:space="preserve">    TA_t  = (recent per-genome substitution rate) / (historical rate)</w:t>
        <w:br/>
        <w:t xml:space="preserve">            1.0 means no acceleration.  Clipped at 10 so a near-zero</w:t>
        <w:br/>
        <w:t xml:space="preserve">            historical denominator cannot produce a meaningless spike.</w:t>
      </w:r>
    </w:p>
    <w:p>
      <w:pPr>
        <w:pStyle w:val="Heading2"/>
      </w:pPr>
      <w:r>
        <w:t>5. Normalisation</w:t>
      </w:r>
    </w:p>
    <w:p>
      <w:pPr>
        <w:pStyle w:val="SourceCode"/>
      </w:pPr>
      <w:r>
        <w:t xml:space="preserve">  For each term x and window t, against the trailing baseline of B = 4 windows:</w:t>
        <w:br/>
        <w:br/>
        <w:t xml:space="preserve">      z_t = ( x_t - mean(baseline) ) / sd(baseline)</w:t>
        <w:br/>
        <w:br/>
        <w:t xml:space="preserve">  A window is normalised only if ALL SEVEN terms produce a finite z.</w:t>
      </w:r>
    </w:p>
    <w:p>
      <w:pPr>
        <w:spacing w:before="140" w:after="180"/>
        <w:ind w:left="173"/>
        <w:pBdr>
          <w:left w:val="single" w:sz="18" w:color="276749"/>
        </w:pBdr>
      </w:pPr>
      <w:r>
        <w:rPr>
          <w:b/>
          <w:color w:val="276749"/>
          <w:sz w:val="17"/>
        </w:rPr>
        <w:t xml:space="preserve">A CONSTANT TERM BLOCKS THE WINDOW, AND THAT IS CORRECT  </w:t>
      </w:r>
      <w:r>
        <w:rPr>
          <w:sz w:val="18"/>
        </w:rPr>
        <w:t>If sd(baseline) is zero the z-score is undefined and the window is dropped. Observed twice during end-to-end verification: a synthetic corpus where G4G was identically zero dropped every window, and one where G4G was zero until 1985 dropped the entire first half. The pipeline was right both times. A term that never varies cannot discriminate, and giving it a coefficient anyway would be worse than refusing.</w:t>
      </w:r>
    </w:p>
    <w:p>
      <w:pPr>
        <w:pStyle w:val="Heading2"/>
      </w:pPr>
      <w:r>
        <w:t>6. The Outcome Variable</w:t>
      </w:r>
    </w:p>
    <w:p>
      <w:pPr>
        <w:pStyle w:val="SourceCode"/>
      </w:pPr>
      <w:r>
        <w:t xml:space="preserve">  For lineage L and window t, with horizon h = 2 and threshold θ = 0.10:</w:t>
        <w:br/>
        <w:br/>
        <w:t xml:space="preserve">      expanded(L, t) = 1  if  freq_{t+h}(L) - freq_t(L)  &gt;=  θ</w:t>
        <w:br/>
        <w:t xml:space="preserve">                       0  otherwise</w:t>
        <w:br/>
        <w:br/>
        <w:t xml:space="preserve">  Windows within h of the end of the series are EXCLUDED, not zero-filled.</w:t>
        <w:br/>
        <w:t xml:space="preserve">  Lineages below a 2% base frequency are excluded as unstable.</w:t>
        <w:br/>
        <w:t xml:space="preserve">  A window needs &gt;= 8 genomes to contribute at all.</w:t>
      </w:r>
    </w:p>
    <w:p>
      <w:pPr>
        <w:spacing w:before="140" w:after="180"/>
        <w:ind w:left="173"/>
        <w:pBdr>
          <w:left w:val="single" w:sz="18" w:color="C53030"/>
        </w:pBdr>
      </w:pPr>
      <w:r>
        <w:rPr>
          <w:b/>
          <w:color w:val="C53030"/>
          <w:sz w:val="17"/>
        </w:rPr>
        <w:t xml:space="preserve">THE CIRCULARITY THIS DESIGN PREVENTS  </w:t>
      </w:r>
      <w:r>
        <w:rPr>
          <w:sz w:val="18"/>
        </w:rPr>
        <w:t>The label is read from t+h and never from t. Reading it from the same window that produced the features would let the model rediscover its own input. A dedicated non-circularity lint enforces this, and CI writes a deliberately circular file and asserts the lint rejects it — a lint never seen to fail is not known to work.</w:t>
      </w:r>
    </w:p>
    <w:p>
      <w:r>
        <w:br w:type="page"/>
      </w:r>
    </w:p>
    <w:p>
      <w:pPr>
        <w:pStyle w:val="Heading2"/>
      </w:pPr>
      <w:r>
        <w:t>7. Weight Fitting and the Composite Scores</w:t>
      </w:r>
    </w:p>
    <w:p>
      <w:pPr>
        <w:pStyle w:val="Heading3"/>
      </w:pPr>
      <w:r>
        <w:t>7.1 Core weights</w:t>
      </w:r>
    </w:p>
    <w:p>
      <w:pPr>
        <w:pStyle w:val="SourceCode"/>
      </w:pPr>
      <w:r>
        <w:t xml:space="preserve">  L2-penalised logistic regression on the TRAINING partition only.</w:t>
        <w:br/>
        <w:t xml:space="preserve">  The partition is temporal: the holdout is strictly later than the training data.</w:t>
        <w:br/>
        <w:t xml:space="preserve">  Discovery / training / holdout are split BEFORE any fitting occurs.</w:t>
        <w:br/>
        <w:br/>
        <w:t xml:space="preserve">  Fit refuses, rather than returning a number, when:</w:t>
        <w:br/>
        <w:t xml:space="preserve">      · a term is constant across the design matrix (cannot be z-scored)</w:t>
        <w:br/>
        <w:t xml:space="preserve">      · the outcome has a single class</w:t>
        <w:br/>
        <w:t xml:space="preserve">      · the fit does not converge</w:t>
        <w:br/>
        <w:t xml:space="preserve">  On refusal the driver falls back to an EQUAL-WEIGHT NULL and says so.</w:t>
      </w:r>
    </w:p>
    <w:p>
      <w:pPr>
        <w:pStyle w:val="Heading3"/>
      </w:pPr>
      <w:r>
        <w:t>7.2 Prior sensitivity — mandatory</w:t>
      </w:r>
    </w:p>
    <w:p>
      <w:pPr>
        <w:pStyle w:val="BodyText"/>
      </w:pPr>
      <w:r>
        <w:t>Concept Paper §10.3 requires weights to be shown prior-robust. The fitted weights are recomputed at penalty strengths 0.1, 0.5, 1.0, 5.0 and 20.0 and all five sets are reported. A weight whose sign flips across that range is not a finding.</w:t>
      </w:r>
    </w:p>
    <w:p>
      <w:pPr>
        <w:pStyle w:val="Heading3"/>
      </w:pPr>
      <w:r>
        <w:t>7.3 The two scores</w:t>
      </w:r>
    </w:p>
    <w:p>
      <w:pPr>
        <w:pStyle w:val="SourceCode"/>
      </w:pPr>
      <w:r>
        <w:t xml:space="preserve">  G4-EWS core   =  w1·ΔG4C + w2·G4D + w3·G4G + w4·ΔG4MB          (M3 terms)</w:t>
        <w:br/>
        <w:t xml:space="preserve">  Integrated    =  core  +  w5·LF + w6·GE + w7·TA                (M4 terms)</w:t>
        <w:br/>
        <w:br/>
        <w:t xml:space="preserve">  All inputs are z-scores, so the weights are directly comparable.</w:t>
      </w:r>
    </w:p>
    <w:p>
      <w:pPr>
        <w:pStyle w:val="Heading3"/>
      </w:pPr>
      <w:r>
        <w:t>7.4 Measured example (synthetic 2,400-genome study, 80 windows)</w:t>
      </w:r>
    </w:p>
    <w:tbl>
      <w:tblPr>
        <w:tblStyle w:val="TableGrid"/>
        <w:tblW w:type="auto" w:w="0"/>
        <w:jc w:val="center"/>
        <w:tblLook w:firstColumn="1" w:firstRow="1" w:lastColumn="0" w:lastRow="0" w:noHBand="0" w:noVBand="1" w:val="04A0"/>
      </w:tblPr>
      <w:tblGrid>
        <w:gridCol w:w="3264"/>
        <w:gridCol w:w="3264"/>
        <w:gridCol w:w="3264"/>
      </w:tblGrid>
      <w:tr>
        <w:tc>
          <w:tcPr>
            <w:tcW w:type="dxa" w:w="1152"/>
            <w:shd w:val="clear" w:fill="1B2A4A"/>
          </w:tcPr>
          <w:p>
            <w:r/>
            <w:r>
              <w:rPr>
                <w:b/>
                <w:color w:val="FFFFFF"/>
                <w:sz w:val="17"/>
              </w:rPr>
              <w:t>Weight</w:t>
            </w:r>
          </w:p>
        </w:tc>
        <w:tc>
          <w:tcPr>
            <w:tcW w:type="dxa" w:w="1728"/>
            <w:shd w:val="clear" w:fill="1B2A4A"/>
          </w:tcPr>
          <w:p>
            <w:r/>
            <w:r>
              <w:rPr>
                <w:b/>
                <w:color w:val="FFFFFF"/>
                <w:sz w:val="17"/>
              </w:rPr>
              <w:t>Term</w:t>
            </w:r>
          </w:p>
        </w:tc>
        <w:tc>
          <w:tcPr>
            <w:tcW w:type="dxa" w:w="6912"/>
            <w:shd w:val="clear" w:fill="1B2A4A"/>
          </w:tcPr>
          <w:p>
            <w:r/>
            <w:r>
              <w:rPr>
                <w:b/>
                <w:color w:val="FFFFFF"/>
                <w:sz w:val="17"/>
              </w:rPr>
              <w:t>Fitted value</w:t>
            </w:r>
          </w:p>
        </w:tc>
      </w:tr>
      <w:tr>
        <w:tc>
          <w:tcPr>
            <w:tcW w:type="dxa" w:w="1152"/>
          </w:tcPr>
          <w:p>
            <w:r/>
            <w:r>
              <w:rPr>
                <w:sz w:val="17"/>
              </w:rPr>
              <w:t>w1</w:t>
            </w:r>
          </w:p>
        </w:tc>
        <w:tc>
          <w:tcPr>
            <w:tcW w:type="dxa" w:w="1728"/>
          </w:tcPr>
          <w:p>
            <w:r/>
            <w:r>
              <w:rPr>
                <w:sz w:val="17"/>
              </w:rPr>
              <w:t>ΔG4C</w:t>
            </w:r>
          </w:p>
        </w:tc>
        <w:tc>
          <w:tcPr>
            <w:tcW w:type="dxa" w:w="6912"/>
          </w:tcPr>
          <w:p>
            <w:r/>
            <w:r>
              <w:rPr>
                <w:sz w:val="17"/>
              </w:rPr>
              <w:t>+0.0326</w:t>
            </w:r>
          </w:p>
        </w:tc>
      </w:tr>
      <w:tr>
        <w:tc>
          <w:tcPr>
            <w:tcW w:type="dxa" w:w="1152"/>
          </w:tcPr>
          <w:p>
            <w:r/>
            <w:r>
              <w:rPr>
                <w:sz w:val="17"/>
              </w:rPr>
              <w:t>w2</w:t>
            </w:r>
          </w:p>
        </w:tc>
        <w:tc>
          <w:tcPr>
            <w:tcW w:type="dxa" w:w="1728"/>
          </w:tcPr>
          <w:p>
            <w:r/>
            <w:r>
              <w:rPr>
                <w:sz w:val="17"/>
              </w:rPr>
              <w:t>G4D</w:t>
            </w:r>
          </w:p>
        </w:tc>
        <w:tc>
          <w:tcPr>
            <w:tcW w:type="dxa" w:w="6912"/>
          </w:tcPr>
          <w:p>
            <w:r/>
            <w:r>
              <w:rPr>
                <w:sz w:val="17"/>
              </w:rPr>
              <w:t>+0.1178</w:t>
            </w:r>
          </w:p>
        </w:tc>
      </w:tr>
      <w:tr>
        <w:tc>
          <w:tcPr>
            <w:tcW w:type="dxa" w:w="1152"/>
          </w:tcPr>
          <w:p>
            <w:r/>
            <w:r>
              <w:rPr>
                <w:sz w:val="17"/>
              </w:rPr>
              <w:t>w3</w:t>
            </w:r>
          </w:p>
        </w:tc>
        <w:tc>
          <w:tcPr>
            <w:tcW w:type="dxa" w:w="1728"/>
          </w:tcPr>
          <w:p>
            <w:r/>
            <w:r>
              <w:rPr>
                <w:sz w:val="17"/>
              </w:rPr>
              <w:t>G4G</w:t>
            </w:r>
          </w:p>
        </w:tc>
        <w:tc>
          <w:tcPr>
            <w:tcW w:type="dxa" w:w="6912"/>
          </w:tcPr>
          <w:p>
            <w:r/>
            <w:r>
              <w:rPr>
                <w:sz w:val="17"/>
              </w:rPr>
              <w:t>−0.1527</w:t>
            </w:r>
          </w:p>
        </w:tc>
      </w:tr>
      <w:tr>
        <w:tc>
          <w:tcPr>
            <w:tcW w:type="dxa" w:w="1152"/>
          </w:tcPr>
          <w:p>
            <w:r/>
            <w:r>
              <w:rPr>
                <w:sz w:val="17"/>
              </w:rPr>
              <w:t>w4</w:t>
            </w:r>
          </w:p>
        </w:tc>
        <w:tc>
          <w:tcPr>
            <w:tcW w:type="dxa" w:w="1728"/>
          </w:tcPr>
          <w:p>
            <w:r/>
            <w:r>
              <w:rPr>
                <w:sz w:val="17"/>
              </w:rPr>
              <w:t>ΔG4MB</w:t>
            </w:r>
          </w:p>
        </w:tc>
        <w:tc>
          <w:tcPr>
            <w:tcW w:type="dxa" w:w="6912"/>
          </w:tcPr>
          <w:p>
            <w:r/>
            <w:r>
              <w:rPr>
                <w:sz w:val="17"/>
              </w:rPr>
              <w:t>−0.1806</w:t>
            </w:r>
          </w:p>
        </w:tc>
      </w:tr>
      <w:tr>
        <w:tc>
          <w:tcPr>
            <w:tcW w:type="dxa" w:w="1152"/>
          </w:tcPr>
          <w:p>
            <w:r/>
            <w:r>
              <w:rPr>
                <w:sz w:val="17"/>
              </w:rPr>
              <w:t>w5–w7</w:t>
            </w:r>
          </w:p>
        </w:tc>
        <w:tc>
          <w:tcPr>
            <w:tcW w:type="dxa" w:w="1728"/>
          </w:tcPr>
          <w:p>
            <w:r/>
            <w:r>
              <w:rPr>
                <w:sz w:val="17"/>
              </w:rPr>
              <w:t>LF, GE, TA</w:t>
            </w:r>
          </w:p>
        </w:tc>
        <w:tc>
          <w:tcPr>
            <w:tcW w:type="dxa" w:w="6912"/>
          </w:tcPr>
          <w:p>
            <w:r/>
            <w:r>
              <w:rPr>
                <w:sz w:val="17"/>
              </w:rPr>
              <w:t>held at the equal-weight null so M4 is not over-parameterised</w:t>
            </w:r>
          </w:p>
        </w:tc>
      </w:tr>
    </w:tbl>
    <w:p>
      <w:pPr>
        <w:spacing w:after="40"/>
      </w:pPr>
    </w:p>
    <w:p>
      <w:pPr>
        <w:pStyle w:val="Heading2"/>
      </w:pPr>
      <w:r>
        <w:t>8. Model Comparison — M1 to M4</w:t>
      </w:r>
    </w:p>
    <w:tbl>
      <w:tblPr>
        <w:tblStyle w:val="TableGrid"/>
        <w:tblW w:type="auto" w:w="0"/>
        <w:jc w:val="center"/>
        <w:tblLook w:firstColumn="1" w:firstRow="1" w:lastColumn="0" w:lastRow="0" w:noHBand="0" w:noVBand="1" w:val="04A0"/>
      </w:tblPr>
      <w:tblGrid>
        <w:gridCol w:w="3264"/>
        <w:gridCol w:w="3264"/>
        <w:gridCol w:w="3264"/>
      </w:tblGrid>
      <w:tr>
        <w:tc>
          <w:tcPr>
            <w:tcW w:type="dxa" w:w="1008"/>
            <w:shd w:val="clear" w:fill="1B2A4A"/>
          </w:tcPr>
          <w:p>
            <w:r/>
            <w:r>
              <w:rPr>
                <w:b/>
                <w:color w:val="FFFFFF"/>
                <w:sz w:val="17"/>
              </w:rPr>
              <w:t>Model</w:t>
            </w:r>
          </w:p>
        </w:tc>
        <w:tc>
          <w:tcPr>
            <w:tcW w:type="dxa" w:w="2880"/>
            <w:shd w:val="clear" w:fill="1B2A4A"/>
          </w:tcPr>
          <w:p>
            <w:r/>
            <w:r>
              <w:rPr>
                <w:b/>
                <w:color w:val="FFFFFF"/>
                <w:sz w:val="17"/>
              </w:rPr>
              <w:t>Terms</w:t>
            </w:r>
          </w:p>
        </w:tc>
        <w:tc>
          <w:tcPr>
            <w:tcW w:type="dxa" w:w="5904"/>
            <w:shd w:val="clear" w:fill="1B2A4A"/>
          </w:tcPr>
          <w:p>
            <w:r/>
            <w:r>
              <w:rPr>
                <w:b/>
                <w:color w:val="FFFFFF"/>
                <w:sz w:val="17"/>
              </w:rPr>
              <w:t>Question it answers</w:t>
            </w:r>
          </w:p>
        </w:tc>
      </w:tr>
      <w:tr>
        <w:tc>
          <w:tcPr>
            <w:tcW w:type="dxa" w:w="1008"/>
          </w:tcPr>
          <w:p>
            <w:r/>
            <w:r>
              <w:rPr>
                <w:sz w:val="17"/>
              </w:rPr>
              <w:t>M1</w:t>
            </w:r>
          </w:p>
        </w:tc>
        <w:tc>
          <w:tcPr>
            <w:tcW w:type="dxa" w:w="2880"/>
          </w:tcPr>
          <w:p>
            <w:r/>
            <w:r>
              <w:rPr>
                <w:sz w:val="17"/>
              </w:rPr>
              <w:t>intercept only</w:t>
            </w:r>
          </w:p>
        </w:tc>
        <w:tc>
          <w:tcPr>
            <w:tcW w:type="dxa" w:w="5904"/>
          </w:tcPr>
          <w:p>
            <w:r/>
            <w:r>
              <w:rPr>
                <w:sz w:val="17"/>
              </w:rPr>
              <w:t>Baseline prevalence of expansion</w:t>
            </w:r>
          </w:p>
        </w:tc>
      </w:tr>
      <w:tr>
        <w:tc>
          <w:tcPr>
            <w:tcW w:type="dxa" w:w="1008"/>
          </w:tcPr>
          <w:p>
            <w:r/>
            <w:r>
              <w:rPr>
                <w:sz w:val="17"/>
              </w:rPr>
              <w:t>M2</w:t>
            </w:r>
          </w:p>
        </w:tc>
        <w:tc>
          <w:tcPr>
            <w:tcW w:type="dxa" w:w="2880"/>
          </w:tcPr>
          <w:p>
            <w:r/>
            <w:r>
              <w:rPr>
                <w:sz w:val="17"/>
              </w:rPr>
              <w:t>LF, GE, TA</w:t>
            </w:r>
          </w:p>
        </w:tc>
        <w:tc>
          <w:tcPr>
            <w:tcW w:type="dxa" w:w="5904"/>
          </w:tcPr>
          <w:p>
            <w:r/>
            <w:r>
              <w:rPr>
                <w:sz w:val="17"/>
              </w:rPr>
              <w:t>What conventional surveillance metrics alone achieve</w:t>
            </w:r>
          </w:p>
        </w:tc>
      </w:tr>
      <w:tr>
        <w:tc>
          <w:tcPr>
            <w:tcW w:type="dxa" w:w="1008"/>
          </w:tcPr>
          <w:p>
            <w:r/>
            <w:r>
              <w:rPr>
                <w:sz w:val="17"/>
              </w:rPr>
              <w:t>M3</w:t>
            </w:r>
          </w:p>
        </w:tc>
        <w:tc>
          <w:tcPr>
            <w:tcW w:type="dxa" w:w="2880"/>
          </w:tcPr>
          <w:p>
            <w:r/>
            <w:r>
              <w:rPr>
                <w:sz w:val="17"/>
              </w:rPr>
              <w:t>ΔG4C, G4D, G4G, ΔG4MB</w:t>
            </w:r>
          </w:p>
        </w:tc>
        <w:tc>
          <w:tcPr>
            <w:tcW w:type="dxa" w:w="5904"/>
          </w:tcPr>
          <w:p>
            <w:r/>
            <w:r>
              <w:rPr>
                <w:sz w:val="17"/>
              </w:rPr>
              <w:t>What G4 features alone achieve</w:t>
            </w:r>
          </w:p>
        </w:tc>
      </w:tr>
      <w:tr>
        <w:tc>
          <w:tcPr>
            <w:tcW w:type="dxa" w:w="1008"/>
          </w:tcPr>
          <w:p>
            <w:r/>
            <w:r>
              <w:rPr>
                <w:sz w:val="17"/>
              </w:rPr>
              <w:t>M4</w:t>
            </w:r>
          </w:p>
        </w:tc>
        <w:tc>
          <w:tcPr>
            <w:tcW w:type="dxa" w:w="2880"/>
          </w:tcPr>
          <w:p>
            <w:r/>
            <w:r>
              <w:rPr>
                <w:sz w:val="17"/>
              </w:rPr>
              <w:t>all seven</w:t>
            </w:r>
          </w:p>
        </w:tc>
        <w:tc>
          <w:tcPr>
            <w:tcW w:type="dxa" w:w="5904"/>
          </w:tcPr>
          <w:p>
            <w:r/>
            <w:r>
              <w:rPr>
                <w:sz w:val="17"/>
              </w:rPr>
              <w:t>Whether G4 features add to the conventional model</w:t>
            </w:r>
          </w:p>
        </w:tc>
      </w:tr>
    </w:tbl>
    <w:p>
      <w:pPr>
        <w:spacing w:after="40"/>
      </w:pPr>
    </w:p>
    <w:p>
      <w:pPr>
        <w:pStyle w:val="SourceCode"/>
      </w:pPr>
      <w:r>
        <w:t xml:space="preserve">  NESTED pairs, compared by likelihood ratio test:</w:t>
        <w:br/>
        <w:t xml:space="preserve">      LRT = 2 ( logL_larger - logL_smaller ) ~ chi2 with df = Δ parameters</w:t>
        <w:br/>
        <w:t xml:space="preserve">      M2 vs M1 · M4 vs M2 · M4 vs M1 · M4 vs M3</w:t>
        <w:br/>
        <w:br/>
        <w:t xml:space="preserve">  NON-NESTED (M3 vs M2): compared by AIC and by held-out AUC, never by LRT.</w:t>
        <w:br/>
        <w:t xml:space="preserve">      AIC = 2k - 2 logL          BIC = k ln n - 2 logL</w:t>
        <w:br/>
        <w:br/>
        <w:t xml:space="preserve">  THE D.H2 / D.H4 VERDICT:</w:t>
        <w:br/>
        <w:t xml:space="preserve">      g4_adds_value = (M4 beats M2 by LRT at 0.05)  AND  (M4 beats M2 on holdout AUC)</w:t>
        <w:br/>
        <w:t xml:space="preserve">      Both are required. A likelihood gain that does not survive holdout is overfitting.</w:t>
      </w:r>
    </w:p>
    <w:p>
      <w:pPr>
        <w:pStyle w:val="Heading3"/>
      </w:pPr>
      <w:r>
        <w:t>8.1 Measured example</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864"/>
            <w:shd w:val="clear" w:fill="1B2A4A"/>
          </w:tcPr>
          <w:p>
            <w:r/>
            <w:r>
              <w:rPr>
                <w:b/>
                <w:color w:val="FFFFFF"/>
                <w:sz w:val="17"/>
              </w:rPr>
              <w:t>Model</w:t>
            </w:r>
          </w:p>
        </w:tc>
        <w:tc>
          <w:tcPr>
            <w:tcW w:type="dxa" w:w="1152"/>
            <w:shd w:val="clear" w:fill="1B2A4A"/>
          </w:tcPr>
          <w:p>
            <w:r/>
            <w:r>
              <w:rPr>
                <w:b/>
                <w:color w:val="FFFFFF"/>
                <w:sz w:val="17"/>
              </w:rPr>
              <w:t>AIC</w:t>
            </w:r>
          </w:p>
        </w:tc>
        <w:tc>
          <w:tcPr>
            <w:tcW w:type="dxa" w:w="1440"/>
            <w:shd w:val="clear" w:fill="1B2A4A"/>
          </w:tcPr>
          <w:p>
            <w:r/>
            <w:r>
              <w:rPr>
                <w:b/>
                <w:color w:val="FFFFFF"/>
                <w:sz w:val="17"/>
              </w:rPr>
              <w:t>Holdout AUC</w:t>
            </w:r>
          </w:p>
        </w:tc>
        <w:tc>
          <w:tcPr>
            <w:tcW w:type="dxa" w:w="6336"/>
            <w:shd w:val="clear" w:fill="1B2A4A"/>
          </w:tcPr>
          <w:p>
            <w:r/>
            <w:r>
              <w:rPr>
                <w:b/>
                <w:color w:val="FFFFFF"/>
                <w:sz w:val="17"/>
              </w:rPr>
              <w:t>LRT</w:t>
            </w:r>
          </w:p>
        </w:tc>
      </w:tr>
      <w:tr>
        <w:tc>
          <w:tcPr>
            <w:tcW w:type="dxa" w:w="864"/>
          </w:tcPr>
          <w:p>
            <w:r/>
            <w:r>
              <w:rPr>
                <w:sz w:val="17"/>
              </w:rPr>
              <w:t>M1</w:t>
            </w:r>
          </w:p>
        </w:tc>
        <w:tc>
          <w:tcPr>
            <w:tcW w:type="dxa" w:w="1152"/>
          </w:tcPr>
          <w:p>
            <w:r/>
            <w:r>
              <w:rPr>
                <w:sz w:val="17"/>
              </w:rPr>
              <w:t>168.73</w:t>
            </w:r>
          </w:p>
        </w:tc>
        <w:tc>
          <w:tcPr>
            <w:tcW w:type="dxa" w:w="1440"/>
          </w:tcPr>
          <w:p>
            <w:r/>
            <w:r>
              <w:rPr>
                <w:sz w:val="17"/>
              </w:rPr>
              <w:t>0.746</w:t>
            </w:r>
          </w:p>
        </w:tc>
        <w:tc>
          <w:tcPr>
            <w:tcW w:type="dxa" w:w="6336"/>
          </w:tcPr>
          <w:p>
            <w:r/>
            <w:r>
              <w:rPr>
                <w:sz w:val="17"/>
              </w:rPr>
              <w:t>—</w:t>
            </w:r>
          </w:p>
        </w:tc>
      </w:tr>
      <w:tr>
        <w:tc>
          <w:tcPr>
            <w:tcW w:type="dxa" w:w="864"/>
          </w:tcPr>
          <w:p>
            <w:r/>
            <w:r>
              <w:rPr>
                <w:sz w:val="17"/>
              </w:rPr>
              <w:t>M2</w:t>
            </w:r>
          </w:p>
        </w:tc>
        <w:tc>
          <w:tcPr>
            <w:tcW w:type="dxa" w:w="1152"/>
          </w:tcPr>
          <w:p>
            <w:r/>
            <w:r>
              <w:rPr>
                <w:sz w:val="17"/>
              </w:rPr>
              <w:t>112.51</w:t>
            </w:r>
          </w:p>
        </w:tc>
        <w:tc>
          <w:tcPr>
            <w:tcW w:type="dxa" w:w="1440"/>
          </w:tcPr>
          <w:p>
            <w:r/>
            <w:r>
              <w:rPr>
                <w:sz w:val="17"/>
              </w:rPr>
              <w:t>0.736</w:t>
            </w:r>
          </w:p>
        </w:tc>
        <w:tc>
          <w:tcPr>
            <w:tcW w:type="dxa" w:w="6336"/>
          </w:tcPr>
          <w:p>
            <w:r/>
            <w:r>
              <w:rPr>
                <w:sz w:val="17"/>
              </w:rPr>
              <w:t>M2 vs M1: χ²=60.22, df=2, p=8.4e−14 — adds information</w:t>
            </w:r>
          </w:p>
        </w:tc>
      </w:tr>
      <w:tr>
        <w:tc>
          <w:tcPr>
            <w:tcW w:type="dxa" w:w="864"/>
          </w:tcPr>
          <w:p>
            <w:r/>
            <w:r>
              <w:rPr>
                <w:sz w:val="17"/>
              </w:rPr>
              <w:t>M3</w:t>
            </w:r>
          </w:p>
        </w:tc>
        <w:tc>
          <w:tcPr>
            <w:tcW w:type="dxa" w:w="1152"/>
          </w:tcPr>
          <w:p>
            <w:r/>
            <w:r>
              <w:rPr>
                <w:sz w:val="17"/>
              </w:rPr>
              <w:t>111.71</w:t>
            </w:r>
          </w:p>
        </w:tc>
        <w:tc>
          <w:tcPr>
            <w:tcW w:type="dxa" w:w="1440"/>
          </w:tcPr>
          <w:p>
            <w:r/>
            <w:r>
              <w:rPr>
                <w:sz w:val="17"/>
              </w:rPr>
              <w:t>0.228</w:t>
            </w:r>
          </w:p>
        </w:tc>
        <w:tc>
          <w:tcPr>
            <w:tcW w:type="dxa" w:w="6336"/>
          </w:tcPr>
          <w:p>
            <w:r/>
            <w:r>
              <w:rPr>
                <w:sz w:val="17"/>
              </w:rPr>
              <w:t>non-nested with M2; compared by AIC and AUC only</w:t>
            </w:r>
          </w:p>
        </w:tc>
      </w:tr>
      <w:tr>
        <w:tc>
          <w:tcPr>
            <w:tcW w:type="dxa" w:w="864"/>
          </w:tcPr>
          <w:p>
            <w:r/>
            <w:r>
              <w:rPr>
                <w:sz w:val="17"/>
              </w:rPr>
              <w:t>M4</w:t>
            </w:r>
          </w:p>
        </w:tc>
        <w:tc>
          <w:tcPr>
            <w:tcW w:type="dxa" w:w="1152"/>
          </w:tcPr>
          <w:p>
            <w:r/>
            <w:r>
              <w:rPr>
                <w:sz w:val="17"/>
              </w:rPr>
              <w:t>112.10</w:t>
            </w:r>
          </w:p>
        </w:tc>
        <w:tc>
          <w:tcPr>
            <w:tcW w:type="dxa" w:w="1440"/>
          </w:tcPr>
          <w:p>
            <w:r/>
            <w:r>
              <w:rPr>
                <w:sz w:val="17"/>
              </w:rPr>
              <w:t>0.503</w:t>
            </w:r>
          </w:p>
        </w:tc>
        <w:tc>
          <w:tcPr>
            <w:tcW w:type="dxa" w:w="6336"/>
          </w:tcPr>
          <w:p>
            <w:r/>
            <w:r>
              <w:rPr>
                <w:sz w:val="17"/>
              </w:rPr>
              <w:t>M4 vs M2: χ²=8.41, df=4, p=0.0777 — does NOT add information</w:t>
            </w:r>
          </w:p>
        </w:tc>
      </w:tr>
    </w:tbl>
    <w:p>
      <w:pPr>
        <w:spacing w:after="40"/>
      </w:pPr>
    </w:p>
    <w:p>
      <w:pPr>
        <w:pStyle w:val="BodyText"/>
      </w:pPr>
      <w:r>
        <w:t>Verdict on that run: g4_adds_value = False. Best by AIC is M3; best by held-out AUC is M1. This is a synthetic corpus, so the result demonstrates the machinery rather than the biology.</w:t>
      </w:r>
    </w:p>
    <w:p>
      <w:r>
        <w:br w:type="page"/>
      </w:r>
    </w:p>
    <w:p>
      <w:pPr>
        <w:pStyle w:val="Heading2"/>
      </w:pPr>
      <w:r>
        <w:t>9. Change Detection</w:t>
      </w:r>
    </w:p>
    <w:p>
      <w:pPr>
        <w:pStyle w:val="Heading3"/>
      </w:pPr>
      <w:r>
        <w:t>9.1 CUSUM</w:t>
      </w:r>
    </w:p>
    <w:p>
      <w:pPr>
        <w:pStyle w:val="SourceCode"/>
      </w:pPr>
      <w:r>
        <w:t xml:space="preserve">  S_0 = 0 ;   S_t = max( 0 ,  S_{t-1} + ( x_t - k ) )</w:t>
        <w:br/>
        <w:t xml:space="preserve">  alarm when S_t &gt; h</w:t>
        <w:br/>
        <w:br/>
        <w:t xml:space="preserve">  h is NOT taken from a table. It is calibrated by MOVING-BLOCK BOOTSTRAP</w:t>
        <w:br/>
        <w:t xml:space="preserve">  on the baseline half of the score series, to achieve a target</w:t>
        <w:br/>
        <w:t xml:space="preserve">  average run length ARL0 = 200.</w:t>
      </w:r>
    </w:p>
    <w:p>
      <w:pPr>
        <w:pStyle w:val="Heading3"/>
      </w:pPr>
      <w:r>
        <w:t>9.2 EWMA</w:t>
      </w:r>
    </w:p>
    <w:p>
      <w:pPr>
        <w:pStyle w:val="SourceCode"/>
      </w:pPr>
      <w:r>
        <w:t xml:space="preserve">  Z_t = λ x_t + (1-λ) Z_{t-1}          λ = 0.2</w:t>
        <w:br/>
        <w:t xml:space="preserve">  alarm when |Z_t| &gt; L,  L likewise calibrated by block bootstrap to ARL0 = 200</w:t>
      </w:r>
    </w:p>
    <w:p>
      <w:pPr>
        <w:spacing w:before="140" w:after="180"/>
        <w:ind w:left="173"/>
        <w:pBdr>
          <w:left w:val="single" w:sz="18" w:color="276749"/>
        </w:pBdr>
      </w:pPr>
      <w:r>
        <w:rPr>
          <w:b/>
          <w:color w:val="276749"/>
          <w:sz w:val="17"/>
        </w:rPr>
        <w:t xml:space="preserve">WHY A MOVING BLOCK AND NOT AN IID BOOTSTRAP  </w:t>
      </w:r>
      <w:r>
        <w:rPr>
          <w:sz w:val="18"/>
        </w:rPr>
        <w:t>Surveillance windows are autocorrelated: adjacent years share lineages and sequencing campaigns. Resampling individual observations would destroy that structure and produce a control limit that is too tight, making the false-alarm rate optimistic. The moving-block bootstrap preserves short-range dependence, and the achieved ARL is reported alongside the nominal target so the reader can see whether calibration succeeded.</w:t>
      </w:r>
    </w:p>
    <w:p>
      <w:pPr>
        <w:pStyle w:val="Heading3"/>
      </w:pPr>
      <w:r>
        <w:t>9.3 Measured example</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728"/>
            <w:shd w:val="clear" w:fill="1B2A4A"/>
          </w:tcPr>
          <w:p>
            <w:r/>
            <w:r>
              <w:rPr>
                <w:b/>
                <w:color w:val="FFFFFF"/>
                <w:sz w:val="17"/>
              </w:rPr>
              <w:t>Detector</w:t>
            </w:r>
          </w:p>
        </w:tc>
        <w:tc>
          <w:tcPr>
            <w:tcW w:type="dxa" w:w="1728"/>
            <w:shd w:val="clear" w:fill="1B2A4A"/>
          </w:tcPr>
          <w:p>
            <w:r/>
            <w:r>
              <w:rPr>
                <w:b/>
                <w:color w:val="FFFFFF"/>
                <w:sz w:val="17"/>
              </w:rPr>
              <w:t>Control limit</w:t>
            </w:r>
          </w:p>
        </w:tc>
        <w:tc>
          <w:tcPr>
            <w:tcW w:type="dxa" w:w="2304"/>
            <w:shd w:val="clear" w:fill="1B2A4A"/>
          </w:tcPr>
          <w:p>
            <w:r/>
            <w:r>
              <w:rPr>
                <w:b/>
                <w:color w:val="FFFFFF"/>
                <w:sz w:val="17"/>
              </w:rPr>
              <w:t>Alarms</w:t>
            </w:r>
          </w:p>
        </w:tc>
        <w:tc>
          <w:tcPr>
            <w:tcW w:type="dxa" w:w="1728"/>
            <w:shd w:val="clear" w:fill="1B2A4A"/>
          </w:tcPr>
          <w:p>
            <w:r/>
            <w:r>
              <w:rPr>
                <w:b/>
                <w:color w:val="FFFFFF"/>
                <w:sz w:val="17"/>
              </w:rPr>
              <w:t>Achieved ARL</w:t>
            </w:r>
          </w:p>
        </w:tc>
        <w:tc>
          <w:tcPr>
            <w:tcW w:type="dxa" w:w="2304"/>
            <w:shd w:val="clear" w:fill="1B2A4A"/>
          </w:tcPr>
          <w:p>
            <w:r/>
            <w:r>
              <w:rPr>
                <w:b/>
                <w:color w:val="FFFFFF"/>
                <w:sz w:val="17"/>
              </w:rPr>
              <w:t>Lag-1 autocorrelation</w:t>
            </w:r>
          </w:p>
        </w:tc>
      </w:tr>
      <w:tr>
        <w:tc>
          <w:tcPr>
            <w:tcW w:type="dxa" w:w="1728"/>
          </w:tcPr>
          <w:p>
            <w:r/>
            <w:r>
              <w:rPr>
                <w:sz w:val="17"/>
              </w:rPr>
              <w:t>CUSUM</w:t>
            </w:r>
          </w:p>
        </w:tc>
        <w:tc>
          <w:tcPr>
            <w:tcW w:type="dxa" w:w="1728"/>
          </w:tcPr>
          <w:p>
            <w:r/>
            <w:r>
              <w:rPr>
                <w:sz w:val="17"/>
              </w:rPr>
              <w:t>3.6627</w:t>
            </w:r>
          </w:p>
        </w:tc>
        <w:tc>
          <w:tcPr>
            <w:tcW w:type="dxa" w:w="2304"/>
          </w:tcPr>
          <w:p>
            <w:r/>
            <w:r>
              <w:rPr>
                <w:sz w:val="17"/>
              </w:rPr>
              <w:t>1, at window 1994</w:t>
            </w:r>
          </w:p>
        </w:tc>
        <w:tc>
          <w:tcPr>
            <w:tcW w:type="dxa" w:w="1728"/>
          </w:tcPr>
          <w:p>
            <w:r/>
            <w:r>
              <w:rPr>
                <w:sz w:val="17"/>
              </w:rPr>
              <w:t>200.28</w:t>
            </w:r>
          </w:p>
        </w:tc>
        <w:tc>
          <w:tcPr>
            <w:tcW w:type="dxa" w:w="2304"/>
          </w:tcPr>
          <w:p>
            <w:r/>
            <w:r>
              <w:rPr>
                <w:sz w:val="17"/>
              </w:rPr>
              <w:t>−0.0133</w:t>
            </w:r>
          </w:p>
        </w:tc>
      </w:tr>
      <w:tr>
        <w:tc>
          <w:tcPr>
            <w:tcW w:type="dxa" w:w="1728"/>
          </w:tcPr>
          <w:p>
            <w:r/>
            <w:r>
              <w:rPr>
                <w:sz w:val="17"/>
              </w:rPr>
              <w:t>EWMA (λ=0.2)</w:t>
            </w:r>
          </w:p>
        </w:tc>
        <w:tc>
          <w:tcPr>
            <w:tcW w:type="dxa" w:w="1728"/>
          </w:tcPr>
          <w:p>
            <w:r/>
            <w:r>
              <w:rPr>
                <w:sz w:val="17"/>
              </w:rPr>
              <w:t>0.7773</w:t>
            </w:r>
          </w:p>
        </w:tc>
        <w:tc>
          <w:tcPr>
            <w:tcW w:type="dxa" w:w="2304"/>
          </w:tcPr>
          <w:p>
            <w:r/>
            <w:r>
              <w:rPr>
                <w:sz w:val="17"/>
              </w:rPr>
              <w:t>1, at window 1994</w:t>
            </w:r>
          </w:p>
        </w:tc>
        <w:tc>
          <w:tcPr>
            <w:tcW w:type="dxa" w:w="1728"/>
          </w:tcPr>
          <w:p>
            <w:r/>
            <w:r>
              <w:rPr>
                <w:sz w:val="17"/>
              </w:rPr>
              <w:t>200.07</w:t>
            </w:r>
          </w:p>
        </w:tc>
        <w:tc>
          <w:tcPr>
            <w:tcW w:type="dxa" w:w="2304"/>
          </w:tcPr>
          <w:p>
            <w:r/>
            <w:r>
              <w:rPr>
                <w:sz w:val="17"/>
              </w:rPr>
              <w:t>—</w:t>
            </w:r>
          </w:p>
        </w:tc>
      </w:tr>
    </w:tbl>
    <w:p>
      <w:pPr>
        <w:spacing w:after="40"/>
      </w:pPr>
    </w:p>
    <w:p>
      <w:pPr>
        <w:pStyle w:val="BodyText"/>
      </w:pPr>
      <w:r>
        <w:t>Both detectors independently alarmed at 1994 on a synthetic study whose planted logistic inflection was 1995. Calibration requires at least 20 baseline observations; with fewer, both refuse and report the shortfall rather than emitting an uncalibrated limit.</w:t>
      </w:r>
    </w:p>
    <w:p>
      <w:pPr>
        <w:pStyle w:val="Heading2"/>
      </w:pPr>
      <w:r>
        <w:t>10. Hypothesis Tests</w:t>
      </w:r>
    </w:p>
    <w:p>
      <w:pPr>
        <w:pStyle w:val="Heading3"/>
      </w:pPr>
      <w:r>
        <w:t>10.1 D.H1 — locus versus GC-matched control</w:t>
      </w:r>
    </w:p>
    <w:p>
      <w:pPr>
        <w:pStyle w:val="SourceCode"/>
      </w:pPr>
      <w:r>
        <w:t xml:space="preserve">  Per locus, a 2x2 table:            disrupted   not disrupted</w:t>
        <w:br/>
        <w:t xml:space="preserve">           G4 locus                      a             b</w:t>
        <w:br/>
        <w:t xml:space="preserve">           GC-matched control            c             d</w:t>
        <w:br/>
        <w:br/>
        <w:t xml:space="preserve">  Fisher exact  -&gt;  raw p</w:t>
        <w:br/>
        <w:t xml:space="preserve">  GC-confound adjustment  -&gt;  adjusted p</w:t>
        <w:br/>
        <w:t xml:space="preserve">  Benjamini-Hochberg across loci  -&gt;  FDR-adjusted p</w:t>
        <w:br/>
        <w:t xml:space="preserve">  SUPPORTED if FDR p &lt; alpha (0.05, not configurable)</w:t>
        <w:br/>
        <w:br/>
        <w:t xml:space="preserve">  Control regions are matched on length (±10%) and GC (±5%), must not overlap</w:t>
        <w:br/>
        <w:t xml:space="preserve">  any PQS above an 0.80 overlap score, and are kept 50 bp clear of Atlas loci.</w:t>
      </w:r>
    </w:p>
    <w:p>
      <w:pPr>
        <w:pStyle w:val="Heading3"/>
      </w:pPr>
      <w:r>
        <w:t>10.2 D.H3 — clade clustering</w:t>
      </w:r>
    </w:p>
    <w:p>
      <w:pPr>
        <w:pStyle w:val="SourceCode"/>
      </w:pPr>
      <w:r>
        <w:t xml:space="preserve">  One row per clade.  Grouped expanding vs (stable or declining).</w:t>
        <w:br/>
        <w:br/>
        <w:t xml:space="preserve">                        transitions   non-transition branches</w:t>
        <w:br/>
        <w:t xml:space="preserve">      expanding              a                  b</w:t>
        <w:br/>
        <w:t xml:space="preserve">      not expanding          c                  d</w:t>
        <w:br/>
        <w:br/>
        <w:t xml:space="preserve">  Fisher exact, alternative = 'greater'.</w:t>
        <w:br/>
        <w:t xml:space="preserve">  Requires &gt;= 3 clades per group and &gt;= 6 clades with a determined trajectory;</w:t>
        <w:br/>
        <w:t xml:space="preserve">  below that it returns INSUFFICIENT_DATA rather than a p-value.</w:t>
        <w:br/>
        <w:t xml:space="preserve">  Flagged underpowered when either group has &lt; 20 branches.</w:t>
      </w:r>
    </w:p>
    <w:p>
      <w:pPr>
        <w:spacing w:before="140" w:after="180"/>
        <w:ind w:left="173"/>
        <w:pBdr>
          <w:left w:val="single" w:sz="18" w:color="2B6CB0"/>
        </w:pBdr>
      </w:pPr>
      <w:r>
        <w:rPr>
          <w:b/>
          <w:color w:val="2B6CB0"/>
          <w:sz w:val="17"/>
        </w:rPr>
        <w:t xml:space="preserve">WHY FISHER AND NOT CHI-SQUARE  </w:t>
      </w:r>
      <w:r>
        <w:rPr>
          <w:sz w:val="18"/>
        </w:rPr>
        <w:t>Clade counts are small and expected cell counts routinely fall below five, where the chi-square approximation is unreliable. Fisher is exact at any size and costs nothing at this scale.</w:t>
      </w:r>
    </w:p>
    <w:p>
      <w:pPr>
        <w:spacing w:before="140" w:after="180"/>
        <w:ind w:left="173"/>
        <w:pBdr>
          <w:left w:val="single" w:sz="18" w:color="C53030"/>
        </w:pBdr>
      </w:pPr>
      <w:r>
        <w:rPr>
          <w:b/>
          <w:color w:val="C53030"/>
          <w:sz w:val="17"/>
        </w:rPr>
        <w:t xml:space="preserve">WHAT 'PHYLOGENETIC CORRECTION' MEANS HERE  </w:t>
      </w:r>
      <w:r>
        <w:rPr>
          <w:sz w:val="18"/>
        </w:rPr>
        <w:t>The unit of analysis is the clade, not the tip. Counting tips would treat 200 sequences from one outbreak as 200 independent observations of the same evolutionary event — the single easiest way to manufacture a significant p-value in this field. Using clades as replicates IS the correction, and it is why the test refuses below the clade minimums.</w:t>
      </w:r>
    </w:p>
    <w:p>
      <w:pPr>
        <w:pStyle w:val="Heading2"/>
      </w:pPr>
      <w:r>
        <w:t>11. The Appendix C Minimum-Data Floor</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432"/>
            <w:shd w:val="clear" w:fill="1B2A4A"/>
          </w:tcPr>
          <w:p>
            <w:r/>
            <w:r>
              <w:rPr>
                <w:b/>
                <w:color w:val="FFFFFF"/>
                <w:sz w:val="17"/>
              </w:rPr>
              <w:t>#</w:t>
            </w:r>
          </w:p>
        </w:tc>
        <w:tc>
          <w:tcPr>
            <w:tcW w:type="dxa" w:w="4320"/>
            <w:shd w:val="clear" w:fill="1B2A4A"/>
          </w:tcPr>
          <w:p>
            <w:r/>
            <w:r>
              <w:rPr>
                <w:b/>
                <w:color w:val="FFFFFF"/>
                <w:sz w:val="17"/>
              </w:rPr>
              <w:t>Check</w:t>
            </w:r>
          </w:p>
        </w:tc>
        <w:tc>
          <w:tcPr>
            <w:tcW w:type="dxa" w:w="2304"/>
            <w:shd w:val="clear" w:fill="1B2A4A"/>
          </w:tcPr>
          <w:p>
            <w:r/>
            <w:r>
              <w:rPr>
                <w:b/>
                <w:color w:val="FFFFFF"/>
                <w:sz w:val="17"/>
              </w:rPr>
              <w:t>Threshold</w:t>
            </w:r>
          </w:p>
        </w:tc>
        <w:tc>
          <w:tcPr>
            <w:tcW w:type="dxa" w:w="2736"/>
            <w:shd w:val="clear" w:fill="1B2A4A"/>
          </w:tcPr>
          <w:p>
            <w:r/>
            <w:r>
              <w:rPr>
                <w:b/>
                <w:color w:val="FFFFFF"/>
                <w:sz w:val="17"/>
              </w:rPr>
              <w:t>Configurable</w:t>
            </w:r>
          </w:p>
        </w:tc>
      </w:tr>
      <w:tr>
        <w:tc>
          <w:tcPr>
            <w:tcW w:type="dxa" w:w="432"/>
          </w:tcPr>
          <w:p>
            <w:r/>
            <w:r>
              <w:rPr>
                <w:sz w:val="17"/>
              </w:rPr>
              <w:t>1</w:t>
            </w:r>
          </w:p>
        </w:tc>
        <w:tc>
          <w:tcPr>
            <w:tcW w:type="dxa" w:w="4320"/>
          </w:tcPr>
          <w:p>
            <w:r/>
            <w:r>
              <w:rPr>
                <w:sz w:val="17"/>
              </w:rPr>
              <w:t>Sequences per window</w:t>
            </w:r>
          </w:p>
        </w:tc>
        <w:tc>
          <w:tcPr>
            <w:tcW w:type="dxa" w:w="2304"/>
          </w:tcPr>
          <w:p>
            <w:r/>
            <w:r>
              <w:rPr>
                <w:sz w:val="17"/>
              </w:rPr>
              <w:t>≥ 30</w:t>
            </w:r>
          </w:p>
        </w:tc>
        <w:tc>
          <w:tcPr>
            <w:tcW w:type="dxa" w:w="2736"/>
          </w:tcPr>
          <w:p>
            <w:r/>
            <w:r>
              <w:rPr>
                <w:sz w:val="17"/>
              </w:rPr>
              <w:t>NO</w:t>
            </w:r>
          </w:p>
        </w:tc>
      </w:tr>
      <w:tr>
        <w:tc>
          <w:tcPr>
            <w:tcW w:type="dxa" w:w="432"/>
          </w:tcPr>
          <w:p>
            <w:r/>
            <w:r>
              <w:rPr>
                <w:sz w:val="17"/>
              </w:rPr>
              <w:t>2</w:t>
            </w:r>
          </w:p>
        </w:tc>
        <w:tc>
          <w:tcPr>
            <w:tcW w:type="dxa" w:w="4320"/>
          </w:tcPr>
          <w:p>
            <w:r/>
            <w:r>
              <w:rPr>
                <w:sz w:val="17"/>
              </w:rPr>
              <w:t>Sequences per lineage</w:t>
            </w:r>
          </w:p>
        </w:tc>
        <w:tc>
          <w:tcPr>
            <w:tcW w:type="dxa" w:w="2304"/>
          </w:tcPr>
          <w:p>
            <w:r/>
            <w:r>
              <w:rPr>
                <w:sz w:val="17"/>
              </w:rPr>
              <w:t>≥ 20</w:t>
            </w:r>
          </w:p>
        </w:tc>
        <w:tc>
          <w:tcPr>
            <w:tcW w:type="dxa" w:w="2736"/>
          </w:tcPr>
          <w:p>
            <w:r/>
            <w:r>
              <w:rPr>
                <w:sz w:val="17"/>
              </w:rPr>
              <w:t>NO</w:t>
            </w:r>
          </w:p>
        </w:tc>
      </w:tr>
      <w:tr>
        <w:tc>
          <w:tcPr>
            <w:tcW w:type="dxa" w:w="432"/>
          </w:tcPr>
          <w:p>
            <w:r/>
            <w:r>
              <w:rPr>
                <w:sz w:val="17"/>
              </w:rPr>
              <w:t>3</w:t>
            </w:r>
          </w:p>
        </w:tc>
        <w:tc>
          <w:tcPr>
            <w:tcW w:type="dxa" w:w="4320"/>
          </w:tcPr>
          <w:p>
            <w:r/>
            <w:r>
              <w:rPr>
                <w:sz w:val="17"/>
              </w:rPr>
              <w:t>Distinct timepoints</w:t>
            </w:r>
          </w:p>
        </w:tc>
        <w:tc>
          <w:tcPr>
            <w:tcW w:type="dxa" w:w="2304"/>
          </w:tcPr>
          <w:p>
            <w:r/>
            <w:r>
              <w:rPr>
                <w:sz w:val="17"/>
              </w:rPr>
              <w:t>≥ 3</w:t>
            </w:r>
          </w:p>
        </w:tc>
        <w:tc>
          <w:tcPr>
            <w:tcW w:type="dxa" w:w="2736"/>
          </w:tcPr>
          <w:p>
            <w:r/>
            <w:r>
              <w:rPr>
                <w:sz w:val="17"/>
              </w:rPr>
              <w:t>NO</w:t>
            </w:r>
          </w:p>
        </w:tc>
      </w:tr>
      <w:tr>
        <w:tc>
          <w:tcPr>
            <w:tcW w:type="dxa" w:w="432"/>
          </w:tcPr>
          <w:p>
            <w:r/>
            <w:r>
              <w:rPr>
                <w:sz w:val="17"/>
              </w:rPr>
              <w:t>4</w:t>
            </w:r>
          </w:p>
        </w:tc>
        <w:tc>
          <w:tcPr>
            <w:tcW w:type="dxa" w:w="4320"/>
          </w:tcPr>
          <w:p>
            <w:r/>
            <w:r>
              <w:rPr>
                <w:sz w:val="17"/>
              </w:rPr>
              <w:t>Metadata completeness</w:t>
            </w:r>
          </w:p>
        </w:tc>
        <w:tc>
          <w:tcPr>
            <w:tcW w:type="dxa" w:w="2304"/>
          </w:tcPr>
          <w:p>
            <w:r/>
            <w:r>
              <w:rPr>
                <w:sz w:val="17"/>
              </w:rPr>
              <w:t>≥ 90%</w:t>
            </w:r>
          </w:p>
        </w:tc>
        <w:tc>
          <w:tcPr>
            <w:tcW w:type="dxa" w:w="2736"/>
          </w:tcPr>
          <w:p>
            <w:r/>
            <w:r>
              <w:rPr>
                <w:sz w:val="17"/>
              </w:rPr>
              <w:t>NO</w:t>
            </w:r>
          </w:p>
        </w:tc>
      </w:tr>
      <w:tr>
        <w:tc>
          <w:tcPr>
            <w:tcW w:type="dxa" w:w="432"/>
          </w:tcPr>
          <w:p>
            <w:r/>
            <w:r>
              <w:rPr>
                <w:sz w:val="17"/>
              </w:rPr>
              <w:t>5</w:t>
            </w:r>
          </w:p>
        </w:tc>
        <w:tc>
          <w:tcPr>
            <w:tcW w:type="dxa" w:w="4320"/>
          </w:tcPr>
          <w:p>
            <w:r/>
            <w:r>
              <w:rPr>
                <w:sz w:val="17"/>
              </w:rPr>
              <w:t>Alignment QC pass rate</w:t>
            </w:r>
          </w:p>
        </w:tc>
        <w:tc>
          <w:tcPr>
            <w:tcW w:type="dxa" w:w="2304"/>
          </w:tcPr>
          <w:p>
            <w:r/>
            <w:r>
              <w:rPr>
                <w:sz w:val="17"/>
              </w:rPr>
              <w:t>≥ 50%</w:t>
            </w:r>
          </w:p>
        </w:tc>
        <w:tc>
          <w:tcPr>
            <w:tcW w:type="dxa" w:w="2736"/>
          </w:tcPr>
          <w:p>
            <w:r/>
            <w:r>
              <w:rPr>
                <w:sz w:val="17"/>
              </w:rPr>
              <w:t>NO</w:t>
            </w:r>
          </w:p>
        </w:tc>
      </w:tr>
      <w:tr>
        <w:tc>
          <w:tcPr>
            <w:tcW w:type="dxa" w:w="432"/>
          </w:tcPr>
          <w:p>
            <w:r/>
            <w:r>
              <w:rPr>
                <w:sz w:val="17"/>
              </w:rPr>
              <w:t>6</w:t>
            </w:r>
          </w:p>
        </w:tc>
        <w:tc>
          <w:tcPr>
            <w:tcW w:type="dxa" w:w="4320"/>
          </w:tcPr>
          <w:p>
            <w:r/>
            <w:r>
              <w:rPr>
                <w:sz w:val="17"/>
              </w:rPr>
              <w:t>Informative clades</w:t>
            </w:r>
          </w:p>
        </w:tc>
        <w:tc>
          <w:tcPr>
            <w:tcW w:type="dxa" w:w="2304"/>
          </w:tcPr>
          <w:p>
            <w:r/>
            <w:r>
              <w:rPr>
                <w:sz w:val="17"/>
              </w:rPr>
              <w:t>≥ 3</w:t>
            </w:r>
          </w:p>
        </w:tc>
        <w:tc>
          <w:tcPr>
            <w:tcW w:type="dxa" w:w="2736"/>
          </w:tcPr>
          <w:p>
            <w:r/>
            <w:r>
              <w:rPr>
                <w:sz w:val="17"/>
              </w:rPr>
              <w:t>NO</w:t>
            </w:r>
          </w:p>
        </w:tc>
      </w:tr>
      <w:tr>
        <w:tc>
          <w:tcPr>
            <w:tcW w:type="dxa" w:w="432"/>
          </w:tcPr>
          <w:p>
            <w:r/>
            <w:r>
              <w:rPr>
                <w:sz w:val="17"/>
              </w:rPr>
              <w:t>7</w:t>
            </w:r>
          </w:p>
        </w:tc>
        <w:tc>
          <w:tcPr>
            <w:tcW w:type="dxa" w:w="4320"/>
          </w:tcPr>
          <w:p>
            <w:r/>
            <w:r>
              <w:rPr>
                <w:sz w:val="17"/>
              </w:rPr>
              <w:t>Members per informative clade</w:t>
            </w:r>
          </w:p>
        </w:tc>
        <w:tc>
          <w:tcPr>
            <w:tcW w:type="dxa" w:w="2304"/>
          </w:tcPr>
          <w:p>
            <w:r/>
            <w:r>
              <w:rPr>
                <w:sz w:val="17"/>
              </w:rPr>
              <w:t>≥ 2</w:t>
            </w:r>
          </w:p>
        </w:tc>
        <w:tc>
          <w:tcPr>
            <w:tcW w:type="dxa" w:w="2736"/>
          </w:tcPr>
          <w:p>
            <w:r/>
            <w:r>
              <w:rPr>
                <w:sz w:val="17"/>
              </w:rPr>
              <w:t>NO</w:t>
            </w:r>
          </w:p>
        </w:tc>
      </w:tr>
      <w:tr>
        <w:tc>
          <w:tcPr>
            <w:tcW w:type="dxa" w:w="432"/>
          </w:tcPr>
          <w:p>
            <w:r/>
            <w:r>
              <w:rPr>
                <w:sz w:val="17"/>
              </w:rPr>
              <w:t>8</w:t>
            </w:r>
          </w:p>
        </w:tc>
        <w:tc>
          <w:tcPr>
            <w:tcW w:type="dxa" w:w="4320"/>
          </w:tcPr>
          <w:p>
            <w:r/>
            <w:r>
              <w:rPr>
                <w:sz w:val="17"/>
              </w:rPr>
              <w:t>GC-matched control found</w:t>
            </w:r>
          </w:p>
        </w:tc>
        <w:tc>
          <w:tcPr>
            <w:tcW w:type="dxa" w:w="2304"/>
          </w:tcPr>
          <w:p>
            <w:r/>
            <w:r>
              <w:rPr>
                <w:sz w:val="17"/>
              </w:rPr>
              <w:t>required</w:t>
            </w:r>
          </w:p>
        </w:tc>
        <w:tc>
          <w:tcPr>
            <w:tcW w:type="dxa" w:w="2736"/>
          </w:tcPr>
          <w:p>
            <w:r/>
            <w:r>
              <w:rPr>
                <w:sz w:val="17"/>
              </w:rPr>
              <w:t>NO</w:t>
            </w:r>
          </w:p>
        </w:tc>
      </w:tr>
      <w:tr>
        <w:tc>
          <w:tcPr>
            <w:tcW w:type="dxa" w:w="432"/>
          </w:tcPr>
          <w:p>
            <w:r/>
            <w:r>
              <w:rPr>
                <w:sz w:val="17"/>
              </w:rPr>
              <w:t>9</w:t>
            </w:r>
          </w:p>
        </w:tc>
        <w:tc>
          <w:tcPr>
            <w:tcW w:type="dxa" w:w="4320"/>
          </w:tcPr>
          <w:p>
            <w:r/>
            <w:r>
              <w:rPr>
                <w:sz w:val="17"/>
              </w:rPr>
              <w:t>Recombination screened</w:t>
            </w:r>
          </w:p>
        </w:tc>
        <w:tc>
          <w:tcPr>
            <w:tcW w:type="dxa" w:w="2304"/>
          </w:tcPr>
          <w:p>
            <w:r/>
            <w:r>
              <w:rPr>
                <w:sz w:val="17"/>
              </w:rPr>
              <w:t>required</w:t>
            </w:r>
          </w:p>
        </w:tc>
        <w:tc>
          <w:tcPr>
            <w:tcW w:type="dxa" w:w="2736"/>
          </w:tcPr>
          <w:p>
            <w:r/>
            <w:r>
              <w:rPr>
                <w:sz w:val="17"/>
              </w:rPr>
              <w:t>NO</w:t>
            </w:r>
          </w:p>
        </w:tc>
      </w:tr>
    </w:tbl>
    <w:p>
      <w:pPr>
        <w:spacing w:after="40"/>
      </w:pPr>
    </w:p>
    <w:p>
      <w:pPr>
        <w:spacing w:before="140" w:after="180"/>
        <w:ind w:left="173"/>
        <w:pBdr>
          <w:left w:val="single" w:sz="18" w:color="C53030"/>
        </w:pBdr>
      </w:pPr>
      <w:r>
        <w:rPr>
          <w:b/>
          <w:color w:val="C53030"/>
          <w:sz w:val="17"/>
        </w:rPr>
        <w:t xml:space="preserve">THE FMDV OUTCOME, AND WHY IT IS A RESULT  </w:t>
      </w:r>
      <w:r>
        <w:rPr>
          <w:sz w:val="18"/>
        </w:rPr>
        <w:t>Every FMDV locus halts at check 2. Asia1 (13), Pan Asia O (11) and serotype C (8) fall under the 20-sequences-per-lineage floor, so D.H1 is never invoked and the verdict is INSUFFICIENT_DATA — which is not the same as NOT_SUPPORTED. The floor is not configurable precisely so that this outcome cannot be engineered away.</w:t>
      </w:r>
    </w:p>
    <w:p>
      <w:pPr>
        <w:pStyle w:val="Heading2"/>
      </w:pPr>
      <w:r>
        <w:t>12. Clade Trajectory Classification</w:t>
      </w:r>
    </w:p>
    <w:p>
      <w:pPr>
        <w:pStyle w:val="SourceCode"/>
      </w:pPr>
      <w:r>
        <w:t xml:space="preserve">  For each collapsed clade with &gt;= 8 tips, fit sampling share over time:</w:t>
        <w:br/>
        <w:t xml:space="preserve">      slope &gt; +0.02   -&gt; EXPANDING</w:t>
        <w:br/>
        <w:t xml:space="preserve">      slope &lt; -0.02   -&gt; DECLINING</w:t>
        <w:br/>
        <w:t xml:space="preserve">      |slope| &lt;= 0.02 -&gt; STABLE</w:t>
        <w:br/>
        <w:t xml:space="preserve">      insufficient    -&gt; UNDETERMINED  (excluded from D.H3 entirely)</w:t>
      </w:r>
    </w:p>
    <w:p>
      <w:pPr>
        <w:spacing w:before="140" w:after="180"/>
        <w:ind w:left="173"/>
        <w:pBdr>
          <w:left w:val="single" w:sz="18" w:color="926019"/>
        </w:pBdr>
      </w:pPr>
      <w:r>
        <w:rPr>
          <w:b/>
          <w:color w:val="926019"/>
          <w:sz w:val="17"/>
        </w:rPr>
        <w:t xml:space="preserve">THE LIMITATION THAT MUST TRAVEL WITH EVERY RESULT  </w:t>
      </w:r>
      <w:r>
        <w:rPr>
          <w:sz w:val="18"/>
        </w:rPr>
        <w:t>Trajectories come from sampling share, not incidence. 'Expanding' means 'took a larger share of later sequencing'. A result describes the sequenced record, not transmission — and the Dh3Result object carries this caveat in its own payload rather than leaving it to a reader to remember.</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Calibri" w:hAnsi="Calibri"/>
      <w:b/>
      <w:bCs/>
      <w:color w:val="1B2A4A"/>
      <w:sz w:val="40"/>
      <w:szCs w:val="28"/>
    </w:rPr>
  </w:style>
  <w:style w:type="paragraph" w:styleId="Heading2">
    <w:name w:val="heading 2"/>
    <w:basedOn w:val="Normal"/>
    <w:next w:val="Normal"/>
    <w:link w:val="Heading2Char"/>
    <w:uiPriority w:val="9"/>
    <w:unhideWhenUsed/>
    <w:qFormat/>
    <w:rsid w:val="00FC693F"/>
    <w:pPr>
      <w:keepNext/>
      <w:keepLines/>
      <w:spacing w:before="300" w:after="100"/>
      <w:outlineLvl w:val="1"/>
    </w:pPr>
    <w:rPr>
      <w:rFonts w:asciiTheme="majorHAnsi" w:eastAsiaTheme="majorEastAsia" w:hAnsiTheme="majorHAnsi" w:cstheme="majorBidi" w:ascii="Calibri" w:hAnsi="Calibri"/>
      <w:b/>
      <w:bCs/>
      <w:color w:val="1B2A4A"/>
      <w:sz w:val="28"/>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Calibri" w:hAnsi="Calibri"/>
      <w:b/>
      <w:bCs/>
      <w:color w:val="2B6CB0"/>
      <w:sz w:val="23"/>
    </w:rPr>
  </w:style>
  <w:style w:type="paragraph" w:styleId="Heading4">
    <w:name w:val="heading 4"/>
    <w:basedOn w:val="Normal"/>
    <w:next w:val="Normal"/>
    <w:link w:val="Heading4Char"/>
    <w:uiPriority w:val="9"/>
    <w:semiHidden/>
    <w:unhideWhenUsed/>
    <w:qFormat/>
    <w:rsid w:val="00FC693F"/>
    <w:pPr>
      <w:keepNext/>
      <w:keepLines/>
      <w:spacing w:before="180" w:after="100"/>
      <w:outlineLvl w:val="3"/>
    </w:pPr>
    <w:rPr>
      <w:rFonts w:asciiTheme="majorHAnsi" w:eastAsiaTheme="majorEastAsia" w:hAnsiTheme="majorHAnsi" w:cstheme="majorBidi" w:ascii="Calibri" w:hAnsi="Calibri"/>
      <w:b/>
      <w:bCs/>
      <w:i/>
      <w:iCs/>
      <w:color w:val="4A5568"/>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Normal"/>
    <w:pPr>
      <w:spacing w:after="120"/>
    </w:pPr>
    <w:rPr>
      <w:sz w:val="20"/>
    </w:rPr>
  </w:style>
  <w:style w:type="paragraph" w:customStyle="1" w:styleId="BlockText">
    <w:name w:val="Block Text"/>
    <w:basedOn w:val="Normal"/>
    <w:pPr>
      <w:spacing w:before="120" w:after="200"/>
      <w:ind w:left="216"/>
    </w:pPr>
    <w:rPr>
      <w:color w:val="4A5568"/>
      <w:sz w:val="18"/>
    </w:rPr>
  </w:style>
  <w:style w:type="paragraph" w:customStyle="1" w:styleId="SourceCode">
    <w:name w:val="Source Code"/>
    <w:basedOn w:val="Normal"/>
    <w:pPr>
      <w:spacing w:before="80" w:after="160"/>
      <w:ind w:left="144"/>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