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G4-WATCH</w:t>
      </w:r>
    </w:p>
    <w:p>
      <w:pPr>
        <w:pStyle w:val="Heading1"/>
      </w:pPr>
      <w:r>
        <w:t>Implementation Roadmap</w:t>
      </w:r>
    </w:p>
    <w:p>
      <w:pPr>
        <w:pStyle w:val="BlockText"/>
      </w:pPr>
      <w:r>
        <w:t>Status: Phases 0-3 COMPLETE and verified by running them. Phases 4-8 remain.</w:t>
        <w:br/>
        <w:t>Purpose: Delivery status and the remaining plan. Every completed phase states the evidence for its completion; every remaining phase states what would prove it done</w:t>
        <w:br/>
        <w:t>Repository state: commit 17d6484 on main · 4 September 2026</w:t>
        <w:br/>
        <w:t>Provenance tags: [MEASURED] read from the repository at generation time · [EXTRACTED] from Concept Paper v2 / Research Framework · [ENGINEERING RECOMMENDATION] a design decision for this build.</w:t>
      </w:r>
    </w:p>
    <w:p>
      <w:pPr>
        <w:pStyle w:val="Heading2"/>
      </w:pPr>
      <w:r>
        <w:t>Status at a Glance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20"/>
            <w:shd w:val="clear" w:fill="1B2A4A"/>
          </w:tcPr>
          <w:p>
            <w:r/>
            <w:r>
              <w:rPr>
                <w:b/>
                <w:color w:val="FFFFFF"/>
                <w:sz w:val="17"/>
              </w:rPr>
              <w:t>Phase</w:t>
            </w:r>
          </w:p>
        </w:tc>
        <w:tc>
          <w:tcPr>
            <w:tcW w:type="dxa" w:w="2880"/>
            <w:shd w:val="clear" w:fill="1B2A4A"/>
          </w:tcPr>
          <w:p>
            <w:r/>
            <w:r>
              <w:rPr>
                <w:b/>
                <w:color w:val="FFFFFF"/>
                <w:sz w:val="17"/>
              </w:rPr>
              <w:t>Content</w:t>
            </w:r>
          </w:p>
        </w:tc>
        <w:tc>
          <w:tcPr>
            <w:tcW w:type="dxa" w:w="2160"/>
            <w:shd w:val="clear" w:fill="1B2A4A"/>
          </w:tcPr>
          <w:p>
            <w:r/>
            <w:r>
              <w:rPr>
                <w:b/>
                <w:color w:val="FFFFFF"/>
                <w:sz w:val="17"/>
              </w:rPr>
              <w:t>Status</w:t>
            </w:r>
          </w:p>
        </w:tc>
        <w:tc>
          <w:tcPr>
            <w:tcW w:type="dxa" w:w="4032"/>
            <w:shd w:val="clear" w:fill="1B2A4A"/>
          </w:tcPr>
          <w:p>
            <w:r/>
            <w:r>
              <w:rPr>
                <w:b/>
                <w:color w:val="FFFFFF"/>
                <w:sz w:val="17"/>
              </w:rPr>
              <w:t>Evidence</w:t>
            </w:r>
          </w:p>
        </w:tc>
      </w:tr>
      <w:tr>
        <w:tc>
          <w:tcPr>
            <w:tcW w:type="dxa" w:w="720"/>
          </w:tcPr>
          <w:p>
            <w:r/>
            <w:r>
              <w:rPr>
                <w:sz w:val="17"/>
              </w:rPr>
              <w:t>0</w:t>
            </w:r>
          </w:p>
        </w:tc>
        <w:tc>
          <w:tcPr>
            <w:tcW w:type="dxa" w:w="2880"/>
          </w:tcPr>
          <w:p>
            <w:r/>
            <w:r>
              <w:rPr>
                <w:sz w:val="17"/>
              </w:rPr>
              <w:t>Framework analysis and core build</w:t>
            </w:r>
          </w:p>
        </w:tc>
        <w:tc>
          <w:tcPr>
            <w:tcW w:type="dxa" w:w="2160"/>
          </w:tcPr>
          <w:p>
            <w:r/>
            <w:r>
              <w:rPr>
                <w:sz w:val="17"/>
              </w:rPr>
              <w:t>COMPLETE</w:t>
            </w:r>
          </w:p>
        </w:tc>
        <w:tc>
          <w:tcPr>
            <w:tcW w:type="dxa" w:w="4032"/>
          </w:tcPr>
          <w:p>
            <w:r/>
            <w:r>
              <w:rPr>
                <w:sz w:val="17"/>
              </w:rPr>
              <w:t>70 modules, 9,426 lines, 826 tests, 91% coverage</w:t>
            </w:r>
          </w:p>
        </w:tc>
      </w:tr>
      <w:tr>
        <w:tc>
          <w:tcPr>
            <w:tcW w:type="dxa" w:w="720"/>
          </w:tcPr>
          <w:p>
            <w:r/>
            <w:r>
              <w:rPr>
                <w:sz w:val="17"/>
              </w:rPr>
              <w:t>1</w:t>
            </w:r>
          </w:p>
        </w:tc>
        <w:tc>
          <w:tcPr>
            <w:tcW w:type="dxa" w:w="2880"/>
          </w:tcPr>
          <w:p>
            <w:r/>
            <w:r>
              <w:rPr>
                <w:sz w:val="17"/>
              </w:rPr>
              <w:t>Atlas eligibility and real-data scoring</w:t>
            </w:r>
          </w:p>
        </w:tc>
        <w:tc>
          <w:tcPr>
            <w:tcW w:type="dxa" w:w="2160"/>
          </w:tcPr>
          <w:p>
            <w:r/>
            <w:r>
              <w:rPr>
                <w:sz w:val="17"/>
              </w:rPr>
              <w:t>COMPLETE — documented negative</w:t>
            </w:r>
          </w:p>
        </w:tc>
        <w:tc>
          <w:tcPr>
            <w:tcW w:type="dxa" w:w="4032"/>
          </w:tcPr>
          <w:p>
            <w:r/>
            <w:r>
              <w:rPr>
                <w:sz w:val="17"/>
              </w:rPr>
              <w:t>FMDV cannot reach SC on three independent grounds; 2 strand defects found and fixed</w:t>
            </w:r>
          </w:p>
        </w:tc>
      </w:tr>
      <w:tr>
        <w:tc>
          <w:tcPr>
            <w:tcW w:type="dxa" w:w="720"/>
          </w:tcPr>
          <w:p>
            <w:r/>
            <w:r>
              <w:rPr>
                <w:sz w:val="17"/>
              </w:rPr>
              <w:t>2</w:t>
            </w:r>
          </w:p>
        </w:tc>
        <w:tc>
          <w:tcPr>
            <w:tcW w:type="dxa" w:w="2880"/>
          </w:tcPr>
          <w:p>
            <w:r/>
            <w:r>
              <w:rPr>
                <w:sz w:val="17"/>
              </w:rPr>
              <w:t>Containers and reproducibility</w:t>
            </w:r>
          </w:p>
        </w:tc>
        <w:tc>
          <w:tcPr>
            <w:tcW w:type="dxa" w:w="2160"/>
          </w:tcPr>
          <w:p>
            <w:r/>
            <w:r>
              <w:rPr>
                <w:sz w:val="17"/>
              </w:rPr>
              <w:t>COMPLETE</w:t>
            </w:r>
          </w:p>
        </w:tc>
        <w:tc>
          <w:tcPr>
            <w:tcW w:type="dxa" w:w="4032"/>
          </w:tcPr>
          <w:p>
            <w:r/>
            <w:r>
              <w:rPr>
                <w:sz w:val="17"/>
              </w:rPr>
              <w:t>11/11 images build; docker profile runs the pipeline end to end; 8 defects fixed</w:t>
            </w:r>
          </w:p>
        </w:tc>
      </w:tr>
      <w:tr>
        <w:tc>
          <w:tcPr>
            <w:tcW w:type="dxa" w:w="720"/>
          </w:tcPr>
          <w:p>
            <w:r/>
            <w:r>
              <w:rPr>
                <w:sz w:val="17"/>
              </w:rPr>
              <w:t>3</w:t>
            </w:r>
          </w:p>
        </w:tc>
        <w:tc>
          <w:tcPr>
            <w:tcW w:type="dxa" w:w="2880"/>
          </w:tcPr>
          <w:p>
            <w:r/>
            <w:r>
              <w:rPr>
                <w:sz w:val="17"/>
              </w:rPr>
              <w:t>Orchestrate the full chain</w:t>
            </w:r>
          </w:p>
        </w:tc>
        <w:tc>
          <w:tcPr>
            <w:tcW w:type="dxa" w:w="2160"/>
          </w:tcPr>
          <w:p>
            <w:r/>
            <w:r>
              <w:rPr>
                <w:sz w:val="17"/>
              </w:rPr>
              <w:t>COMPLETE</w:t>
            </w:r>
          </w:p>
        </w:tc>
        <w:tc>
          <w:tcPr>
            <w:tcW w:type="dxa" w:w="4032"/>
          </w:tcPr>
          <w:p>
            <w:r/>
            <w:r>
              <w:rPr>
                <w:sz w:val="17"/>
              </w:rPr>
              <w:t>14 processes, all reachable; Nextflow now reaches scores and a report card</w:t>
            </w:r>
          </w:p>
        </w:tc>
      </w:tr>
      <w:tr>
        <w:tc>
          <w:tcPr>
            <w:tcW w:type="dxa" w:w="720"/>
          </w:tcPr>
          <w:p>
            <w:r/>
            <w:r>
              <w:rPr>
                <w:sz w:val="17"/>
              </w:rPr>
              <w:t>4</w:t>
            </w:r>
          </w:p>
        </w:tc>
        <w:tc>
          <w:tcPr>
            <w:tcW w:type="dxa" w:w="2880"/>
          </w:tcPr>
          <w:p>
            <w:r/>
            <w:r>
              <w:rPr>
                <w:sz w:val="17"/>
              </w:rPr>
              <w:t>Production hardening of the service</w:t>
            </w:r>
          </w:p>
        </w:tc>
        <w:tc>
          <w:tcPr>
            <w:tcW w:type="dxa" w:w="2160"/>
          </w:tcPr>
          <w:p>
            <w:r/>
            <w:r>
              <w:rPr>
                <w:sz w:val="17"/>
              </w:rPr>
              <w:t>NOT STARTED</w:t>
            </w:r>
          </w:p>
        </w:tc>
        <w:tc>
          <w:tcPr>
            <w:tcW w:type="dxa" w:w="4032"/>
          </w:tcPr>
          <w:p>
            <w:r/>
            <w:r>
              <w:rPr>
                <w:sz w:val="17"/>
              </w:rPr>
              <w:t>OpenAccessBackend is still the default</w:t>
            </w:r>
          </w:p>
        </w:tc>
      </w:tr>
      <w:tr>
        <w:tc>
          <w:tcPr>
            <w:tcW w:type="dxa" w:w="720"/>
          </w:tcPr>
          <w:p>
            <w:r/>
            <w:r>
              <w:rPr>
                <w:sz w:val="17"/>
              </w:rPr>
              <w:t>5</w:t>
            </w:r>
          </w:p>
        </w:tc>
        <w:tc>
          <w:tcPr>
            <w:tcW w:type="dxa" w:w="2880"/>
          </w:tcPr>
          <w:p>
            <w:r/>
            <w:r>
              <w:rPr>
                <w:sz w:val="17"/>
              </w:rPr>
              <w:t>Second and third pathogens</w:t>
            </w:r>
          </w:p>
        </w:tc>
        <w:tc>
          <w:tcPr>
            <w:tcW w:type="dxa" w:w="2160"/>
          </w:tcPr>
          <w:p>
            <w:r/>
            <w:r>
              <w:rPr>
                <w:sz w:val="17"/>
              </w:rPr>
              <w:t>NOT STARTED — PROMOTED, see below</w:t>
            </w:r>
          </w:p>
        </w:tc>
        <w:tc>
          <w:tcPr>
            <w:tcW w:type="dxa" w:w="4032"/>
          </w:tcPr>
          <w:p>
            <w:r/>
            <w:r>
              <w:rPr>
                <w:sz w:val="17"/>
              </w:rPr>
              <w:t>4 scaffold configs exist</w:t>
            </w:r>
          </w:p>
        </w:tc>
      </w:tr>
      <w:tr>
        <w:tc>
          <w:tcPr>
            <w:tcW w:type="dxa" w:w="720"/>
          </w:tcPr>
          <w:p>
            <w:r/>
            <w:r>
              <w:rPr>
                <w:sz w:val="17"/>
              </w:rPr>
              <w:t>6</w:t>
            </w:r>
          </w:p>
        </w:tc>
        <w:tc>
          <w:tcPr>
            <w:tcW w:type="dxa" w:w="2880"/>
          </w:tcPr>
          <w:p>
            <w:r/>
            <w:r>
              <w:rPr>
                <w:sz w:val="17"/>
              </w:rPr>
              <w:t>Surveillance layer completeness</w:t>
            </w:r>
          </w:p>
        </w:tc>
        <w:tc>
          <w:tcPr>
            <w:tcW w:type="dxa" w:w="2160"/>
          </w:tcPr>
          <w:p>
            <w:r/>
            <w:r>
              <w:rPr>
                <w:sz w:val="17"/>
              </w:rPr>
              <w:t>NOT STARTED</w:t>
            </w:r>
          </w:p>
        </w:tc>
        <w:tc>
          <w:tcPr>
            <w:tcW w:type="dxa" w:w="4032"/>
          </w:tcPr>
          <w:p>
            <w:r/>
            <w:r>
              <w:rPr>
                <w:sz w:val="17"/>
              </w:rPr>
              <w:t>calibration on real windowed data</w:t>
            </w:r>
          </w:p>
        </w:tc>
      </w:tr>
      <w:tr>
        <w:tc>
          <w:tcPr>
            <w:tcW w:type="dxa" w:w="720"/>
          </w:tcPr>
          <w:p>
            <w:r/>
            <w:r>
              <w:rPr>
                <w:sz w:val="17"/>
              </w:rPr>
              <w:t>7</w:t>
            </w:r>
          </w:p>
        </w:tc>
        <w:tc>
          <w:tcPr>
            <w:tcW w:type="dxa" w:w="2880"/>
          </w:tcPr>
          <w:p>
            <w:r/>
            <w:r>
              <w:rPr>
                <w:sz w:val="17"/>
              </w:rPr>
              <w:t>Validation and calibration</w:t>
            </w:r>
          </w:p>
        </w:tc>
        <w:tc>
          <w:tcPr>
            <w:tcW w:type="dxa" w:w="2160"/>
          </w:tcPr>
          <w:p>
            <w:r/>
            <w:r>
              <w:rPr>
                <w:sz w:val="17"/>
              </w:rPr>
              <w:t>NOT STARTED</w:t>
            </w:r>
          </w:p>
        </w:tc>
        <w:tc>
          <w:tcPr>
            <w:tcW w:type="dxa" w:w="4032"/>
          </w:tcPr>
          <w:p>
            <w:r/>
            <w:r>
              <w:rPr>
                <w:sz w:val="17"/>
              </w:rPr>
              <w:t>synthetic only so far</w:t>
            </w:r>
          </w:p>
        </w:tc>
      </w:tr>
      <w:tr>
        <w:tc>
          <w:tcPr>
            <w:tcW w:type="dxa" w:w="720"/>
          </w:tcPr>
          <w:p>
            <w:r/>
            <w:r>
              <w:rPr>
                <w:sz w:val="17"/>
              </w:rPr>
              <w:t>8</w:t>
            </w:r>
          </w:p>
        </w:tc>
        <w:tc>
          <w:tcPr>
            <w:tcW w:type="dxa" w:w="2880"/>
          </w:tcPr>
          <w:p>
            <w:r/>
            <w:r>
              <w:rPr>
                <w:sz w:val="17"/>
              </w:rPr>
              <w:t>Deployment and release</w:t>
            </w:r>
          </w:p>
        </w:tc>
        <w:tc>
          <w:tcPr>
            <w:tcW w:type="dxa" w:w="2160"/>
          </w:tcPr>
          <w:p>
            <w:r/>
            <w:r>
              <w:rPr>
                <w:sz w:val="17"/>
              </w:rPr>
              <w:t>NOT STARTED</w:t>
            </w:r>
          </w:p>
        </w:tc>
        <w:tc>
          <w:tcPr>
            <w:tcW w:type="dxa" w:w="4032"/>
          </w:tcPr>
          <w:p>
            <w:r/>
            <w:r>
              <w:rPr>
                <w:sz w:val="17"/>
              </w:rPr>
              <w:t>no registry push, no TLS</w:t>
            </w:r>
          </w:p>
        </w:tc>
      </w:tr>
    </w:tbl>
    <w:p>
      <w:pPr>
        <w:spacing w:after="40"/>
      </w:pPr>
    </w:p>
    <w:p>
      <w:pPr>
        <w:spacing w:before="140" w:after="180"/>
        <w:ind w:left="173"/>
        <w:pBdr>
          <w:left w:val="single" w:sz="18" w:color="926019"/>
        </w:pBdr>
      </w:pPr>
      <w:r>
        <w:rPr>
          <w:b/>
          <w:color w:val="926019"/>
          <w:sz w:val="17"/>
        </w:rPr>
        <w:t xml:space="preserve">RECOMMENDED REORDERING  </w:t>
      </w:r>
      <w:r>
        <w:rPr>
          <w:sz w:val="18"/>
        </w:rPr>
        <w:t>Phase 5 should run next, ahead of Phase 4. Phase 1 established that FMDV's genome contains no canonical G4 motif on either strand, so the central hypothesis cannot be tested on it at all. Every later phase is currently validating machinery against synthetic data for want of a corpus that can exercise it. LSDV — a ~150 kb GC-rich dsDNA poxvirus — would answer the scientific question. Deployment hardening would not.</w:t>
      </w:r>
    </w:p>
    <w:p>
      <w:r>
        <w:br w:type="page"/>
      </w:r>
    </w:p>
    <w:p>
      <w:pPr>
        <w:pStyle w:val="Heading2"/>
      </w:pPr>
      <w:r>
        <w:t>Phase 0 — Framework analysis and core build   ✅ COMPLETE</w:t>
      </w:r>
    </w:p>
    <w:p>
      <w:pPr>
        <w:pStyle w:val="BlockText"/>
      </w:pPr>
      <w:r>
        <w:t>Exit criteria met and measured.</w:t>
      </w:r>
    </w:p>
    <w:tbl>
      <w:tblPr>
        <w:tblStyle w:val="TableGrid"/>
        <w:tblW w:type="auto" w:w="0"/>
        <w:jc w:val="center"/>
        <w:tblLook w:firstColumn="1" w:firstRow="1" w:lastColumn="0" w:lastRow="0" w:noHBand="0" w:noVBand="1" w:val="04A0"/>
      </w:tblPr>
      <w:tblGrid>
        <w:gridCol w:w="4896"/>
        <w:gridCol w:w="4896"/>
      </w:tblGrid>
      <w:tr>
        <w:tc>
          <w:tcPr>
            <w:tcW w:type="dxa" w:w="3744"/>
            <w:shd w:val="clear" w:fill="1B2A4A"/>
          </w:tcPr>
          <w:p>
            <w:r/>
            <w:r>
              <w:rPr>
                <w:b/>
                <w:color w:val="FFFFFF"/>
                <w:sz w:val="17"/>
              </w:rPr>
              <w:t>Delivered</w:t>
            </w:r>
          </w:p>
        </w:tc>
        <w:tc>
          <w:tcPr>
            <w:tcW w:type="dxa" w:w="6048"/>
            <w:shd w:val="clear" w:fill="1B2A4A"/>
          </w:tcPr>
          <w:p>
            <w:r/>
            <w:r>
              <w:rPr>
                <w:b/>
                <w:color w:val="FFFFFF"/>
                <w:sz w:val="17"/>
              </w:rPr>
              <w:t>Evidence</w:t>
            </w:r>
          </w:p>
        </w:tc>
      </w:tr>
      <w:tr>
        <w:tc>
          <w:tcPr>
            <w:tcW w:type="dxa" w:w="3744"/>
          </w:tcPr>
          <w:p>
            <w:r/>
            <w:r>
              <w:rPr>
                <w:sz w:val="17"/>
              </w:rPr>
              <w:t>Library implementing the full scientific chain</w:t>
            </w:r>
          </w:p>
        </w:tc>
        <w:tc>
          <w:tcPr>
            <w:tcW w:type="dxa" w:w="6048"/>
          </w:tcPr>
          <w:p>
            <w:r/>
            <w:r>
              <w:rPr>
                <w:sz w:val="17"/>
              </w:rPr>
              <w:t>70 modules, 13 packages, 9,426 lines</w:t>
            </w:r>
          </w:p>
        </w:tc>
      </w:tr>
      <w:tr>
        <w:tc>
          <w:tcPr>
            <w:tcW w:type="dxa" w:w="3744"/>
          </w:tcPr>
          <w:p>
            <w:r/>
            <w:r>
              <w:rPr>
                <w:sz w:val="17"/>
              </w:rPr>
              <w:t>Test suite with an enforced coverage gate</w:t>
            </w:r>
          </w:p>
        </w:tc>
        <w:tc>
          <w:tcPr>
            <w:tcW w:type="dxa" w:w="6048"/>
          </w:tcPr>
          <w:p>
            <w:r/>
            <w:r>
              <w:rPr>
                <w:sz w:val="17"/>
              </w:rPr>
              <w:t>826 cases, 91% coverage, floor 85%</w:t>
            </w:r>
          </w:p>
        </w:tc>
      </w:tr>
      <w:tr>
        <w:tc>
          <w:tcPr>
            <w:tcW w:type="dxa" w:w="3744"/>
          </w:tcPr>
          <w:p>
            <w:r/>
            <w:r>
              <w:rPr>
                <w:sz w:val="17"/>
              </w:rPr>
              <w:t>Fail-closed gating</w:t>
            </w:r>
          </w:p>
        </w:tc>
        <w:tc>
          <w:tcPr>
            <w:tcW w:type="dxa" w:w="6048"/>
          </w:tcPr>
          <w:p>
            <w:r/>
            <w:r>
              <w:rPr>
                <w:sz w:val="17"/>
              </w:rPr>
              <w:t>`g4watch score -p fmdv` exits 3; asserted in CI</w:t>
            </w:r>
          </w:p>
        </w:tc>
      </w:tr>
      <w:tr>
        <w:tc>
          <w:tcPr>
            <w:tcW w:type="dxa" w:w="3744"/>
          </w:tcPr>
          <w:p>
            <w:r/>
            <w:r>
              <w:rPr>
                <w:sz w:val="17"/>
              </w:rPr>
              <w:t>Web workstation</w:t>
            </w:r>
          </w:p>
        </w:tc>
        <w:tc>
          <w:tcPr>
            <w:tcW w:type="dxa" w:w="6048"/>
          </w:tcPr>
          <w:p>
            <w:r/>
            <w:r>
              <w:rPr>
                <w:sz w:val="17"/>
              </w:rPr>
              <w:t>7 modes, 10 linked visualisations, 6 WCAG-AA skins</w:t>
            </w:r>
          </w:p>
        </w:tc>
      </w:tr>
      <w:tr>
        <w:tc>
          <w:tcPr>
            <w:tcW w:type="dxa" w:w="3744"/>
          </w:tcPr>
          <w:p>
            <w:r/>
            <w:r>
              <w:rPr>
                <w:sz w:val="17"/>
              </w:rPr>
              <w:t>Tip-state annotation of a real corpus</w:t>
            </w:r>
          </w:p>
        </w:tc>
        <w:tc>
          <w:tcPr>
            <w:tcW w:type="dxa" w:w="6048"/>
          </w:tcPr>
          <w:p>
            <w:r/>
            <w:r>
              <w:rPr>
                <w:sz w:val="17"/>
              </w:rPr>
              <w:t>840/840 FMDV genomes annotated</w:t>
            </w:r>
          </w:p>
        </w:tc>
      </w:tr>
      <w:tr>
        <w:tc>
          <w:tcPr>
            <w:tcW w:type="dxa" w:w="3744"/>
          </w:tcPr>
          <w:p>
            <w:r/>
            <w:r>
              <w:rPr>
                <w:sz w:val="17"/>
              </w:rPr>
              <w:t>Five pathogen configs</w:t>
            </w:r>
          </w:p>
        </w:tc>
        <w:tc>
          <w:tcPr>
            <w:tcW w:type="dxa" w:w="6048"/>
          </w:tcPr>
          <w:p>
            <w:r/>
            <w:r>
              <w:rPr>
                <w:sz w:val="17"/>
              </w:rPr>
              <w:t>fmdv provisioned; lsdv, pprv, ndv, csfv as scaffolds</w:t>
            </w:r>
          </w:p>
        </w:tc>
      </w:tr>
    </w:tbl>
    <w:p>
      <w:pPr>
        <w:spacing w:after="40"/>
      </w:pPr>
    </w:p>
    <w:p>
      <w:pPr>
        <w:pStyle w:val="Heading2"/>
      </w:pPr>
      <w:r>
        <w:t>Phase 1 — Atlas eligibility and real-data scoring   ✅ COMPLETE (negative)</w:t>
      </w:r>
    </w:p>
    <w:p>
      <w:pPr>
        <w:pStyle w:val="BlockText"/>
      </w:pPr>
      <w:r>
        <w:t>Outcome: a documented negative for FMDV, which Step 1.3 explicitly allowed for, plus two software defects that would have corrupted every future pathogen.</w:t>
      </w:r>
    </w:p>
    <w:p>
      <w:pPr>
        <w:pStyle w:val="Heading3"/>
      </w:pPr>
      <w:r>
        <w:t>The finding</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B2A4A"/>
          </w:tcPr>
          <w:p>
            <w:r/>
            <w:r>
              <w:rPr>
                <w:b/>
                <w:color w:val="FFFFFF"/>
                <w:sz w:val="17"/>
              </w:rPr>
              <w:t>Barrier</w:t>
            </w:r>
          </w:p>
        </w:tc>
        <w:tc>
          <w:tcPr>
            <w:tcW w:type="dxa" w:w="5184"/>
            <w:shd w:val="clear" w:fill="1B2A4A"/>
          </w:tcPr>
          <w:p>
            <w:r/>
            <w:r>
              <w:rPr>
                <w:b/>
                <w:color w:val="FFFFFF"/>
                <w:sz w:val="17"/>
              </w:rPr>
              <w:t>Observed</w:t>
            </w:r>
          </w:p>
        </w:tc>
        <w:tc>
          <w:tcPr>
            <w:tcW w:type="dxa" w:w="2736"/>
            <w:shd w:val="clear" w:fill="1B2A4A"/>
          </w:tcPr>
          <w:p>
            <w:r/>
            <w:r>
              <w:rPr>
                <w:b/>
                <w:color w:val="FFFFFF"/>
                <w:sz w:val="17"/>
              </w:rPr>
              <w:t>SC requires</w:t>
            </w:r>
          </w:p>
        </w:tc>
      </w:tr>
      <w:tr>
        <w:tc>
          <w:tcPr>
            <w:tcW w:type="dxa" w:w="1872"/>
          </w:tcPr>
          <w:p>
            <w:r/>
            <w:r>
              <w:rPr>
                <w:sz w:val="17"/>
              </w:rPr>
              <w:t>Concordant tools</w:t>
            </w:r>
          </w:p>
        </w:tc>
        <w:tc>
          <w:tcPr>
            <w:tcW w:type="dxa" w:w="5184"/>
          </w:tcPr>
          <w:p>
            <w:r/>
            <w:r>
              <w:rPr>
                <w:sz w:val="17"/>
              </w:rPr>
              <w:t>1 — the canonical 4-tract motif occurs 0 times in the genome, on EITHER strand</w:t>
            </w:r>
          </w:p>
        </w:tc>
        <w:tc>
          <w:tcPr>
            <w:tcW w:type="dxa" w:w="2736"/>
          </w:tcPr>
          <w:p>
            <w:r/>
            <w:r>
              <w:rPr>
                <w:sz w:val="17"/>
              </w:rPr>
              <w:t>≥ 2</w:t>
            </w:r>
          </w:p>
        </w:tc>
      </w:tr>
      <w:tr>
        <w:tc>
          <w:tcPr>
            <w:tcW w:type="dxa" w:w="1872"/>
          </w:tcPr>
          <w:p>
            <w:r/>
            <w:r>
              <w:rPr>
                <w:sz w:val="17"/>
              </w:rPr>
              <w:t>Conservation</w:t>
            </w:r>
          </w:p>
        </w:tc>
        <w:tc>
          <w:tcPr>
            <w:tcW w:type="dxa" w:w="5184"/>
          </w:tcPr>
          <w:p>
            <w:r/>
            <w:r>
              <w:rPr>
                <w:sz w:val="17"/>
              </w:rPr>
              <w:t>18.2 – 44.4%, phylogenetically corrected</w:t>
            </w:r>
          </w:p>
        </w:tc>
        <w:tc>
          <w:tcPr>
            <w:tcW w:type="dxa" w:w="2736"/>
          </w:tcPr>
          <w:p>
            <w:r/>
            <w:r>
              <w:rPr>
                <w:sz w:val="17"/>
              </w:rPr>
              <w:t>≥ 85%</w:t>
            </w:r>
          </w:p>
        </w:tc>
      </w:tr>
      <w:tr>
        <w:tc>
          <w:tcPr>
            <w:tcW w:type="dxa" w:w="1872"/>
          </w:tcPr>
          <w:p>
            <w:r/>
            <w:r>
              <w:rPr>
                <w:sz w:val="17"/>
              </w:rPr>
              <w:t>|G4Hunter|</w:t>
            </w:r>
          </w:p>
        </w:tc>
        <w:tc>
          <w:tcPr>
            <w:tcW w:type="dxa" w:w="5184"/>
          </w:tcPr>
          <w:p>
            <w:r/>
            <w:r>
              <w:rPr>
                <w:sz w:val="17"/>
              </w:rPr>
              <w:t>0.879 – 1.327</w:t>
            </w:r>
          </w:p>
        </w:tc>
        <w:tc>
          <w:tcPr>
            <w:tcW w:type="dxa" w:w="2736"/>
          </w:tcPr>
          <w:p>
            <w:r/>
            <w:r>
              <w:rPr>
                <w:sz w:val="17"/>
              </w:rPr>
              <w:t>≥ 1.5</w:t>
            </w:r>
          </w:p>
        </w:tc>
      </w:tr>
    </w:tbl>
    <w:p>
      <w:pPr>
        <w:spacing w:after="40"/>
      </w:pPr>
    </w:p>
    <w:p>
      <w:pPr>
        <w:pStyle w:val="BodyText"/>
      </w:pPr>
      <w:r>
        <w:t>FMDV has 93 forward and 113 reverse G≥3 runs, so G-tracts are abundant — they are simply never in canonical spacing. The detector fires on a positive control. This is biology, and no amount of Atlas rebuilding changes it.</w:t>
      </w:r>
    </w:p>
    <w:p>
      <w:pPr>
        <w:pStyle w:val="Heading3"/>
      </w:pPr>
      <w:r>
        <w:t>Defects fixed</w:t>
      </w:r>
    </w:p>
    <w:tbl>
      <w:tblPr>
        <w:tblStyle w:val="TableGrid"/>
        <w:tblW w:type="auto" w:w="0"/>
        <w:jc w:val="center"/>
        <w:tblLook w:firstColumn="1" w:firstRow="1" w:lastColumn="0" w:lastRow="0" w:noHBand="0" w:noVBand="1" w:val="04A0"/>
      </w:tblPr>
      <w:tblGrid>
        <w:gridCol w:w="3264"/>
        <w:gridCol w:w="3264"/>
        <w:gridCol w:w="3264"/>
      </w:tblGrid>
      <w:tr>
        <w:tc>
          <w:tcPr>
            <w:tcW w:type="dxa" w:w="720"/>
            <w:shd w:val="clear" w:fill="1B2A4A"/>
          </w:tcPr>
          <w:p>
            <w:r/>
            <w:r>
              <w:rPr>
                <w:b/>
                <w:color w:val="FFFFFF"/>
                <w:sz w:val="17"/>
              </w:rPr>
              <w:t>ID</w:t>
            </w:r>
          </w:p>
        </w:tc>
        <w:tc>
          <w:tcPr>
            <w:tcW w:type="dxa" w:w="3312"/>
            <w:shd w:val="clear" w:fill="1B2A4A"/>
          </w:tcPr>
          <w:p>
            <w:r/>
            <w:r>
              <w:rPr>
                <w:b/>
                <w:color w:val="FFFFFF"/>
                <w:sz w:val="17"/>
              </w:rPr>
              <w:t>Defect</w:t>
            </w:r>
          </w:p>
        </w:tc>
        <w:tc>
          <w:tcPr>
            <w:tcW w:type="dxa" w:w="5760"/>
            <w:shd w:val="clear" w:fill="1B2A4A"/>
          </w:tcPr>
          <w:p>
            <w:r/>
            <w:r>
              <w:rPr>
                <w:b/>
                <w:color w:val="FFFFFF"/>
                <w:sz w:val="17"/>
              </w:rPr>
              <w:t>Consequence</w:t>
            </w:r>
          </w:p>
        </w:tc>
      </w:tr>
      <w:tr>
        <w:tc>
          <w:tcPr>
            <w:tcW w:type="dxa" w:w="720"/>
          </w:tcPr>
          <w:p>
            <w:r/>
            <w:r>
              <w:rPr>
                <w:sz w:val="17"/>
              </w:rPr>
              <w:t>D-7</w:t>
            </w:r>
          </w:p>
        </w:tc>
        <w:tc>
          <w:tcPr>
            <w:tcW w:type="dxa" w:w="3312"/>
          </w:tcPr>
          <w:p>
            <w:r/>
            <w:r>
              <w:rPr>
                <w:sz w:val="17"/>
              </w:rPr>
              <w:t>pattern_motif scanned only one strand</w:t>
            </w:r>
          </w:p>
        </w:tc>
        <w:tc>
          <w:tcPr>
            <w:tcW w:type="dxa" w:w="5760"/>
          </w:tcPr>
          <w:p>
            <w:r/>
            <w:r>
              <w:rPr>
                <w:sz w:val="17"/>
              </w:rPr>
              <w:t>A minus-strand G4 could never gain a second tool, so concordance was structurally impossible for one whole strand</w:t>
            </w:r>
          </w:p>
        </w:tc>
      </w:tr>
      <w:tr>
        <w:tc>
          <w:tcPr>
            <w:tcW w:type="dxa" w:w="720"/>
          </w:tcPr>
          <w:p>
            <w:r/>
            <w:r>
              <w:rPr>
                <w:sz w:val="17"/>
              </w:rPr>
              <w:t>D-8</w:t>
            </w:r>
          </w:p>
        </w:tc>
        <w:tc>
          <w:tcPr>
            <w:tcW w:type="dxa" w:w="3312"/>
          </w:tcPr>
          <w:p>
            <w:r/>
            <w:r>
              <w:rPr>
                <w:sz w:val="17"/>
              </w:rPr>
              <w:t>confidence compared the SIGNED G4Hunter score</w:t>
            </w:r>
          </w:p>
        </w:tc>
        <w:tc>
          <w:tcPr>
            <w:tcW w:type="dxa" w:w="5760"/>
          </w:tcPr>
          <w:p>
            <w:r/>
            <w:r>
              <w:rPr>
                <w:sz w:val="17"/>
              </w:rPr>
              <w:t>The sign is the STRAND. A locus at −2.5 with 2 tools and 95% conservation was WC; +2.5 on identical evidence was SC</w:t>
            </w:r>
          </w:p>
        </w:tc>
      </w:tr>
    </w:tbl>
    <w:p>
      <w:pPr>
        <w:spacing w:after="40"/>
      </w:pPr>
    </w:p>
    <w:p>
      <w:pPr>
        <w:spacing w:before="140" w:after="180"/>
        <w:ind w:left="173"/>
        <w:pBdr>
          <w:left w:val="single" w:sz="18" w:color="C53030"/>
        </w:pBdr>
      </w:pPr>
      <w:r>
        <w:rPr>
          <w:b/>
          <w:color w:val="C53030"/>
          <w:sz w:val="17"/>
        </w:rPr>
        <w:t xml:space="preserve">WHAT WAS NOT DONE, DELIBERATELY  </w:t>
      </w:r>
      <w:r>
        <w:rPr>
          <w:sz w:val="18"/>
        </w:rPr>
        <w:t>The SC threshold was not lowered. Two of the three barriers are not threshold questions at all — a second tool cannot fire, and conservation is a property of the data.</w:t>
      </w:r>
    </w:p>
    <w:p>
      <w:pPr>
        <w:pStyle w:val="Heading2"/>
      </w:pPr>
      <w:r>
        <w:t>Phase 2 — Containers and reproducibility   ✅ COMPLETE</w:t>
      </w:r>
    </w:p>
    <w:p>
      <w:pPr>
        <w:pStyle w:val="BlockText"/>
      </w:pPr>
      <w:r>
        <w:t>All 11 images build. The docker profile completes the pipeline end to end: 8 processes, 77 windows scored, authoritative, CUSUM alarm at 1994 — identical to the host run.</w:t>
      </w:r>
    </w:p>
    <w:p>
      <w:pPr>
        <w:pStyle w:val="Heading3"/>
      </w:pPr>
      <w:r>
        <w:t>Eight defects that only building could find</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B2A4A"/>
          </w:tcPr>
          <w:p>
            <w:r/>
            <w:r>
              <w:rPr>
                <w:b/>
                <w:color w:val="FFFFFF"/>
                <w:sz w:val="17"/>
              </w:rPr>
              <w:t>#</w:t>
            </w:r>
          </w:p>
        </w:tc>
        <w:tc>
          <w:tcPr>
            <w:tcW w:type="dxa" w:w="3888"/>
            <w:shd w:val="clear" w:fill="1B2A4A"/>
          </w:tcPr>
          <w:p>
            <w:r/>
            <w:r>
              <w:rPr>
                <w:b/>
                <w:color w:val="FFFFFF"/>
                <w:sz w:val="17"/>
              </w:rPr>
              <w:t>Defect</w:t>
            </w:r>
          </w:p>
        </w:tc>
        <w:tc>
          <w:tcPr>
            <w:tcW w:type="dxa" w:w="5472"/>
            <w:shd w:val="clear" w:fill="1B2A4A"/>
          </w:tcPr>
          <w:p>
            <w:r/>
            <w:r>
              <w:rPr>
                <w:b/>
                <w:color w:val="FFFFFF"/>
                <w:sz w:val="17"/>
              </w:rPr>
              <w:t>Why it was invisible</w:t>
            </w:r>
          </w:p>
        </w:tc>
      </w:tr>
      <w:tr>
        <w:tc>
          <w:tcPr>
            <w:tcW w:type="dxa" w:w="432"/>
          </w:tcPr>
          <w:p>
            <w:r/>
            <w:r>
              <w:rPr>
                <w:sz w:val="17"/>
              </w:rPr>
              <w:t>1</w:t>
            </w:r>
          </w:p>
        </w:tc>
        <w:tc>
          <w:tcPr>
            <w:tcW w:type="dxa" w:w="3888"/>
          </w:tcPr>
          <w:p>
            <w:r/>
            <w:r>
              <w:rPr>
                <w:sz w:val="17"/>
              </w:rPr>
              <w:t>alignment pinned mafft=7.520-1; bookworm ships 7.505-1</w:t>
            </w:r>
          </w:p>
        </w:tc>
        <w:tc>
          <w:tcPr>
            <w:tcW w:type="dxa" w:w="5472"/>
          </w:tcPr>
          <w:p>
            <w:r/>
            <w:r>
              <w:rPr>
                <w:sz w:val="17"/>
              </w:rPr>
              <w:t>The image had never been built</w:t>
            </w:r>
          </w:p>
        </w:tc>
      </w:tr>
      <w:tr>
        <w:tc>
          <w:tcPr>
            <w:tcW w:type="dxa" w:w="432"/>
          </w:tcPr>
          <w:p>
            <w:r/>
            <w:r>
              <w:rPr>
                <w:sz w:val="17"/>
              </w:rPr>
              <w:t>2</w:t>
            </w:r>
          </w:p>
        </w:tc>
        <w:tc>
          <w:tcPr>
            <w:tcW w:type="dxa" w:w="3888"/>
          </w:tcPr>
          <w:p>
            <w:r/>
            <w:r>
              <w:rPr>
                <w:sz w:val="17"/>
              </w:rPr>
              <w:t>r-base tracks Debian unstable; apt-get update conflicts openssl</w:t>
            </w:r>
          </w:p>
        </w:tc>
        <w:tc>
          <w:tcPr>
            <w:tcW w:type="dxa" w:w="5472"/>
          </w:tcPr>
          <w:p>
            <w:r/>
            <w:r>
              <w:rPr>
                <w:sz w:val="17"/>
              </w:rPr>
              <w:t>Same</w:t>
            </w:r>
          </w:p>
        </w:tc>
      </w:tr>
      <w:tr>
        <w:tc>
          <w:tcPr>
            <w:tcW w:type="dxa" w:w="432"/>
          </w:tcPr>
          <w:p>
            <w:r/>
            <w:r>
              <w:rPr>
                <w:sz w:val="17"/>
              </w:rPr>
              <w:t>3</w:t>
            </w:r>
          </w:p>
        </w:tc>
        <w:tc>
          <w:tcPr>
            <w:tcW w:type="dxa" w:w="3888"/>
          </w:tcPr>
          <w:p>
            <w:r/>
            <w:r>
              <w:rPr>
                <w:sz w:val="17"/>
              </w:rPr>
              <w:t>g4prediction built OK with NO pqsfinder in it</w:t>
            </w:r>
          </w:p>
        </w:tc>
        <w:tc>
          <w:tcPr>
            <w:tcW w:type="dxa" w:w="5472"/>
          </w:tcPr>
          <w:p>
            <w:r/>
            <w:r>
              <w:rPr>
                <w:sz w:val="17"/>
              </w:rPr>
              <w:t>BiocManager::install only warns on failure. Root cause: missing zlib1g-dev</w:t>
            </w:r>
          </w:p>
        </w:tc>
      </w:tr>
      <w:tr>
        <w:tc>
          <w:tcPr>
            <w:tcW w:type="dxa" w:w="432"/>
          </w:tcPr>
          <w:p>
            <w:r/>
            <w:r>
              <w:rPr>
                <w:sz w:val="17"/>
              </w:rPr>
              <w:t>4</w:t>
            </w:r>
          </w:p>
        </w:tc>
        <w:tc>
          <w:tcPr>
            <w:tcW w:type="dxa" w:w="3888"/>
          </w:tcPr>
          <w:p>
            <w:r/>
            <w:r>
              <w:rPr>
                <w:sz w:val="17"/>
              </w:rPr>
              <w:t>web-db / web-proxy COPY from web/ with containers/ as context</w:t>
            </w:r>
          </w:p>
        </w:tc>
        <w:tc>
          <w:tcPr>
            <w:tcW w:type="dxa" w:w="5472"/>
          </w:tcPr>
          <w:p>
            <w:r/>
            <w:r>
              <w:rPr>
                <w:sz w:val="17"/>
              </w:rPr>
              <w:t>Never built</w:t>
            </w:r>
          </w:p>
        </w:tc>
      </w:tr>
      <w:tr>
        <w:tc>
          <w:tcPr>
            <w:tcW w:type="dxa" w:w="432"/>
          </w:tcPr>
          <w:p>
            <w:r/>
            <w:r>
              <w:rPr>
                <w:sz w:val="17"/>
              </w:rPr>
              <w:t>5</w:t>
            </w:r>
          </w:p>
        </w:tc>
        <w:tc>
          <w:tcPr>
            <w:tcW w:type="dxa" w:w="3888"/>
          </w:tcPr>
          <w:p>
            <w:r/>
            <w:r>
              <w:rPr>
                <w:sz w:val="17"/>
              </w:rPr>
              <w:t>ENTRYPOINT ["g4watch"] made the docker profile unusable</w:t>
            </w:r>
          </w:p>
        </w:tc>
        <w:tc>
          <w:tcPr>
            <w:tcW w:type="dxa" w:w="5472"/>
          </w:tcPr>
          <w:p>
            <w:r/>
            <w:r>
              <w:rPr>
                <w:sz w:val="17"/>
              </w:rPr>
              <w:t>Nextflow runs /bin/bash .command.run, which became `g4watch /bin/bash`</w:t>
            </w:r>
          </w:p>
        </w:tc>
      </w:tr>
      <w:tr>
        <w:tc>
          <w:tcPr>
            <w:tcW w:type="dxa" w:w="432"/>
          </w:tcPr>
          <w:p>
            <w:r/>
            <w:r>
              <w:rPr>
                <w:sz w:val="17"/>
              </w:rPr>
              <w:t>6</w:t>
            </w:r>
          </w:p>
        </w:tc>
        <w:tc>
          <w:tcPr>
            <w:tcW w:type="dxa" w:w="3888"/>
          </w:tcPr>
          <w:p>
            <w:r/>
            <w:r>
              <w:rPr>
                <w:sz w:val="17"/>
              </w:rPr>
              <w:t>procps missing — Nextflow's wrapper runs ps</w:t>
            </w:r>
          </w:p>
        </w:tc>
        <w:tc>
          <w:tcPr>
            <w:tcW w:type="dxa" w:w="5472"/>
          </w:tcPr>
          <w:p>
            <w:r/>
            <w:r>
              <w:rPr>
                <w:sz w:val="17"/>
              </w:rPr>
              <w:t>Wrapper aborts BEFORE the task; shows as exit 1 with no output</w:t>
            </w:r>
          </w:p>
        </w:tc>
      </w:tr>
      <w:tr>
        <w:tc>
          <w:tcPr>
            <w:tcW w:type="dxa" w:w="432"/>
          </w:tcPr>
          <w:p>
            <w:r/>
            <w:r>
              <w:rPr>
                <w:sz w:val="17"/>
              </w:rPr>
              <w:t>7</w:t>
            </w:r>
          </w:p>
        </w:tc>
        <w:tc>
          <w:tcPr>
            <w:tcW w:type="dxa" w:w="3888"/>
          </w:tcPr>
          <w:p>
            <w:r/>
            <w:r>
              <w:rPr>
                <w:sz w:val="17"/>
              </w:rPr>
              <w:t>config_dir() resolved relative to the installed package</w:t>
            </w:r>
          </w:p>
        </w:tc>
        <w:tc>
          <w:tcPr>
            <w:tcW w:type="dxa" w:w="5472"/>
          </w:tcPr>
          <w:p>
            <w:r/>
            <w:r>
              <w:rPr>
                <w:sz w:val="17"/>
              </w:rPr>
              <w:t>Container reported a different reason for the same closed gate</w:t>
            </w:r>
          </w:p>
        </w:tc>
      </w:tr>
      <w:tr>
        <w:tc>
          <w:tcPr>
            <w:tcW w:type="dxa" w:w="432"/>
          </w:tcPr>
          <w:p>
            <w:r/>
            <w:r>
              <w:rPr>
                <w:sz w:val="17"/>
              </w:rPr>
              <w:t>8</w:t>
            </w:r>
          </w:p>
        </w:tc>
        <w:tc>
          <w:tcPr>
            <w:tcW w:type="dxa" w:w="3888"/>
          </w:tcPr>
          <w:p>
            <w:r/>
            <w:r>
              <w:rPr>
                <w:sz w:val="17"/>
              </w:rPr>
              <w:t>scripts_dir() likewise — Stage 4 could not find its R script</w:t>
            </w:r>
          </w:p>
        </w:tc>
        <w:tc>
          <w:tcPr>
            <w:tcW w:type="dxa" w:w="5472"/>
          </w:tcPr>
          <w:p>
            <w:r/>
            <w:r>
              <w:rPr>
                <w:sz w:val="17"/>
              </w:rPr>
              <w:t>Stage exits 0, so Nextflow reported a missing OUTPUT, not a missing script</w:t>
            </w:r>
          </w:p>
        </w:tc>
      </w:tr>
    </w:tbl>
    <w:p>
      <w:pPr>
        <w:spacing w:after="40"/>
      </w:pPr>
    </w:p>
    <w:p>
      <w:pPr>
        <w:pStyle w:val="Heading3"/>
      </w:pPr>
      <w:r>
        <w:t>Also delivered</w:t>
      </w:r>
    </w:p>
    <w:p>
      <w:pPr>
        <w:pStyle w:val="ListBullet"/>
        <w:spacing w:after="40"/>
      </w:pPr>
      <w:r>
        <w:rPr>
          <w:sz w:val="19"/>
        </w:rPr>
        <w:t>PhiPack source vendored at vendor/phipack-src/ and built from there — no git clone at build time. It is mandatory for every pathogen, so a pinned GitHub clone was a single point of failure for the whole gate.</w:t>
      </w:r>
    </w:p>
    <w:p>
      <w:pPr>
        <w:pStyle w:val="ListBullet"/>
        <w:spacing w:after="40"/>
      </w:pPr>
      <w:r>
        <w:rPr>
          <w:sz w:val="19"/>
        </w:rPr>
        <w:t>make containers builds all 11 in dependency order (was 6, with no guarantee core came first).</w:t>
      </w:r>
    </w:p>
    <w:p>
      <w:pPr>
        <w:pStyle w:val="ListBullet"/>
        <w:spacing w:after="40"/>
      </w:pPr>
      <w:r>
        <w:rPr>
          <w:sz w:val="19"/>
        </w:rPr>
        <w:t>IMAGE_DIGESTS.tsv records the local image id AND the registry digest separately — only the latter is immutable, and it reads 'not pushed' until a release publishes.</w:t>
      </w:r>
    </w:p>
    <w:p>
      <w:pPr>
        <w:pStyle w:val="ListBullet"/>
        <w:spacing w:after="40"/>
      </w:pPr>
      <w:r>
        <w:rPr>
          <w:sz w:val="19"/>
        </w:rPr>
        <w:t>76 container tests; runtime ones skip without a Docker daemon. CI containers job builds everything and fails on an unbuilt image.</w:t>
      </w:r>
    </w:p>
    <w:p>
      <w:pPr>
        <w:pStyle w:val="Heading2"/>
      </w:pPr>
      <w:r>
        <w:t>Phase 3 — Orchestrate the full chain   ✅ COMPLETE</w:t>
      </w:r>
    </w:p>
    <w:p>
      <w:pPr>
        <w:pStyle w:val="BlockText"/>
      </w:pPr>
      <w:r>
        <w:t>Before this, `nextflow run workflow/main.nf --pathogen X` ran 7 processes, reported the gate, and produced no surveillance score and no report card for ANY pathogen, however open its gate. The DAG looked complete and was not.</w:t>
      </w:r>
    </w:p>
    <w:tbl>
      <w:tblPr>
        <w:tblStyle w:val="TableGrid"/>
        <w:tblW w:type="auto" w:w="0"/>
        <w:jc w:val="center"/>
        <w:tblLook w:firstColumn="1" w:firstRow="1" w:lastColumn="0" w:lastRow="0" w:noHBand="0" w:noVBand="1" w:val="04A0"/>
      </w:tblPr>
      <w:tblGrid>
        <w:gridCol w:w="4896"/>
        <w:gridCol w:w="4896"/>
      </w:tblGrid>
      <w:tr>
        <w:tc>
          <w:tcPr>
            <w:tcW w:type="dxa" w:w="2592"/>
            <w:shd w:val="clear" w:fill="1B2A4A"/>
          </w:tcPr>
          <w:p>
            <w:r/>
            <w:r>
              <w:rPr>
                <w:b/>
                <w:color w:val="FFFFFF"/>
                <w:sz w:val="17"/>
              </w:rPr>
              <w:t>Added</w:t>
            </w:r>
          </w:p>
        </w:tc>
        <w:tc>
          <w:tcPr>
            <w:tcW w:type="dxa" w:w="7200"/>
            <w:shd w:val="clear" w:fill="1B2A4A"/>
          </w:tcPr>
          <w:p>
            <w:r/>
            <w:r>
              <w:rPr>
                <w:b/>
                <w:color w:val="FFFFFF"/>
                <w:sz w:val="17"/>
              </w:rPr>
              <w:t>Runs</w:t>
            </w:r>
          </w:p>
        </w:tc>
      </w:tr>
      <w:tr>
        <w:tc>
          <w:tcPr>
            <w:tcW w:type="dxa" w:w="2592"/>
          </w:tcPr>
          <w:p>
            <w:r/>
            <w:r>
              <w:rPr>
                <w:sz w:val="17"/>
              </w:rPr>
              <w:t>SURVEILLANCE_SCORING</w:t>
            </w:r>
          </w:p>
        </w:tc>
        <w:tc>
          <w:tcPr>
            <w:tcW w:type="dxa" w:w="7200"/>
          </w:tcPr>
          <w:p>
            <w:r/>
            <w:r>
              <w:rPr>
                <w:sz w:val="17"/>
              </w:rPr>
              <w:t>g4watch stage5 — 7 terms, weights, M3/M4, CUSUM/EWMA, D.H3, M1–M4</w:t>
            </w:r>
          </w:p>
        </w:tc>
      </w:tr>
      <w:tr>
        <w:tc>
          <w:tcPr>
            <w:tcW w:type="dxa" w:w="2592"/>
          </w:tcPr>
          <w:p>
            <w:r/>
            <w:r>
              <w:rPr>
                <w:sz w:val="17"/>
              </w:rPr>
              <w:t>REPORT_CARD</w:t>
            </w:r>
          </w:p>
        </w:tc>
        <w:tc>
          <w:tcPr>
            <w:tcW w:type="dxa" w:w="7200"/>
          </w:tcPr>
          <w:p>
            <w:r/>
            <w:r>
              <w:rPr>
                <w:sz w:val="17"/>
              </w:rPr>
              <w:t>the 12-section card; a closed gate still produces one, via a placeholder</w:t>
            </w:r>
          </w:p>
        </w:tc>
      </w:tr>
      <w:tr>
        <w:tc>
          <w:tcPr>
            <w:tcW w:type="dxa" w:w="2592"/>
          </w:tcPr>
          <w:p>
            <w:r/>
            <w:r>
              <w:rPr>
                <w:sz w:val="17"/>
              </w:rPr>
              <w:t>DH3_TEST</w:t>
            </w:r>
          </w:p>
        </w:tc>
        <w:tc>
          <w:tcPr>
            <w:tcW w:type="dxa" w:w="7200"/>
          </w:tcPr>
          <w:p>
            <w:r/>
            <w:r>
              <w:rPr>
                <w:sz w:val="17"/>
              </w:rPr>
              <w:t>D.H3 as its own artifact</w:t>
            </w:r>
          </w:p>
        </w:tc>
      </w:tr>
      <w:tr>
        <w:tc>
          <w:tcPr>
            <w:tcW w:type="dxa" w:w="2592"/>
          </w:tcPr>
          <w:p>
            <w:r/>
            <w:r>
              <w:rPr>
                <w:sz w:val="17"/>
              </w:rPr>
              <w:t>CALL_VARIANTS</w:t>
            </w:r>
          </w:p>
        </w:tc>
        <w:tc>
          <w:tcPr>
            <w:tcW w:type="dxa" w:w="7200"/>
          </w:tcPr>
          <w:p>
            <w:r/>
            <w:r>
              <w:rPr>
                <w:sz w:val="17"/>
              </w:rPr>
              <w:t>wired in — was defined but never called</w:t>
            </w:r>
          </w:p>
        </w:tc>
      </w:tr>
      <w:tr>
        <w:tc>
          <w:tcPr>
            <w:tcW w:type="dxa" w:w="2592"/>
          </w:tcPr>
          <w:p>
            <w:r/>
            <w:r>
              <w:rPr>
                <w:sz w:val="17"/>
              </w:rPr>
              <w:t>ACQUISITION</w:t>
            </w:r>
          </w:p>
        </w:tc>
        <w:tc>
          <w:tcPr>
            <w:tcW w:type="dxa" w:w="7200"/>
          </w:tcPr>
          <w:p>
            <w:r/>
            <w:r>
              <w:rPr>
                <w:sz w:val="17"/>
              </w:rPr>
              <w:t>named entry workflow so FETCH_CORPUS is reachable</w:t>
            </w:r>
          </w:p>
        </w:tc>
      </w:tr>
      <w:tr>
        <w:tc>
          <w:tcPr>
            <w:tcW w:type="dxa" w:w="2592"/>
          </w:tcPr>
          <w:p>
            <w:r/>
            <w:r>
              <w:rPr>
                <w:sz w:val="17"/>
              </w:rPr>
              <w:t>g4watch variants</w:t>
            </w:r>
          </w:p>
        </w:tc>
        <w:tc>
          <w:tcPr>
            <w:tcW w:type="dxa" w:w="7200"/>
          </w:tcPr>
          <w:p>
            <w:r/>
            <w:r>
              <w:rPr>
                <w:sz w:val="17"/>
              </w:rPr>
              <w:t>new pathogen-agnostic Stage 3; the old process invoked an FMDV-only script</w:t>
            </w:r>
          </w:p>
        </w:tc>
      </w:tr>
    </w:tbl>
    <w:p>
      <w:pPr>
        <w:spacing w:after="40"/>
      </w:pPr>
    </w:p>
    <w:p>
      <w:pPr>
        <w:pStyle w:val="BodyText"/>
      </w:pPr>
      <w:r>
        <w:t>Verified on both branches: open gate (synthetic) produces 77 scored windows; closed gate (FMDV) produces no stage5.json but still builds a card whose score sections are blocked with a stated reason. tests/workflow/test_orchestration.py guards it — every process reachable, every g4watch command a process invokes actually exists, every param declared.</w:t>
      </w:r>
    </w:p>
    <w:p>
      <w:r>
        <w:br w:type="page"/>
      </w:r>
    </w:p>
    <w:p>
      <w:pPr>
        <w:pStyle w:val="Heading2"/>
      </w:pPr>
      <w:r>
        <w:t>Phase 5 — Second and third pathogens   ⭐ RECOMMENDED NEXT</w:t>
      </w:r>
    </w:p>
    <w:p>
      <w:pPr>
        <w:pStyle w:val="BlockText"/>
      </w:pPr>
      <w:r>
        <w:t>Goal: give the hypothesis a corpus that can actually test it, and prove the framework is not FMDV-shaped.</w:t>
      </w:r>
    </w:p>
    <w:tbl>
      <w:tblPr>
        <w:tblStyle w:val="TableGrid"/>
        <w:tblW w:type="auto" w:w="0"/>
        <w:jc w:val="center"/>
        <w:tblLook w:firstColumn="1" w:firstRow="1" w:lastColumn="0" w:lastRow="0" w:noHBand="0" w:noVBand="1" w:val="04A0"/>
      </w:tblPr>
      <w:tblGrid>
        <w:gridCol w:w="4896"/>
        <w:gridCol w:w="4896"/>
      </w:tblGrid>
      <w:tr>
        <w:tc>
          <w:tcPr>
            <w:tcW w:type="dxa" w:w="4608"/>
            <w:shd w:val="clear" w:fill="1B2A4A"/>
          </w:tcPr>
          <w:p>
            <w:r/>
            <w:r>
              <w:rPr>
                <w:b/>
                <w:color w:val="FFFFFF"/>
                <w:sz w:val="17"/>
              </w:rPr>
              <w:t>Task</w:t>
            </w:r>
          </w:p>
        </w:tc>
        <w:tc>
          <w:tcPr>
            <w:tcW w:type="dxa" w:w="5184"/>
            <w:shd w:val="clear" w:fill="1B2A4A"/>
          </w:tcPr>
          <w:p>
            <w:r/>
            <w:r>
              <w:rPr>
                <w:b/>
                <w:color w:val="FFFFFF"/>
                <w:sz w:val="17"/>
              </w:rPr>
              <w:t>Output</w:t>
            </w:r>
          </w:p>
        </w:tc>
      </w:tr>
      <w:tr>
        <w:tc>
          <w:tcPr>
            <w:tcW w:type="dxa" w:w="4608"/>
          </w:tcPr>
          <w:p>
            <w:r/>
            <w:r>
              <w:rPr>
                <w:sz w:val="17"/>
              </w:rPr>
              <w:t>Complete lsdv.yaml and pprv.yaml</w:t>
            </w:r>
          </w:p>
        </w:tc>
        <w:tc>
          <w:tcPr>
            <w:tcW w:type="dxa" w:w="5184"/>
          </w:tcPr>
          <w:p>
            <w:r/>
            <w:r>
              <w:rPr>
                <w:sz w:val="17"/>
              </w:rPr>
              <w:t>Reference, CDS bounds, lineage field, thresholds, clock prior</w:t>
            </w:r>
          </w:p>
        </w:tc>
      </w:tr>
      <w:tr>
        <w:tc>
          <w:tcPr>
            <w:tcW w:type="dxa" w:w="4608"/>
          </w:tcPr>
          <w:p>
            <w:r/>
            <w:r>
              <w:rPr>
                <w:sz w:val="17"/>
              </w:rPr>
              <w:t>Acquire corpora and run acquisition → D.H1</w:t>
            </w:r>
          </w:p>
        </w:tc>
        <w:tc>
          <w:tcPr>
            <w:tcW w:type="dxa" w:w="5184"/>
          </w:tcPr>
          <w:p>
            <w:r/>
            <w:r>
              <w:rPr>
                <w:sz w:val="17"/>
              </w:rPr>
              <w:t>Ledger rows for both</w:t>
            </w:r>
          </w:p>
        </w:tc>
      </w:tr>
      <w:tr>
        <w:tc>
          <w:tcPr>
            <w:tcW w:type="dxa" w:w="4608"/>
          </w:tcPr>
          <w:p>
            <w:r/>
            <w:r>
              <w:rPr>
                <w:sz w:val="17"/>
              </w:rPr>
              <w:t>Check the Atlas actually contains canonical motifs</w:t>
            </w:r>
          </w:p>
        </w:tc>
        <w:tc>
          <w:tcPr>
            <w:tcW w:type="dxa" w:w="5184"/>
          </w:tcPr>
          <w:p>
            <w:r/>
            <w:r>
              <w:rPr>
                <w:sz w:val="17"/>
              </w:rPr>
              <w:t>The Phase 1 check, applied before investing in a full run</w:t>
            </w:r>
          </w:p>
        </w:tc>
      </w:tr>
      <w:tr>
        <w:tc>
          <w:tcPr>
            <w:tcW w:type="dxa" w:w="4608"/>
          </w:tcPr>
          <w:p>
            <w:r/>
            <w:r>
              <w:rPr>
                <w:sz w:val="17"/>
              </w:rPr>
              <w:t>Record whatever verdict results</w:t>
            </w:r>
          </w:p>
        </w:tc>
        <w:tc>
          <w:tcPr>
            <w:tcW w:type="dxa" w:w="5184"/>
          </w:tcPr>
          <w:p>
            <w:r/>
            <w:r>
              <w:rPr>
                <w:sz w:val="17"/>
              </w:rPr>
              <w:t>INSUFFICIENT_DATA is a result</w:t>
            </w:r>
          </w:p>
        </w:tc>
      </w:tr>
      <w:tr>
        <w:tc>
          <w:tcPr>
            <w:tcW w:type="dxa" w:w="4608"/>
          </w:tcPr>
          <w:p>
            <w:r/>
            <w:r>
              <w:rPr>
                <w:sz w:val="17"/>
              </w:rPr>
              <w:t>Handle the LSDV scale difference</w:t>
            </w:r>
          </w:p>
        </w:tc>
        <w:tc>
          <w:tcPr>
            <w:tcW w:type="dxa" w:w="5184"/>
          </w:tcPr>
          <w:p>
            <w:r/>
            <w:r>
              <w:rPr>
                <w:sz w:val="17"/>
              </w:rPr>
              <w:t>~150 kb dsDNA vs 8.2 kb ssRNA; reserve HPC time</w:t>
            </w:r>
          </w:p>
        </w:tc>
      </w:tr>
      <w:tr>
        <w:tc>
          <w:tcPr>
            <w:tcW w:type="dxa" w:w="4608"/>
          </w:tcPr>
          <w:p>
            <w:r/>
            <w:r>
              <w:rPr>
                <w:sz w:val="17"/>
              </w:rPr>
              <w:t>Write zero Python</w:t>
            </w:r>
          </w:p>
        </w:tc>
        <w:tc>
          <w:tcPr>
            <w:tcW w:type="dxa" w:w="5184"/>
          </w:tcPr>
          <w:p>
            <w:r/>
            <w:r>
              <w:rPr>
                <w:sz w:val="17"/>
              </w:rPr>
              <w:t>If a pathogen needs code, that is an abstraction defect</w:t>
            </w:r>
          </w:p>
        </w:tc>
      </w:tr>
    </w:tbl>
    <w:p>
      <w:pPr>
        <w:spacing w:after="40"/>
      </w:pPr>
    </w:p>
    <w:p>
      <w:pPr>
        <w:pStyle w:val="BodyText"/>
      </w:pPr>
      <w:r>
        <w:t>Exit criteria: three pathogens have a ledger entry produced by the same unmodified pipeline, and at least one has an Atlas containing a scoring-eligible locus.</w:t>
      </w:r>
    </w:p>
    <w:p>
      <w:pPr>
        <w:pStyle w:val="Heading2"/>
      </w:pPr>
      <w:r>
        <w:t>Phase 4 — Production hardening of the service</w:t>
      </w:r>
    </w:p>
    <w:p>
      <w:pPr>
        <w:pStyle w:val="BlockText"/>
      </w:pPr>
      <w:r>
        <w:t>Goal: make the read-only service deployable and keep the console unreachable.</w:t>
      </w:r>
    </w:p>
    <w:tbl>
      <w:tblPr>
        <w:tblStyle w:val="TableGrid"/>
        <w:tblW w:type="auto" w:w="0"/>
        <w:jc w:val="center"/>
        <w:tblLook w:firstColumn="1" w:firstRow="1" w:lastColumn="0" w:lastRow="0" w:noHBand="0" w:noVBand="1" w:val="04A0"/>
      </w:tblPr>
      <w:tblGrid>
        <w:gridCol w:w="4896"/>
        <w:gridCol w:w="4896"/>
      </w:tblGrid>
      <w:tr>
        <w:tc>
          <w:tcPr>
            <w:tcW w:type="dxa" w:w="4608"/>
            <w:shd w:val="clear" w:fill="1B2A4A"/>
          </w:tcPr>
          <w:p>
            <w:r/>
            <w:r>
              <w:rPr>
                <w:b/>
                <w:color w:val="FFFFFF"/>
                <w:sz w:val="17"/>
              </w:rPr>
              <w:t>Task</w:t>
            </w:r>
          </w:p>
        </w:tc>
        <w:tc>
          <w:tcPr>
            <w:tcW w:type="dxa" w:w="5184"/>
            <w:shd w:val="clear" w:fill="1B2A4A"/>
          </w:tcPr>
          <w:p>
            <w:r/>
            <w:r>
              <w:rPr>
                <w:b/>
                <w:color w:val="FFFFFF"/>
                <w:sz w:val="17"/>
              </w:rPr>
              <w:t>Output</w:t>
            </w:r>
          </w:p>
        </w:tc>
      </w:tr>
      <w:tr>
        <w:tc>
          <w:tcPr>
            <w:tcW w:type="dxa" w:w="4608"/>
          </w:tcPr>
          <w:p>
            <w:r/>
            <w:r>
              <w:rPr>
                <w:sz w:val="17"/>
              </w:rPr>
              <w:t>Replace OpenAccessBackend with an enforced backend</w:t>
            </w:r>
          </w:p>
        </w:tc>
        <w:tc>
          <w:tcPr>
            <w:tcW w:type="dxa" w:w="5184"/>
          </w:tcPr>
          <w:p>
            <w:r/>
            <w:r>
              <w:rPr>
                <w:sz w:val="17"/>
              </w:rPr>
              <w:t>No unauthenticated route on web.backend</w:t>
            </w:r>
          </w:p>
        </w:tc>
      </w:tr>
      <w:tr>
        <w:tc>
          <w:tcPr>
            <w:tcW w:type="dxa" w:w="4608"/>
          </w:tcPr>
          <w:p>
            <w:r/>
            <w:r>
              <w:rPr>
                <w:sz w:val="17"/>
              </w:rPr>
              <w:t>Configure TLS and HSTS; add rate limiting</w:t>
            </w:r>
          </w:p>
        </w:tc>
        <w:tc>
          <w:tcPr>
            <w:tcW w:type="dxa" w:w="5184"/>
          </w:tcPr>
          <w:p>
            <w:r/>
            <w:r>
              <w:rPr>
                <w:sz w:val="17"/>
              </w:rPr>
              <w:t>TLS-terminated deployment</w:t>
            </w:r>
          </w:p>
        </w:tc>
      </w:tr>
      <w:tr>
        <w:tc>
          <w:tcPr>
            <w:tcW w:type="dxa" w:w="4608"/>
          </w:tcPr>
          <w:p>
            <w:r/>
            <w:r>
              <w:rPr>
                <w:sz w:val="17"/>
              </w:rPr>
              <w:t>Persist job history</w:t>
            </w:r>
          </w:p>
        </w:tc>
        <w:tc>
          <w:tcPr>
            <w:tcW w:type="dxa" w:w="5184"/>
          </w:tcPr>
          <w:p>
            <w:r/>
            <w:r>
              <w:rPr>
                <w:sz w:val="17"/>
              </w:rPr>
              <w:t>An audit that survives a restart</w:t>
            </w:r>
          </w:p>
        </w:tc>
      </w:tr>
      <w:tr>
        <w:tc>
          <w:tcPr>
            <w:tcW w:type="dxa" w:w="4608"/>
          </w:tcPr>
          <w:p>
            <w:r/>
            <w:r>
              <w:rPr>
                <w:sz w:val="17"/>
              </w:rPr>
              <w:t>Prometheus metrics endpoint</w:t>
            </w:r>
          </w:p>
        </w:tc>
        <w:tc>
          <w:tcPr>
            <w:tcW w:type="dxa" w:w="5184"/>
          </w:tcPr>
          <w:p>
            <w:r/>
            <w:r>
              <w:rPr>
                <w:sz w:val="17"/>
              </w:rPr>
              <w:t>Scrapeable metrics</w:t>
            </w:r>
          </w:p>
        </w:tc>
      </w:tr>
      <w:tr>
        <w:tc>
          <w:tcPr>
            <w:tcW w:type="dxa" w:w="4608"/>
          </w:tcPr>
          <w:p>
            <w:r/>
            <w:r>
              <w:rPr>
                <w:sz w:val="17"/>
              </w:rPr>
              <w:t>CI assertion that web.runner cannot bind a non-loopback address</w:t>
            </w:r>
          </w:p>
        </w:tc>
        <w:tc>
          <w:tcPr>
            <w:tcW w:type="dxa" w:w="5184"/>
          </w:tcPr>
          <w:p>
            <w:r/>
            <w:r>
              <w:rPr>
                <w:sz w:val="17"/>
              </w:rPr>
              <w:t>Binding enforced by test</w:t>
            </w:r>
          </w:p>
        </w:tc>
      </w:tr>
    </w:tbl>
    <w:p>
      <w:pPr>
        <w:spacing w:after="40"/>
      </w:pPr>
    </w:p>
    <w:p>
      <w:pPr>
        <w:spacing w:before="140" w:after="180"/>
        <w:ind w:left="173"/>
        <w:pBdr>
          <w:left w:val="single" w:sz="18" w:color="926019"/>
        </w:pBdr>
      </w:pPr>
      <w:r>
        <w:rPr>
          <w:b/>
          <w:color w:val="926019"/>
          <w:sz w:val="17"/>
        </w:rPr>
        <w:t xml:space="preserve">DECISION REQUIRED FIRST  </w:t>
      </w:r>
      <w:r>
        <w:rPr>
          <w:sz w:val="18"/>
        </w:rPr>
        <w:t>The authentication mechanism depends on institutional identity infrastructure — see 10_open_questions Q3.2.</w:t>
      </w:r>
    </w:p>
    <w:p>
      <w:pPr>
        <w:pStyle w:val="Heading2"/>
      </w:pPr>
      <w:r>
        <w:t>Phase 6 — Surveillance layer completeness</w:t>
      </w:r>
    </w:p>
    <w:tbl>
      <w:tblPr>
        <w:tblStyle w:val="TableGrid"/>
        <w:tblW w:type="auto" w:w="0"/>
        <w:jc w:val="center"/>
        <w:tblLook w:firstColumn="1" w:firstRow="1" w:lastColumn="0" w:lastRow="0" w:noHBand="0" w:noVBand="1" w:val="04A0"/>
      </w:tblPr>
      <w:tblGrid>
        <w:gridCol w:w="4896"/>
        <w:gridCol w:w="4896"/>
      </w:tblGrid>
      <w:tr>
        <w:tc>
          <w:tcPr>
            <w:tcW w:type="dxa" w:w="4608"/>
            <w:shd w:val="clear" w:fill="1B2A4A"/>
          </w:tcPr>
          <w:p>
            <w:r/>
            <w:r>
              <w:rPr>
                <w:b/>
                <w:color w:val="FFFFFF"/>
                <w:sz w:val="17"/>
              </w:rPr>
              <w:t>Task</w:t>
            </w:r>
          </w:p>
        </w:tc>
        <w:tc>
          <w:tcPr>
            <w:tcW w:type="dxa" w:w="5184"/>
            <w:shd w:val="clear" w:fill="1B2A4A"/>
          </w:tcPr>
          <w:p>
            <w:r/>
            <w:r>
              <w:rPr>
                <w:b/>
                <w:color w:val="FFFFFF"/>
                <w:sz w:val="17"/>
              </w:rPr>
              <w:t>Output</w:t>
            </w:r>
          </w:p>
        </w:tc>
      </w:tr>
      <w:tr>
        <w:tc>
          <w:tcPr>
            <w:tcW w:type="dxa" w:w="4608"/>
          </w:tcPr>
          <w:p>
            <w:r/>
            <w:r>
              <w:rPr>
                <w:sz w:val="17"/>
              </w:rPr>
              <w:t>Calibrate CUSUM/EWMA on real windowed data</w:t>
            </w:r>
          </w:p>
        </w:tc>
        <w:tc>
          <w:tcPr>
            <w:tcW w:type="dxa" w:w="5184"/>
          </w:tcPr>
          <w:p>
            <w:r/>
            <w:r>
              <w:rPr>
                <w:sz w:val="17"/>
              </w:rPr>
              <w:t>Block bootstrap reflecting real autocorrelation</w:t>
            </w:r>
          </w:p>
        </w:tc>
      </w:tr>
      <w:tr>
        <w:tc>
          <w:tcPr>
            <w:tcW w:type="dxa" w:w="4608"/>
          </w:tcPr>
          <w:p>
            <w:r/>
            <w:r>
              <w:rPr>
                <w:sz w:val="17"/>
              </w:rPr>
              <w:t>Report achieved ARL against nominal</w:t>
            </w:r>
          </w:p>
        </w:tc>
        <w:tc>
          <w:tcPr>
            <w:tcW w:type="dxa" w:w="5184"/>
          </w:tcPr>
          <w:p>
            <w:r/>
            <w:r>
              <w:rPr>
                <w:sz w:val="17"/>
              </w:rPr>
              <w:t>A stated false-alarm rate</w:t>
            </w:r>
          </w:p>
        </w:tc>
      </w:tr>
      <w:tr>
        <w:tc>
          <w:tcPr>
            <w:tcW w:type="dxa" w:w="4608"/>
          </w:tcPr>
          <w:p>
            <w:r/>
            <w:r>
              <w:rPr>
                <w:sz w:val="17"/>
              </w:rPr>
              <w:t>Complete M1–M4 on real corpora</w:t>
            </w:r>
          </w:p>
        </w:tc>
        <w:tc>
          <w:tcPr>
            <w:tcW w:type="dxa" w:w="5184"/>
          </w:tcPr>
          <w:p>
            <w:r/>
            <w:r>
              <w:rPr>
                <w:sz w:val="17"/>
              </w:rPr>
              <w:t>LRT for nested pairs, AUC/AIC for M3 vs M2</w:t>
            </w:r>
          </w:p>
        </w:tc>
      </w:tr>
      <w:tr>
        <w:tc>
          <w:tcPr>
            <w:tcW w:type="dxa" w:w="4608"/>
          </w:tcPr>
          <w:p>
            <w:r/>
            <w:r>
              <w:rPr>
                <w:sz w:val="17"/>
              </w:rPr>
              <w:t>Surface the annotation report in the card</w:t>
            </w:r>
          </w:p>
        </w:tc>
        <w:tc>
          <w:tcPr>
            <w:tcW w:type="dxa" w:w="5184"/>
          </w:tcPr>
          <w:p>
            <w:r/>
            <w:r>
              <w:rPr>
                <w:sz w:val="17"/>
              </w:rPr>
              <w:t>A reader sees term saturation without re-running Stage 5</w:t>
            </w:r>
          </w:p>
        </w:tc>
      </w:tr>
    </w:tbl>
    <w:p>
      <w:pPr>
        <w:spacing w:after="40"/>
      </w:pPr>
    </w:p>
    <w:p>
      <w:pPr>
        <w:pStyle w:val="Heading2"/>
      </w:pPr>
      <w:r>
        <w:t>Phase 7 — Validation and calibration</w:t>
      </w:r>
    </w:p>
    <w:p>
      <w:pPr>
        <w:pStyle w:val="BlockText"/>
      </w:pPr>
      <w:r>
        <w:t>Goal: establish whether the composite score means anything. Designed to be able to return 'no'.</w:t>
      </w:r>
    </w:p>
    <w:tbl>
      <w:tblPr>
        <w:tblStyle w:val="TableGrid"/>
        <w:tblW w:type="auto" w:w="0"/>
        <w:jc w:val="center"/>
        <w:tblLook w:firstColumn="1" w:firstRow="1" w:lastColumn="0" w:lastRow="0" w:noHBand="0" w:noVBand="1" w:val="04A0"/>
      </w:tblPr>
      <w:tblGrid>
        <w:gridCol w:w="4896"/>
        <w:gridCol w:w="4896"/>
      </w:tblGrid>
      <w:tr>
        <w:tc>
          <w:tcPr>
            <w:tcW w:type="dxa" w:w="4608"/>
            <w:shd w:val="clear" w:fill="1B2A4A"/>
          </w:tcPr>
          <w:p>
            <w:r/>
            <w:r>
              <w:rPr>
                <w:b/>
                <w:color w:val="FFFFFF"/>
                <w:sz w:val="17"/>
              </w:rPr>
              <w:t>Task</w:t>
            </w:r>
          </w:p>
        </w:tc>
        <w:tc>
          <w:tcPr>
            <w:tcW w:type="dxa" w:w="5184"/>
            <w:shd w:val="clear" w:fill="1B2A4A"/>
          </w:tcPr>
          <w:p>
            <w:r/>
            <w:r>
              <w:rPr>
                <w:b/>
                <w:color w:val="FFFFFF"/>
                <w:sz w:val="17"/>
              </w:rPr>
              <w:t>Output</w:t>
            </w:r>
          </w:p>
        </w:tc>
      </w:tr>
      <w:tr>
        <w:tc>
          <w:tcPr>
            <w:tcW w:type="dxa" w:w="4608"/>
          </w:tcPr>
          <w:p>
            <w:r/>
            <w:r>
              <w:rPr>
                <w:sz w:val="17"/>
              </w:rPr>
              <w:t>Temporal holdout: fit early, evaluate later</w:t>
            </w:r>
          </w:p>
        </w:tc>
        <w:tc>
          <w:tcPr>
            <w:tcW w:type="dxa" w:w="5184"/>
          </w:tcPr>
          <w:p>
            <w:r/>
            <w:r>
              <w:rPr>
                <w:sz w:val="17"/>
              </w:rPr>
              <w:t>Honest discrimination estimate</w:t>
            </w:r>
          </w:p>
        </w:tc>
      </w:tr>
      <w:tr>
        <w:tc>
          <w:tcPr>
            <w:tcW w:type="dxa" w:w="4608"/>
          </w:tcPr>
          <w:p>
            <w:r/>
            <w:r>
              <w:rPr>
                <w:sz w:val="17"/>
              </w:rPr>
              <w:t>Calibration curve and Brier score</w:t>
            </w:r>
          </w:p>
        </w:tc>
        <w:tc>
          <w:tcPr>
            <w:tcW w:type="dxa" w:w="5184"/>
          </w:tcPr>
          <w:p>
            <w:r/>
            <w:r>
              <w:rPr>
                <w:sz w:val="17"/>
              </w:rPr>
              <w:t>Whether the score is calibrated, not just ranked</w:t>
            </w:r>
          </w:p>
        </w:tc>
      </w:tr>
      <w:tr>
        <w:tc>
          <w:tcPr>
            <w:tcW w:type="dxa" w:w="4608"/>
          </w:tcPr>
          <w:p>
            <w:r/>
            <w:r>
              <w:rPr>
                <w:sz w:val="17"/>
              </w:rPr>
              <w:t>Bootstrap confidence intervals on every weight</w:t>
            </w:r>
          </w:p>
        </w:tc>
        <w:tc>
          <w:tcPr>
            <w:tcW w:type="dxa" w:w="5184"/>
          </w:tcPr>
          <w:p>
            <w:r/>
            <w:r>
              <w:rPr>
                <w:sz w:val="17"/>
              </w:rPr>
              <w:t>Intervals beside every coefficient</w:t>
            </w:r>
          </w:p>
        </w:tc>
      </w:tr>
      <w:tr>
        <w:tc>
          <w:tcPr>
            <w:tcW w:type="dxa" w:w="4608"/>
          </w:tcPr>
          <w:p>
            <w:r/>
            <w:r>
              <w:rPr>
                <w:sz w:val="17"/>
              </w:rPr>
              <w:t>Negative controls: shuffled labels</w:t>
            </w:r>
          </w:p>
        </w:tc>
        <w:tc>
          <w:tcPr>
            <w:tcW w:type="dxa" w:w="5184"/>
          </w:tcPr>
          <w:p>
            <w:r/>
            <w:r>
              <w:rPr>
                <w:sz w:val="17"/>
              </w:rPr>
              <w:t>Signal must vanish</w:t>
            </w:r>
          </w:p>
        </w:tc>
      </w:tr>
      <w:tr>
        <w:tc>
          <w:tcPr>
            <w:tcW w:type="dxa" w:w="4608"/>
          </w:tcPr>
          <w:p>
            <w:r/>
            <w:r>
              <w:rPr>
                <w:sz w:val="17"/>
              </w:rPr>
              <w:t>Sensitivity over window width, baseline length, threshold</w:t>
            </w:r>
          </w:p>
        </w:tc>
        <w:tc>
          <w:tcPr>
            <w:tcW w:type="dxa" w:w="5184"/>
          </w:tcPr>
          <w:p>
            <w:r/>
            <w:r>
              <w:rPr>
                <w:sz w:val="17"/>
              </w:rPr>
              <w:t>Which parameters the conclusions depend on</w:t>
            </w:r>
          </w:p>
        </w:tc>
      </w:tr>
    </w:tbl>
    <w:p>
      <w:pPr>
        <w:spacing w:after="40"/>
      </w:pPr>
    </w:p>
    <w:p>
      <w:pPr>
        <w:spacing w:before="140" w:after="180"/>
        <w:ind w:left="173"/>
        <w:pBdr>
          <w:left w:val="single" w:sz="18" w:color="276749"/>
        </w:pBdr>
      </w:pPr>
      <w:r>
        <w:rPr>
          <w:b/>
          <w:color w:val="276749"/>
          <w:sz w:val="17"/>
        </w:rPr>
        <w:t xml:space="preserve">THIS PHASE MAY PRODUCE A NEGATIVE RESULT  </w:t>
      </w:r>
      <w:r>
        <w:rPr>
          <w:sz w:val="18"/>
        </w:rPr>
        <w:t>A well-run validation can show the score does not discriminate. That is a finding and must be published as one. It is written into the roadmap so it cannot later be treated as a project failure — as Phase 1 already demonstrated in practice.</w:t>
      </w:r>
    </w:p>
    <w:p>
      <w:pPr>
        <w:pStyle w:val="Heading2"/>
      </w:pPr>
      <w:r>
        <w:t>Phase 8 — Deployment and release</w:t>
      </w:r>
    </w:p>
    <w:tbl>
      <w:tblPr>
        <w:tblStyle w:val="TableGrid"/>
        <w:tblW w:type="auto" w:w="0"/>
        <w:jc w:val="center"/>
        <w:tblLook w:firstColumn="1" w:firstRow="1" w:lastColumn="0" w:lastRow="0" w:noHBand="0" w:noVBand="1" w:val="04A0"/>
      </w:tblPr>
      <w:tblGrid>
        <w:gridCol w:w="4896"/>
        <w:gridCol w:w="4896"/>
      </w:tblGrid>
      <w:tr>
        <w:tc>
          <w:tcPr>
            <w:tcW w:type="dxa" w:w="4608"/>
            <w:shd w:val="clear" w:fill="1B2A4A"/>
          </w:tcPr>
          <w:p>
            <w:r/>
            <w:r>
              <w:rPr>
                <w:b/>
                <w:color w:val="FFFFFF"/>
                <w:sz w:val="17"/>
              </w:rPr>
              <w:t>Task</w:t>
            </w:r>
          </w:p>
        </w:tc>
        <w:tc>
          <w:tcPr>
            <w:tcW w:type="dxa" w:w="5184"/>
            <w:shd w:val="clear" w:fill="1B2A4A"/>
          </w:tcPr>
          <w:p>
            <w:r/>
            <w:r>
              <w:rPr>
                <w:b/>
                <w:color w:val="FFFFFF"/>
                <w:sz w:val="17"/>
              </w:rPr>
              <w:t>Output</w:t>
            </w:r>
          </w:p>
        </w:tc>
      </w:tr>
      <w:tr>
        <w:tc>
          <w:tcPr>
            <w:tcW w:type="dxa" w:w="4608"/>
          </w:tcPr>
          <w:p>
            <w:r/>
            <w:r>
              <w:rPr>
                <w:sz w:val="17"/>
              </w:rPr>
              <w:t>Push images to a registry</w:t>
            </w:r>
          </w:p>
        </w:tc>
        <w:tc>
          <w:tcPr>
            <w:tcW w:type="dxa" w:w="5184"/>
          </w:tcPr>
          <w:p>
            <w:r/>
            <w:r>
              <w:rPr>
                <w:sz w:val="17"/>
              </w:rPr>
              <w:t>Real registry digests replace 'not pushed' in IMAGE_DIGESTS.tsv</w:t>
            </w:r>
          </w:p>
        </w:tc>
      </w:tr>
      <w:tr>
        <w:tc>
          <w:tcPr>
            <w:tcW w:type="dxa" w:w="4608"/>
          </w:tcPr>
          <w:p>
            <w:r/>
            <w:r>
              <w:rPr>
                <w:sz w:val="17"/>
              </w:rPr>
              <w:t>Pin nextflow.config to digests rather than tags</w:t>
            </w:r>
          </w:p>
        </w:tc>
        <w:tc>
          <w:tcPr>
            <w:tcW w:type="dxa" w:w="5184"/>
          </w:tcPr>
          <w:p>
            <w:r/>
            <w:r>
              <w:rPr>
                <w:sz w:val="17"/>
              </w:rPr>
              <w:t>A rebuilt upstream image cannot change a result</w:t>
            </w:r>
          </w:p>
        </w:tc>
      </w:tr>
      <w:tr>
        <w:tc>
          <w:tcPr>
            <w:tcW w:type="dxa" w:w="4608"/>
          </w:tcPr>
          <w:p>
            <w:r/>
            <w:r>
              <w:rPr>
                <w:sz w:val="17"/>
              </w:rPr>
              <w:t>Deploy the compose stack to staging</w:t>
            </w:r>
          </w:p>
        </w:tc>
        <w:tc>
          <w:tcPr>
            <w:tcW w:type="dxa" w:w="5184"/>
          </w:tcPr>
          <w:p>
            <w:r/>
            <w:r>
              <w:rPr>
                <w:sz w:val="17"/>
              </w:rPr>
              <w:t>proxy + read-only service + db + artifact volume</w:t>
            </w:r>
          </w:p>
        </w:tc>
      </w:tr>
      <w:tr>
        <w:tc>
          <w:tcPr>
            <w:tcW w:type="dxa" w:w="4608"/>
          </w:tcPr>
          <w:p>
            <w:r/>
            <w:r>
              <w:rPr>
                <w:sz w:val="17"/>
              </w:rPr>
              <w:t>Back up the ledger; test a restore</w:t>
            </w:r>
          </w:p>
        </w:tc>
        <w:tc>
          <w:tcPr>
            <w:tcW w:type="dxa" w:w="5184"/>
          </w:tcPr>
          <w:p>
            <w:r/>
            <w:r>
              <w:rPr>
                <w:sz w:val="17"/>
              </w:rPr>
              <w:t>A restore that does not rewrite history</w:t>
            </w:r>
          </w:p>
        </w:tc>
      </w:tr>
      <w:tr>
        <w:tc>
          <w:tcPr>
            <w:tcW w:type="dxa" w:w="4608"/>
          </w:tcPr>
          <w:p>
            <w:r/>
            <w:r>
              <w:rPr>
                <w:sz w:val="17"/>
              </w:rPr>
              <w:t>Accessibility pass in CI</w:t>
            </w:r>
          </w:p>
        </w:tc>
        <w:tc>
          <w:tcPr>
            <w:tcW w:type="dxa" w:w="5184"/>
          </w:tcPr>
          <w:p>
            <w:r/>
            <w:r>
              <w:rPr>
                <w:sz w:val="17"/>
              </w:rPr>
              <w:t>WCAG AA enforced on every push</w:t>
            </w:r>
          </w:p>
        </w:tc>
      </w:tr>
      <w:tr>
        <w:tc>
          <w:tcPr>
            <w:tcW w:type="dxa" w:w="4608"/>
          </w:tcPr>
          <w:p>
            <w:r/>
            <w:r>
              <w:rPr>
                <w:sz w:val="17"/>
              </w:rPr>
              <w:t>Tag 1.0.0</w:t>
            </w:r>
          </w:p>
        </w:tc>
        <w:tc>
          <w:tcPr>
            <w:tcW w:type="dxa" w:w="5184"/>
          </w:tcPr>
          <w:p>
            <w:r/>
            <w:r>
              <w:rPr>
                <w:sz w:val="17"/>
              </w:rPr>
              <w:t>Images by digest, sdist and wheel, provenance record</w:t>
            </w:r>
          </w:p>
        </w:tc>
      </w:tr>
    </w:tbl>
    <w:p>
      <w:pPr>
        <w:spacing w:after="40"/>
      </w:pPr>
    </w:p>
    <w:p>
      <w:pPr>
        <w:spacing w:before="140" w:after="180"/>
        <w:ind w:left="173"/>
        <w:pBdr>
          <w:left w:val="single" w:sz="18" w:color="926019"/>
        </w:pBdr>
      </w:pPr>
      <w:r>
        <w:rPr>
          <w:b/>
          <w:color w:val="926019"/>
          <w:sz w:val="17"/>
        </w:rPr>
        <w:t xml:space="preserve">OPEN ITEM CARRIED FROM PHASE 2  </w:t>
      </w:r>
      <w:r>
        <w:rPr>
          <w:sz w:val="18"/>
        </w:rPr>
        <w:t>nextflow.config still references images by TAG, not digest, and no image has been pushed. The architecture calls for digest pinning; it cannot be done until a registry push exists. This is stated rather than quietly left as done.</w:t>
      </w:r>
    </w:p>
    <w:p>
      <w:pPr>
        <w:pStyle w:val="Heading2"/>
      </w:pPr>
      <w:r>
        <w:t>Milestone Summary</w:t>
      </w:r>
    </w:p>
    <w:tbl>
      <w:tblPr>
        <w:tblStyle w:val="TableGrid"/>
        <w:tblW w:type="auto" w:w="0"/>
        <w:jc w:val="center"/>
        <w:tblLook w:firstColumn="1" w:firstRow="1" w:lastColumn="0" w:lastRow="0" w:noHBand="0" w:noVBand="1" w:val="04A0"/>
      </w:tblPr>
      <w:tblGrid>
        <w:gridCol w:w="3264"/>
        <w:gridCol w:w="3264"/>
        <w:gridCol w:w="3264"/>
      </w:tblGrid>
      <w:tr>
        <w:tc>
          <w:tcPr>
            <w:tcW w:type="dxa" w:w="4176"/>
            <w:shd w:val="clear" w:fill="1B2A4A"/>
          </w:tcPr>
          <w:p>
            <w:r/>
            <w:r>
              <w:rPr>
                <w:b/>
                <w:color w:val="FFFFFF"/>
                <w:sz w:val="17"/>
              </w:rPr>
              <w:t>Milestone</w:t>
            </w:r>
          </w:p>
        </w:tc>
        <w:tc>
          <w:tcPr>
            <w:tcW w:type="dxa" w:w="864"/>
            <w:shd w:val="clear" w:fill="1B2A4A"/>
          </w:tcPr>
          <w:p>
            <w:r/>
            <w:r>
              <w:rPr>
                <w:b/>
                <w:color w:val="FFFFFF"/>
                <w:sz w:val="17"/>
              </w:rPr>
              <w:t>Phase</w:t>
            </w:r>
          </w:p>
        </w:tc>
        <w:tc>
          <w:tcPr>
            <w:tcW w:type="dxa" w:w="4752"/>
            <w:shd w:val="clear" w:fill="1B2A4A"/>
          </w:tcPr>
          <w:p>
            <w:r/>
            <w:r>
              <w:rPr>
                <w:b/>
                <w:color w:val="FFFFFF"/>
                <w:sz w:val="17"/>
              </w:rPr>
              <w:t>State</w:t>
            </w:r>
          </w:p>
        </w:tc>
      </w:tr>
      <w:tr>
        <w:tc>
          <w:tcPr>
            <w:tcW w:type="dxa" w:w="4176"/>
          </w:tcPr>
          <w:p>
            <w:r/>
            <w:r>
              <w:rPr>
                <w:sz w:val="17"/>
              </w:rPr>
              <w:t>Core scientific chain implemented and tested</w:t>
            </w:r>
          </w:p>
        </w:tc>
        <w:tc>
          <w:tcPr>
            <w:tcW w:type="dxa" w:w="864"/>
          </w:tcPr>
          <w:p>
            <w:r/>
            <w:r>
              <w:rPr>
                <w:sz w:val="17"/>
              </w:rPr>
              <w:t>0</w:t>
            </w:r>
          </w:p>
        </w:tc>
        <w:tc>
          <w:tcPr>
            <w:tcW w:type="dxa" w:w="4752"/>
          </w:tcPr>
          <w:p>
            <w:r/>
            <w:r>
              <w:rPr>
                <w:sz w:val="17"/>
              </w:rPr>
              <w:t>DONE</w:t>
            </w:r>
          </w:p>
        </w:tc>
      </w:tr>
      <w:tr>
        <w:tc>
          <w:tcPr>
            <w:tcW w:type="dxa" w:w="4176"/>
          </w:tcPr>
          <w:p>
            <w:r/>
            <w:r>
              <w:rPr>
                <w:sz w:val="17"/>
              </w:rPr>
              <w:t>Atlas eligibility question answered</w:t>
            </w:r>
          </w:p>
        </w:tc>
        <w:tc>
          <w:tcPr>
            <w:tcW w:type="dxa" w:w="864"/>
          </w:tcPr>
          <w:p>
            <w:r/>
            <w:r>
              <w:rPr>
                <w:sz w:val="17"/>
              </w:rPr>
              <w:t>1</w:t>
            </w:r>
          </w:p>
        </w:tc>
        <w:tc>
          <w:tcPr>
            <w:tcW w:type="dxa" w:w="4752"/>
          </w:tcPr>
          <w:p>
            <w:r/>
            <w:r>
              <w:rPr>
                <w:sz w:val="17"/>
              </w:rPr>
              <w:t>DONE — negative for FMDV</w:t>
            </w:r>
          </w:p>
        </w:tc>
      </w:tr>
      <w:tr>
        <w:tc>
          <w:tcPr>
            <w:tcW w:type="dxa" w:w="4176"/>
          </w:tcPr>
          <w:p>
            <w:r/>
            <w:r>
              <w:rPr>
                <w:sz w:val="17"/>
              </w:rPr>
              <w:t>Reproducible environments</w:t>
            </w:r>
          </w:p>
        </w:tc>
        <w:tc>
          <w:tcPr>
            <w:tcW w:type="dxa" w:w="864"/>
          </w:tcPr>
          <w:p>
            <w:r/>
            <w:r>
              <w:rPr>
                <w:sz w:val="17"/>
              </w:rPr>
              <w:t>2</w:t>
            </w:r>
          </w:p>
        </w:tc>
        <w:tc>
          <w:tcPr>
            <w:tcW w:type="dxa" w:w="4752"/>
          </w:tcPr>
          <w:p>
            <w:r/>
            <w:r>
              <w:rPr>
                <w:sz w:val="17"/>
              </w:rPr>
              <w:t>DONE — docker profile runs end to end</w:t>
            </w:r>
          </w:p>
        </w:tc>
      </w:tr>
      <w:tr>
        <w:tc>
          <w:tcPr>
            <w:tcW w:type="dxa" w:w="4176"/>
          </w:tcPr>
          <w:p>
            <w:r/>
            <w:r>
              <w:rPr>
                <w:sz w:val="17"/>
              </w:rPr>
              <w:t>One-command full run producing results</w:t>
            </w:r>
          </w:p>
        </w:tc>
        <w:tc>
          <w:tcPr>
            <w:tcW w:type="dxa" w:w="864"/>
          </w:tcPr>
          <w:p>
            <w:r/>
            <w:r>
              <w:rPr>
                <w:sz w:val="17"/>
              </w:rPr>
              <w:t>3</w:t>
            </w:r>
          </w:p>
        </w:tc>
        <w:tc>
          <w:tcPr>
            <w:tcW w:type="dxa" w:w="4752"/>
          </w:tcPr>
          <w:p>
            <w:r/>
            <w:r>
              <w:rPr>
                <w:sz w:val="17"/>
              </w:rPr>
              <w:t>DONE</w:t>
            </w:r>
          </w:p>
        </w:tc>
      </w:tr>
      <w:tr>
        <w:tc>
          <w:tcPr>
            <w:tcW w:type="dxa" w:w="4176"/>
          </w:tcPr>
          <w:p>
            <w:r/>
            <w:r>
              <w:rPr>
                <w:sz w:val="17"/>
              </w:rPr>
              <w:t>A corpus that can test the hypothesis</w:t>
            </w:r>
          </w:p>
        </w:tc>
        <w:tc>
          <w:tcPr>
            <w:tcW w:type="dxa" w:w="864"/>
          </w:tcPr>
          <w:p>
            <w:r/>
            <w:r>
              <w:rPr>
                <w:sz w:val="17"/>
              </w:rPr>
              <w:t>5</w:t>
            </w:r>
          </w:p>
        </w:tc>
        <w:tc>
          <w:tcPr>
            <w:tcW w:type="dxa" w:w="4752"/>
          </w:tcPr>
          <w:p>
            <w:r/>
            <w:r>
              <w:rPr>
                <w:sz w:val="17"/>
              </w:rPr>
              <w:t>NEXT</w:t>
            </w:r>
          </w:p>
        </w:tc>
      </w:tr>
      <w:tr>
        <w:tc>
          <w:tcPr>
            <w:tcW w:type="dxa" w:w="4176"/>
          </w:tcPr>
          <w:p>
            <w:r/>
            <w:r>
              <w:rPr>
                <w:sz w:val="17"/>
              </w:rPr>
              <w:t>Safely deployable</w:t>
            </w:r>
          </w:p>
        </w:tc>
        <w:tc>
          <w:tcPr>
            <w:tcW w:type="dxa" w:w="864"/>
          </w:tcPr>
          <w:p>
            <w:r/>
            <w:r>
              <w:rPr>
                <w:sz w:val="17"/>
              </w:rPr>
              <w:t>4</w:t>
            </w:r>
          </w:p>
        </w:tc>
        <w:tc>
          <w:tcPr>
            <w:tcW w:type="dxa" w:w="4752"/>
          </w:tcPr>
          <w:p>
            <w:r/>
            <w:r>
              <w:rPr>
                <w:sz w:val="17"/>
              </w:rPr>
              <w:t>pending</w:t>
            </w:r>
          </w:p>
        </w:tc>
      </w:tr>
      <w:tr>
        <w:tc>
          <w:tcPr>
            <w:tcW w:type="dxa" w:w="4176"/>
          </w:tcPr>
          <w:p>
            <w:r/>
            <w:r>
              <w:rPr>
                <w:sz w:val="17"/>
              </w:rPr>
              <w:t>Defensible surveillance layer</w:t>
            </w:r>
          </w:p>
        </w:tc>
        <w:tc>
          <w:tcPr>
            <w:tcW w:type="dxa" w:w="864"/>
          </w:tcPr>
          <w:p>
            <w:r/>
            <w:r>
              <w:rPr>
                <w:sz w:val="17"/>
              </w:rPr>
              <w:t>6</w:t>
            </w:r>
          </w:p>
        </w:tc>
        <w:tc>
          <w:tcPr>
            <w:tcW w:type="dxa" w:w="4752"/>
          </w:tcPr>
          <w:p>
            <w:r/>
            <w:r>
              <w:rPr>
                <w:sz w:val="17"/>
              </w:rPr>
              <w:t>pending</w:t>
            </w:r>
          </w:p>
        </w:tc>
      </w:tr>
      <w:tr>
        <w:tc>
          <w:tcPr>
            <w:tcW w:type="dxa" w:w="4176"/>
          </w:tcPr>
          <w:p>
            <w:r/>
            <w:r>
              <w:rPr>
                <w:sz w:val="17"/>
              </w:rPr>
              <w:t>Honest validation</w:t>
            </w:r>
          </w:p>
        </w:tc>
        <w:tc>
          <w:tcPr>
            <w:tcW w:type="dxa" w:w="864"/>
          </w:tcPr>
          <w:p>
            <w:r/>
            <w:r>
              <w:rPr>
                <w:sz w:val="17"/>
              </w:rPr>
              <w:t>7</w:t>
            </w:r>
          </w:p>
        </w:tc>
        <w:tc>
          <w:tcPr>
            <w:tcW w:type="dxa" w:w="4752"/>
          </w:tcPr>
          <w:p>
            <w:r/>
            <w:r>
              <w:rPr>
                <w:sz w:val="17"/>
              </w:rPr>
              <w:t>pending</w:t>
            </w:r>
          </w:p>
        </w:tc>
      </w:tr>
      <w:tr>
        <w:tc>
          <w:tcPr>
            <w:tcW w:type="dxa" w:w="4176"/>
          </w:tcPr>
          <w:p>
            <w:r/>
            <w:r>
              <w:rPr>
                <w:sz w:val="17"/>
              </w:rPr>
              <w:t>Released</w:t>
            </w:r>
          </w:p>
        </w:tc>
        <w:tc>
          <w:tcPr>
            <w:tcW w:type="dxa" w:w="864"/>
          </w:tcPr>
          <w:p>
            <w:r/>
            <w:r>
              <w:rPr>
                <w:sz w:val="17"/>
              </w:rPr>
              <w:t>8</w:t>
            </w:r>
          </w:p>
        </w:tc>
        <w:tc>
          <w:tcPr>
            <w:tcW w:type="dxa" w:w="4752"/>
          </w:tcPr>
          <w:p>
            <w:r/>
            <w:r>
              <w:rPr>
                <w:sz w:val="17"/>
              </w:rPr>
              <w:t>pending</w:t>
            </w:r>
          </w:p>
        </w:tc>
      </w:tr>
    </w:tbl>
    <w:p>
      <w:pPr>
        <w:spacing w:after="40"/>
      </w:pP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4A55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120"/>
    </w:pPr>
    <w:rPr>
      <w:sz w:val="20"/>
    </w:rPr>
  </w:style>
  <w:style w:type="paragraph" w:customStyle="1" w:styleId="BlockText">
    <w:name w:val="Block Text"/>
    <w:basedOn w:val="Normal"/>
    <w:pPr>
      <w:spacing w:before="120" w:after="200"/>
      <w:ind w:left="216"/>
    </w:pPr>
    <w:rPr>
      <w:color w:val="4A5568"/>
      <w:sz w:val="18"/>
    </w:rPr>
  </w:style>
  <w:style w:type="paragraph" w:customStyle="1" w:styleId="SourceCode">
    <w:name w:val="Source Code"/>
    <w:basedOn w:val="Normal"/>
    <w:pPr>
      <w:spacing w:before="80" w:after="160"/>
      <w:ind w:left="144"/>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