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Engineering Record</w:t>
      </w:r>
    </w:p>
    <w:p>
      <w:pPr>
        <w:pStyle w:val="BlockText"/>
      </w:pPr>
      <w:r>
        <w:t>Status: Work completed, defects found and fixed, and the evidence for each</w:t>
        <w:br/>
        <w:t>Purpose: A verifiable account of what was built, what was broken, how each defect was discovered, and what now prevents its recurrence</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1. Summary of Work</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B2A4A"/>
          </w:tcPr>
          <w:p>
            <w:r/>
            <w:r>
              <w:rPr>
                <w:b/>
                <w:color w:val="FFFFFF"/>
                <w:sz w:val="17"/>
              </w:rPr>
              <w:t>Workstream</w:t>
            </w:r>
          </w:p>
        </w:tc>
        <w:tc>
          <w:tcPr>
            <w:tcW w:type="dxa" w:w="1584"/>
            <w:shd w:val="clear" w:fill="1B2A4A"/>
          </w:tcPr>
          <w:p>
            <w:r/>
            <w:r>
              <w:rPr>
                <w:b/>
                <w:color w:val="FFFFFF"/>
                <w:sz w:val="17"/>
              </w:rPr>
              <w:t>Outcome</w:t>
            </w:r>
          </w:p>
        </w:tc>
        <w:tc>
          <w:tcPr>
            <w:tcW w:type="dxa" w:w="5328"/>
            <w:shd w:val="clear" w:fill="1B2A4A"/>
          </w:tcPr>
          <w:p>
            <w:r/>
            <w:r>
              <w:rPr>
                <w:b/>
                <w:color w:val="FFFFFF"/>
                <w:sz w:val="17"/>
              </w:rPr>
              <w:t>Evidence</w:t>
            </w:r>
          </w:p>
        </w:tc>
      </w:tr>
      <w:tr>
        <w:tc>
          <w:tcPr>
            <w:tcW w:type="dxa" w:w="2880"/>
          </w:tcPr>
          <w:p>
            <w:r/>
            <w:r>
              <w:rPr>
                <w:sz w:val="17"/>
              </w:rPr>
              <w:t>Sprint 1 — close the real-data break</w:t>
            </w:r>
          </w:p>
        </w:tc>
        <w:tc>
          <w:tcPr>
            <w:tcW w:type="dxa" w:w="1584"/>
          </w:tcPr>
          <w:p>
            <w:r/>
            <w:r>
              <w:rPr>
                <w:sz w:val="17"/>
              </w:rPr>
              <w:t>COMPLETE</w:t>
            </w:r>
          </w:p>
        </w:tc>
        <w:tc>
          <w:tcPr>
            <w:tcW w:type="dxa" w:w="5328"/>
          </w:tcPr>
          <w:p>
            <w:r/>
            <w:r>
              <w:rPr>
                <w:sz w:val="17"/>
              </w:rPr>
              <w:t>0 → 840 of 840 FMDV genomes annotated; 0 → 20 windows scored</w:t>
            </w:r>
          </w:p>
        </w:tc>
      </w:tr>
      <w:tr>
        <w:tc>
          <w:tcPr>
            <w:tcW w:type="dxa" w:w="2880"/>
          </w:tcPr>
          <w:p>
            <w:r/>
            <w:r>
              <w:rPr>
                <w:sz w:val="17"/>
              </w:rPr>
              <w:t>Defect hunt (6 defects)</w:t>
            </w:r>
          </w:p>
        </w:tc>
        <w:tc>
          <w:tcPr>
            <w:tcW w:type="dxa" w:w="1584"/>
          </w:tcPr>
          <w:p>
            <w:r/>
            <w:r>
              <w:rPr>
                <w:sz w:val="17"/>
              </w:rPr>
              <w:t>COMPLETE</w:t>
            </w:r>
          </w:p>
        </w:tc>
        <w:tc>
          <w:tcPr>
            <w:tcW w:type="dxa" w:w="5328"/>
          </w:tcPr>
          <w:p>
            <w:r/>
            <w:r>
              <w:rPr>
                <w:sz w:val="17"/>
              </w:rPr>
              <w:t>All fixed with 24 regression tests</w:t>
            </w:r>
          </w:p>
        </w:tc>
      </w:tr>
      <w:tr>
        <w:tc>
          <w:tcPr>
            <w:tcW w:type="dxa" w:w="2880"/>
          </w:tcPr>
          <w:p>
            <w:r/>
            <w:r>
              <w:rPr>
                <w:sz w:val="17"/>
              </w:rPr>
              <w:t>Test suite de-coupled from real data</w:t>
            </w:r>
          </w:p>
        </w:tc>
        <w:tc>
          <w:tcPr>
            <w:tcW w:type="dxa" w:w="1584"/>
          </w:tcPr>
          <w:p>
            <w:r/>
            <w:r>
              <w:rPr>
                <w:sz w:val="17"/>
              </w:rPr>
              <w:t>COMPLETE</w:t>
            </w:r>
          </w:p>
        </w:tc>
        <w:tc>
          <w:tcPr>
            <w:tcW w:type="dxa" w:w="5328"/>
          </w:tcPr>
          <w:p>
            <w:r/>
            <w:r>
              <w:rPr>
                <w:sz w:val="17"/>
              </w:rPr>
              <w:t>675 pass / 31 skip on a simulated fresh clone</w:t>
            </w:r>
          </w:p>
        </w:tc>
      </w:tr>
      <w:tr>
        <w:tc>
          <w:tcPr>
            <w:tcW w:type="dxa" w:w="2880"/>
          </w:tcPr>
          <w:p>
            <w:r/>
            <w:r>
              <w:rPr>
                <w:sz w:val="17"/>
              </w:rPr>
              <w:t>End-to-end verification</w:t>
            </w:r>
          </w:p>
        </w:tc>
        <w:tc>
          <w:tcPr>
            <w:tcW w:type="dxa" w:w="1584"/>
          </w:tcPr>
          <w:p>
            <w:r/>
            <w:r>
              <w:rPr>
                <w:sz w:val="17"/>
              </w:rPr>
              <w:t>COMPLETE</w:t>
            </w:r>
          </w:p>
        </w:tc>
        <w:tc>
          <w:tcPr>
            <w:tcW w:type="dxa" w:w="5328"/>
          </w:tcPr>
          <w:p>
            <w:r/>
            <w:r>
              <w:rPr>
                <w:sz w:val="17"/>
              </w:rPr>
              <w:t>11 green stages on a 2,400-genome synthetic study; both detectors alarm at the planted change point</w:t>
            </w:r>
          </w:p>
        </w:tc>
      </w:tr>
      <w:tr>
        <w:tc>
          <w:tcPr>
            <w:tcW w:type="dxa" w:w="2880"/>
          </w:tcPr>
          <w:p>
            <w:r/>
            <w:r>
              <w:rPr>
                <w:sz w:val="17"/>
              </w:rPr>
              <w:t>Forecast UI skin</w:t>
            </w:r>
          </w:p>
        </w:tc>
        <w:tc>
          <w:tcPr>
            <w:tcW w:type="dxa" w:w="1584"/>
          </w:tcPr>
          <w:p>
            <w:r/>
            <w:r>
              <w:rPr>
                <w:sz w:val="17"/>
              </w:rPr>
              <w:t>COMPLETE</w:t>
            </w:r>
          </w:p>
        </w:tc>
        <w:tc>
          <w:tcPr>
            <w:tcW w:type="dxa" w:w="5328"/>
          </w:tcPr>
          <w:p>
            <w:r/>
            <w:r>
              <w:rPr>
                <w:sz w:val="17"/>
              </w:rPr>
              <w:t>6 skins, all WCAG AA; worst text pair 4.50:1</w:t>
            </w:r>
          </w:p>
        </w:tc>
      </w:tr>
      <w:tr>
        <w:tc>
          <w:tcPr>
            <w:tcW w:type="dxa" w:w="2880"/>
          </w:tcPr>
          <w:p>
            <w:r/>
            <w:r>
              <w:rPr>
                <w:sz w:val="17"/>
              </w:rPr>
              <w:t>Architecture documentation</w:t>
            </w:r>
          </w:p>
        </w:tc>
        <w:tc>
          <w:tcPr>
            <w:tcW w:type="dxa" w:w="1584"/>
          </w:tcPr>
          <w:p>
            <w:r/>
            <w:r>
              <w:rPr>
                <w:sz w:val="17"/>
              </w:rPr>
              <w:t>COMPLETE</w:t>
            </w:r>
          </w:p>
        </w:tc>
        <w:tc>
          <w:tcPr>
            <w:tcW w:type="dxa" w:w="5328"/>
          </w:tcPr>
          <w:p>
            <w:r/>
            <w:r>
              <w:rPr>
                <w:sz w:val="17"/>
              </w:rPr>
              <w:t>This document set</w:t>
            </w:r>
          </w:p>
        </w:tc>
      </w:tr>
      <w:tr>
        <w:tc>
          <w:tcPr>
            <w:tcW w:type="dxa" w:w="2880"/>
          </w:tcPr>
          <w:p>
            <w:r/>
            <w:r>
              <w:rPr>
                <w:sz w:val="17"/>
              </w:rPr>
              <w:t>Phase 1 — Atlas eligibility</w:t>
            </w:r>
          </w:p>
        </w:tc>
        <w:tc>
          <w:tcPr>
            <w:tcW w:type="dxa" w:w="1584"/>
          </w:tcPr>
          <w:p>
            <w:r/>
            <w:r>
              <w:rPr>
                <w:sz w:val="17"/>
              </w:rPr>
              <w:t>COMPLETE (negative)</w:t>
            </w:r>
          </w:p>
        </w:tc>
        <w:tc>
          <w:tcPr>
            <w:tcW w:type="dxa" w:w="5328"/>
          </w:tcPr>
          <w:p>
            <w:r/>
            <w:r>
              <w:rPr>
                <w:sz w:val="17"/>
              </w:rPr>
              <w:t>FMDV cannot reach SC on 3 independent grounds; 2 strand defects fixed</w:t>
            </w:r>
          </w:p>
        </w:tc>
      </w:tr>
      <w:tr>
        <w:tc>
          <w:tcPr>
            <w:tcW w:type="dxa" w:w="2880"/>
          </w:tcPr>
          <w:p>
            <w:r/>
            <w:r>
              <w:rPr>
                <w:sz w:val="17"/>
              </w:rPr>
              <w:t>Phase 3 — Nextflow orchestration</w:t>
            </w:r>
          </w:p>
        </w:tc>
        <w:tc>
          <w:tcPr>
            <w:tcW w:type="dxa" w:w="1584"/>
          </w:tcPr>
          <w:p>
            <w:r/>
            <w:r>
              <w:rPr>
                <w:sz w:val="17"/>
              </w:rPr>
              <w:t>COMPLETE</w:t>
            </w:r>
          </w:p>
        </w:tc>
        <w:tc>
          <w:tcPr>
            <w:tcW w:type="dxa" w:w="5328"/>
          </w:tcPr>
          <w:p>
            <w:r/>
            <w:r>
              <w:rPr>
                <w:sz w:val="17"/>
              </w:rPr>
              <w:t>14 processes, all reachable; pipeline reaches scores and a card</w:t>
            </w:r>
          </w:p>
        </w:tc>
      </w:tr>
      <w:tr>
        <w:tc>
          <w:tcPr>
            <w:tcW w:type="dxa" w:w="2880"/>
          </w:tcPr>
          <w:p>
            <w:r/>
            <w:r>
              <w:rPr>
                <w:sz w:val="17"/>
              </w:rPr>
              <w:t>Phase 2 — Containers</w:t>
            </w:r>
          </w:p>
        </w:tc>
        <w:tc>
          <w:tcPr>
            <w:tcW w:type="dxa" w:w="1584"/>
          </w:tcPr>
          <w:p>
            <w:r/>
            <w:r>
              <w:rPr>
                <w:sz w:val="17"/>
              </w:rPr>
              <w:t>COMPLETE</w:t>
            </w:r>
          </w:p>
        </w:tc>
        <w:tc>
          <w:tcPr>
            <w:tcW w:type="dxa" w:w="5328"/>
          </w:tcPr>
          <w:p>
            <w:r/>
            <w:r>
              <w:rPr>
                <w:sz w:val="17"/>
              </w:rPr>
              <w:t>11/11 images build; docker profile runs end to end; 8 defects fixed</w:t>
            </w:r>
          </w:p>
        </w:tc>
      </w:tr>
    </w:tbl>
    <w:p>
      <w:pPr>
        <w:spacing w:after="40"/>
      </w:pP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fill="1B2A4A"/>
          </w:tcPr>
          <w:p>
            <w:r/>
            <w:r>
              <w:rPr>
                <w:b/>
                <w:color w:val="FFFFFF"/>
                <w:sz w:val="17"/>
              </w:rPr>
              <w:t>Measure</w:t>
            </w:r>
          </w:p>
        </w:tc>
        <w:tc>
          <w:tcPr>
            <w:tcW w:type="dxa" w:w="3024"/>
            <w:shd w:val="clear" w:fill="1B2A4A"/>
          </w:tcPr>
          <w:p>
            <w:r/>
            <w:r>
              <w:rPr>
                <w:b/>
                <w:color w:val="FFFFFF"/>
                <w:sz w:val="17"/>
              </w:rPr>
              <w:t>Before</w:t>
            </w:r>
          </w:p>
        </w:tc>
        <w:tc>
          <w:tcPr>
            <w:tcW w:type="dxa" w:w="3024"/>
            <w:shd w:val="clear" w:fill="1B2A4A"/>
          </w:tcPr>
          <w:p>
            <w:r/>
            <w:r>
              <w:rPr>
                <w:b/>
                <w:color w:val="FFFFFF"/>
                <w:sz w:val="17"/>
              </w:rPr>
              <w:t>After</w:t>
            </w:r>
          </w:p>
        </w:tc>
      </w:tr>
      <w:tr>
        <w:tc>
          <w:tcPr>
            <w:tcW w:type="dxa" w:w="3744"/>
          </w:tcPr>
          <w:p>
            <w:r/>
            <w:r>
              <w:rPr>
                <w:sz w:val="17"/>
              </w:rPr>
              <w:t>Test cases</w:t>
            </w:r>
          </w:p>
        </w:tc>
        <w:tc>
          <w:tcPr>
            <w:tcW w:type="dxa" w:w="3024"/>
          </w:tcPr>
          <w:p>
            <w:r/>
            <w:r>
              <w:rPr>
                <w:sz w:val="17"/>
              </w:rPr>
              <w:t>659</w:t>
            </w:r>
          </w:p>
        </w:tc>
        <w:tc>
          <w:tcPr>
            <w:tcW w:type="dxa" w:w="3024"/>
          </w:tcPr>
          <w:p>
            <w:r/>
            <w:r>
              <w:rPr>
                <w:sz w:val="17"/>
              </w:rPr>
              <w:t>714</w:t>
            </w:r>
          </w:p>
        </w:tc>
      </w:tr>
      <w:tr>
        <w:tc>
          <w:tcPr>
            <w:tcW w:type="dxa" w:w="3744"/>
          </w:tcPr>
          <w:p>
            <w:r/>
            <w:r>
              <w:rPr>
                <w:sz w:val="17"/>
              </w:rPr>
              <w:t>Statement coverage</w:t>
            </w:r>
          </w:p>
        </w:tc>
        <w:tc>
          <w:tcPr>
            <w:tcW w:type="dxa" w:w="3024"/>
          </w:tcPr>
          <w:p>
            <w:r/>
            <w:r>
              <w:rPr>
                <w:sz w:val="17"/>
              </w:rPr>
              <w:t>94% (partial run)</w:t>
            </w:r>
          </w:p>
        </w:tc>
        <w:tc>
          <w:tcPr>
            <w:tcW w:type="dxa" w:w="3024"/>
          </w:tcPr>
          <w:p>
            <w:r/>
            <w:r>
              <w:rPr>
                <w:sz w:val="17"/>
              </w:rPr>
              <w:t>91% (full run, gate 85%)</w:t>
            </w:r>
          </w:p>
        </w:tc>
      </w:tr>
      <w:tr>
        <w:tc>
          <w:tcPr>
            <w:tcW w:type="dxa" w:w="3744"/>
          </w:tcPr>
          <w:p>
            <w:r/>
            <w:r>
              <w:rPr>
                <w:sz w:val="17"/>
              </w:rPr>
              <w:t>Genomes carrying G4 tip states</w:t>
            </w:r>
          </w:p>
        </w:tc>
        <w:tc>
          <w:tcPr>
            <w:tcW w:type="dxa" w:w="3024"/>
          </w:tcPr>
          <w:p>
            <w:r/>
            <w:r>
              <w:rPr>
                <w:sz w:val="17"/>
              </w:rPr>
              <w:t>0 of 840</w:t>
            </w:r>
          </w:p>
        </w:tc>
        <w:tc>
          <w:tcPr>
            <w:tcW w:type="dxa" w:w="3024"/>
          </w:tcPr>
          <w:p>
            <w:r/>
            <w:r>
              <w:rPr>
                <w:sz w:val="17"/>
              </w:rPr>
              <w:t>840 of 840</w:t>
            </w:r>
          </w:p>
        </w:tc>
      </w:tr>
      <w:tr>
        <w:tc>
          <w:tcPr>
            <w:tcW w:type="dxa" w:w="3744"/>
          </w:tcPr>
          <w:p>
            <w:r/>
            <w:r>
              <w:rPr>
                <w:sz w:val="17"/>
              </w:rPr>
              <w:t>Windows normalised (real corpus)</w:t>
            </w:r>
          </w:p>
        </w:tc>
        <w:tc>
          <w:tcPr>
            <w:tcW w:type="dxa" w:w="3024"/>
          </w:tcPr>
          <w:p>
            <w:r/>
            <w:r>
              <w:rPr>
                <w:sz w:val="17"/>
              </w:rPr>
              <w:t>0 of 92</w:t>
            </w:r>
          </w:p>
        </w:tc>
        <w:tc>
          <w:tcPr>
            <w:tcW w:type="dxa" w:w="3024"/>
          </w:tcPr>
          <w:p>
            <w:r/>
            <w:r>
              <w:rPr>
                <w:sz w:val="17"/>
              </w:rPr>
              <w:t>20</w:t>
            </w:r>
          </w:p>
        </w:tc>
      </w:tr>
      <w:tr>
        <w:tc>
          <w:tcPr>
            <w:tcW w:type="dxa" w:w="3744"/>
          </w:tcPr>
          <w:p>
            <w:r/>
            <w:r>
              <w:rPr>
                <w:sz w:val="17"/>
              </w:rPr>
              <w:t>Windows scored (real corpus)</w:t>
            </w:r>
          </w:p>
        </w:tc>
        <w:tc>
          <w:tcPr>
            <w:tcW w:type="dxa" w:w="3024"/>
          </w:tcPr>
          <w:p>
            <w:r/>
            <w:r>
              <w:rPr>
                <w:sz w:val="17"/>
              </w:rPr>
              <w:t>0</w:t>
            </w:r>
          </w:p>
        </w:tc>
        <w:tc>
          <w:tcPr>
            <w:tcW w:type="dxa" w:w="3024"/>
          </w:tcPr>
          <w:p>
            <w:r/>
            <w:r>
              <w:rPr>
                <w:sz w:val="17"/>
              </w:rPr>
              <w:t>20</w:t>
            </w:r>
          </w:p>
        </w:tc>
      </w:tr>
      <w:tr>
        <w:tc>
          <w:tcPr>
            <w:tcW w:type="dxa" w:w="3744"/>
          </w:tcPr>
          <w:p>
            <w:r/>
            <w:r>
              <w:rPr>
                <w:sz w:val="17"/>
              </w:rPr>
              <w:t>Fresh-clone test result</w:t>
            </w:r>
          </w:p>
        </w:tc>
        <w:tc>
          <w:tcPr>
            <w:tcW w:type="dxa" w:w="3024"/>
          </w:tcPr>
          <w:p>
            <w:r/>
            <w:r>
              <w:rPr>
                <w:sz w:val="17"/>
              </w:rPr>
              <w:t>9 hard failures</w:t>
            </w:r>
          </w:p>
        </w:tc>
        <w:tc>
          <w:tcPr>
            <w:tcW w:type="dxa" w:w="3024"/>
          </w:tcPr>
          <w:p>
            <w:r/>
            <w:r>
              <w:rPr>
                <w:sz w:val="17"/>
              </w:rPr>
              <w:t>0 failures, 31 skips</w:t>
            </w:r>
          </w:p>
        </w:tc>
      </w:tr>
      <w:tr>
        <w:tc>
          <w:tcPr>
            <w:tcW w:type="dxa" w:w="3744"/>
          </w:tcPr>
          <w:p>
            <w:r/>
            <w:r>
              <w:rPr>
                <w:sz w:val="17"/>
              </w:rPr>
              <w:t>Known silent-loss defects</w:t>
            </w:r>
          </w:p>
        </w:tc>
        <w:tc>
          <w:tcPr>
            <w:tcW w:type="dxa" w:w="3024"/>
          </w:tcPr>
          <w:p>
            <w:r/>
            <w:r>
              <w:rPr>
                <w:sz w:val="17"/>
              </w:rPr>
              <w:t>6 latent</w:t>
            </w:r>
          </w:p>
        </w:tc>
        <w:tc>
          <w:tcPr>
            <w:tcW w:type="dxa" w:w="3024"/>
          </w:tcPr>
          <w:p>
            <w:r/>
            <w:r>
              <w:rPr>
                <w:sz w:val="17"/>
              </w:rPr>
              <w:t>0</w:t>
            </w:r>
          </w:p>
        </w:tc>
      </w:tr>
      <w:tr>
        <w:tc>
          <w:tcPr>
            <w:tcW w:type="dxa" w:w="3744"/>
          </w:tcPr>
          <w:p>
            <w:r/>
            <w:r>
              <w:rPr>
                <w:sz w:val="17"/>
              </w:rPr>
              <w:t>Total defects found and fixed</w:t>
            </w:r>
          </w:p>
        </w:tc>
        <w:tc>
          <w:tcPr>
            <w:tcW w:type="dxa" w:w="3024"/>
          </w:tcPr>
          <w:p>
            <w:r/>
            <w:r>
              <w:rPr>
                <w:sz w:val="17"/>
              </w:rPr>
              <w:t>—</w:t>
            </w:r>
          </w:p>
        </w:tc>
        <w:tc>
          <w:tcPr>
            <w:tcW w:type="dxa" w:w="3024"/>
          </w:tcPr>
          <w:p>
            <w:r/>
            <w:r>
              <w:rPr>
                <w:sz w:val="17"/>
              </w:rPr>
              <w:t>16</w:t>
            </w:r>
          </w:p>
        </w:tc>
      </w:tr>
      <w:tr>
        <w:tc>
          <w:tcPr>
            <w:tcW w:type="dxa" w:w="3744"/>
          </w:tcPr>
          <w:p>
            <w:r/>
            <w:r>
              <w:rPr>
                <w:sz w:val="17"/>
              </w:rPr>
              <w:t>Container images that build</w:t>
            </w:r>
          </w:p>
        </w:tc>
        <w:tc>
          <w:tcPr>
            <w:tcW w:type="dxa" w:w="3024"/>
          </w:tcPr>
          <w:p>
            <w:r/>
            <w:r>
              <w:rPr>
                <w:sz w:val="17"/>
              </w:rPr>
              <w:t>0 of 11</w:t>
            </w:r>
          </w:p>
        </w:tc>
        <w:tc>
          <w:tcPr>
            <w:tcW w:type="dxa" w:w="3024"/>
          </w:tcPr>
          <w:p>
            <w:r/>
            <w:r>
              <w:rPr>
                <w:sz w:val="17"/>
              </w:rPr>
              <w:t>11 of 11</w:t>
            </w:r>
          </w:p>
        </w:tc>
      </w:tr>
      <w:tr>
        <w:tc>
          <w:tcPr>
            <w:tcW w:type="dxa" w:w="3744"/>
          </w:tcPr>
          <w:p>
            <w:r/>
            <w:r>
              <w:rPr>
                <w:sz w:val="17"/>
              </w:rPr>
              <w:t>Nextflow processes</w:t>
            </w:r>
          </w:p>
        </w:tc>
        <w:tc>
          <w:tcPr>
            <w:tcW w:type="dxa" w:w="3024"/>
          </w:tcPr>
          <w:p>
            <w:r/>
            <w:r>
              <w:rPr>
                <w:sz w:val="17"/>
              </w:rPr>
              <w:t>11 (7 reachable)</w:t>
            </w:r>
          </w:p>
        </w:tc>
        <w:tc>
          <w:tcPr>
            <w:tcW w:type="dxa" w:w="3024"/>
          </w:tcPr>
          <w:p>
            <w:r/>
            <w:r>
              <w:rPr>
                <w:sz w:val="17"/>
              </w:rPr>
              <w:t>14, all reachable</w:t>
            </w:r>
          </w:p>
        </w:tc>
      </w:tr>
      <w:tr>
        <w:tc>
          <w:tcPr>
            <w:tcW w:type="dxa" w:w="3744"/>
          </w:tcPr>
          <w:p>
            <w:r/>
            <w:r>
              <w:rPr>
                <w:sz w:val="17"/>
              </w:rPr>
              <w:t>Test cases (final)</w:t>
            </w:r>
          </w:p>
        </w:tc>
        <w:tc>
          <w:tcPr>
            <w:tcW w:type="dxa" w:w="3024"/>
          </w:tcPr>
          <w:p>
            <w:r/>
            <w:r>
              <w:rPr>
                <w:sz w:val="17"/>
              </w:rPr>
              <w:t>659</w:t>
            </w:r>
          </w:p>
        </w:tc>
        <w:tc>
          <w:tcPr>
            <w:tcW w:type="dxa" w:w="3024"/>
          </w:tcPr>
          <w:p>
            <w:r/>
            <w:r>
              <w:rPr>
                <w:sz w:val="17"/>
              </w:rPr>
              <w:t>826</w:t>
            </w:r>
          </w:p>
        </w:tc>
      </w:tr>
    </w:tbl>
    <w:p>
      <w:pPr>
        <w:spacing w:after="40"/>
      </w:pPr>
    </w:p>
    <w:p>
      <w:r>
        <w:br w:type="page"/>
      </w:r>
    </w:p>
    <w:p>
      <w:pPr>
        <w:pStyle w:val="Heading2"/>
      </w:pPr>
      <w:r>
        <w:t>2. Sprint 1 — Closing the Real-Data Break</w:t>
      </w:r>
    </w:p>
    <w:p>
      <w:pPr>
        <w:pStyle w:val="FirstParagraph"/>
      </w:pPr>
      <w:r>
        <w:t>The implementation audit identified a missing layer: nothing converted an alignment into the tip states and mutation counts that four of the seven G.2 terms consume. Every one of 840 aligned FMDV genomes carried an empty state dictionary, so those four terms were permanently None and no window could be normalised or scored.</w:t>
      </w:r>
    </w:p>
    <w:p>
      <w:pPr>
        <w:pStyle w:val="Heading3"/>
      </w:pPr>
      <w:r>
        <w:t>2.1 New module — g4watch/variants/corpus_states.py</w:t>
      </w:r>
    </w:p>
    <w:tbl>
      <w:tblPr>
        <w:tblStyle w:val="TableGrid"/>
        <w:tblW w:type="auto" w:w="0"/>
        <w:jc w:val="center"/>
        <w:tblLook w:firstColumn="1" w:firstRow="1" w:lastColumn="0" w:lastRow="0" w:noHBand="0" w:noVBand="1" w:val="04A0"/>
      </w:tblPr>
      <w:tblGrid>
        <w:gridCol w:w="4896"/>
        <w:gridCol w:w="4896"/>
      </w:tblGrid>
      <w:tr>
        <w:tc>
          <w:tcPr>
            <w:tcW w:type="dxa" w:w="1872"/>
            <w:shd w:val="clear" w:fill="1B2A4A"/>
          </w:tcPr>
          <w:p>
            <w:r/>
            <w:r>
              <w:rPr>
                <w:b/>
                <w:color w:val="FFFFFF"/>
                <w:sz w:val="17"/>
              </w:rPr>
              <w:t>Aspect</w:t>
            </w:r>
          </w:p>
        </w:tc>
        <w:tc>
          <w:tcPr>
            <w:tcW w:type="dxa" w:w="7920"/>
            <w:shd w:val="clear" w:fill="1B2A4A"/>
          </w:tcPr>
          <w:p>
            <w:r/>
            <w:r>
              <w:rPr>
                <w:b/>
                <w:color w:val="FFFFFF"/>
                <w:sz w:val="17"/>
              </w:rPr>
              <w:t>Detail</w:t>
            </w:r>
          </w:p>
        </w:tc>
      </w:tr>
      <w:tr>
        <w:tc>
          <w:tcPr>
            <w:tcW w:type="dxa" w:w="1872"/>
          </w:tcPr>
          <w:p>
            <w:r/>
            <w:r>
              <w:rPr>
                <w:sz w:val="17"/>
              </w:rPr>
              <w:t>Responsibility</w:t>
            </w:r>
          </w:p>
        </w:tc>
        <w:tc>
          <w:tcPr>
            <w:tcW w:type="dxa" w:w="7920"/>
          </w:tcPr>
          <w:p>
            <w:r/>
            <w:r>
              <w:rPr>
                <w:sz w:val="17"/>
              </w:rPr>
              <w:t>Turn (alignment, Atlas) into per-genome states and substitution counts</w:t>
            </w:r>
          </w:p>
        </w:tc>
      </w:tr>
      <w:tr>
        <w:tc>
          <w:tcPr>
            <w:tcW w:type="dxa" w:w="1872"/>
          </w:tcPr>
          <w:p>
            <w:r/>
            <w:r>
              <w:rPr>
                <w:sz w:val="17"/>
              </w:rPr>
              <w:t>Public API</w:t>
            </w:r>
          </w:p>
        </w:tc>
        <w:tc>
          <w:tcPr>
            <w:tcW w:type="dxa" w:w="7920"/>
          </w:tcPr>
          <w:p>
            <w:r/>
            <w:r>
              <w:rPr>
                <w:sz w:val="17"/>
              </w:rPr>
              <w:t>annotate_samples(samples, *, alignment, reference_id, atlas, include_ineligible, detect_gains, …) -&gt; (samples, AnnotationReport)</w:t>
            </w:r>
          </w:p>
        </w:tc>
      </w:tr>
      <w:tr>
        <w:tc>
          <w:tcPr>
            <w:tcW w:type="dxa" w:w="1872"/>
          </w:tcPr>
          <w:p>
            <w:r/>
            <w:r>
              <w:rPr>
                <w:sz w:val="17"/>
              </w:rPr>
              <w:t>States produced</w:t>
            </w:r>
          </w:p>
        </w:tc>
        <w:tc>
          <w:tcPr>
            <w:tcW w:type="dxa" w:w="7920"/>
          </w:tcPr>
          <w:p>
            <w:r/>
            <w:r>
              <w:rPr>
                <w:sz w:val="17"/>
              </w:rPr>
              <w:t>present · disrupted · absent · gained; anything unassessable is OMITTED, never zeroed</w:t>
            </w:r>
          </w:p>
        </w:tc>
      </w:tr>
      <w:tr>
        <w:tc>
          <w:tcPr>
            <w:tcW w:type="dxa" w:w="1872"/>
          </w:tcPr>
          <w:p>
            <w:r/>
            <w:r>
              <w:rPr>
                <w:sz w:val="17"/>
              </w:rPr>
              <w:t>Eligibility</w:t>
            </w:r>
          </w:p>
        </w:tc>
        <w:tc>
          <w:tcPr>
            <w:tcW w:type="dxa" w:w="7920"/>
          </w:tcPr>
          <w:p>
            <w:r/>
            <w:r>
              <w:rPr>
                <w:sz w:val="17"/>
              </w:rPr>
              <w:t>Uses select_scoring_eligible(); include_ineligible forces authoritative=False</w:t>
            </w:r>
          </w:p>
        </w:tc>
      </w:tr>
      <w:tr>
        <w:tc>
          <w:tcPr>
            <w:tcW w:type="dxa" w:w="1872"/>
          </w:tcPr>
          <w:p>
            <w:r/>
            <w:r>
              <w:rPr>
                <w:sz w:val="17"/>
              </w:rPr>
              <w:t>Reporting</w:t>
            </w:r>
          </w:p>
        </w:tc>
        <w:tc>
          <w:tcPr>
            <w:tcW w:type="dxa" w:w="7920"/>
          </w:tcPr>
          <w:p>
            <w:r/>
            <w:r>
              <w:rPr>
                <w:sz w:val="17"/>
              </w:rPr>
              <w:t>AnnotationReport carries loci_total, loci_eligible, loci_used, per-state counts, unassessed count, gain status and explicit notes</w:t>
            </w:r>
          </w:p>
        </w:tc>
      </w:tr>
    </w:tbl>
    <w:p>
      <w:pPr>
        <w:spacing w:after="40"/>
      </w:pPr>
    </w:p>
    <w:p>
      <w:pPr>
        <w:pStyle w:val="Heading3"/>
      </w:pPr>
      <w:r>
        <w:t>2.2 Three design decisions that were not obvious</w:t>
      </w:r>
    </w:p>
    <w:p>
      <w:pPr>
        <w:pStyle w:val="BodyText"/>
      </w:pPr>
      <w:r>
        <w:t>Deletion versus coverage. An all-gap span is either a real deletion or absent coverage. classify_tip_state() correctly refuses to guess. The annotation layer consults the flanks: ≥10 informative bases within 50 bp on both sides makes the deletion callable; a gap running to the edge of coverage is left unassessed.</w:t>
      </w:r>
    </w:p>
    <w:p>
      <w:pPr>
        <w:pStyle w:val="BodyText"/>
      </w:pPr>
      <w:r>
        <w:t>Substitutions only for the mutation burden. Under --keeplength a partially covering genome yields thousands of reference-relative deletions that are its coverage window. Counting them would have made ΔG4MB a measure of assembly completeness.</w:t>
      </w:r>
    </w:p>
    <w:p>
      <w:pPr>
        <w:pStyle w:val="BodyText"/>
      </w:pPr>
      <w:r>
        <w:t>One gain marker per genome. Part G.2.1 defines G4G as the proportion of genomes carrying a novel gain, not the number of novel regions, so a single unusually G-rich assembly cannot outweigh the Atlas loci in the state denominator.</w:t>
      </w:r>
    </w:p>
    <w:p>
      <w:pPr>
        <w:pStyle w:val="Heading3"/>
      </w:pPr>
      <w:r>
        <w:t>2.3 Supporting changes</w:t>
      </w:r>
    </w:p>
    <w:tbl>
      <w:tblPr>
        <w:tblStyle w:val="TableGrid"/>
        <w:tblW w:type="auto" w:w="0"/>
        <w:jc w:val="center"/>
        <w:tblLook w:firstColumn="1" w:firstRow="1" w:lastColumn="0" w:lastRow="0" w:noHBand="0" w:noVBand="1" w:val="04A0"/>
      </w:tblPr>
      <w:tblGrid>
        <w:gridCol w:w="4896"/>
        <w:gridCol w:w="4896"/>
      </w:tblGrid>
      <w:tr>
        <w:tc>
          <w:tcPr>
            <w:tcW w:type="dxa" w:w="2448"/>
            <w:shd w:val="clear" w:fill="1B2A4A"/>
          </w:tcPr>
          <w:p>
            <w:r/>
            <w:r>
              <w:rPr>
                <w:b/>
                <w:color w:val="FFFFFF"/>
                <w:sz w:val="17"/>
              </w:rPr>
              <w:t>File</w:t>
            </w:r>
          </w:p>
        </w:tc>
        <w:tc>
          <w:tcPr>
            <w:tcW w:type="dxa" w:w="7344"/>
            <w:shd w:val="clear" w:fill="1B2A4A"/>
          </w:tcPr>
          <w:p>
            <w:r/>
            <w:r>
              <w:rPr>
                <w:b/>
                <w:color w:val="FFFFFF"/>
                <w:sz w:val="17"/>
              </w:rPr>
              <w:t>Change</w:t>
            </w:r>
          </w:p>
        </w:tc>
      </w:tr>
      <w:tr>
        <w:tc>
          <w:tcPr>
            <w:tcW w:type="dxa" w:w="2448"/>
          </w:tcPr>
          <w:p>
            <w:r/>
            <w:r>
              <w:rPr>
                <w:rFonts w:ascii="Consolas" w:hAnsi="Consolas"/>
                <w:sz w:val="17"/>
              </w:rPr>
              <w:t>g4watch/io/corpus.py</w:t>
            </w:r>
          </w:p>
        </w:tc>
        <w:tc>
          <w:tcPr>
            <w:tcW w:type="dxa" w:w="7344"/>
          </w:tcPr>
          <w:p>
            <w:r/>
            <w:r>
              <w:rPr>
                <w:sz w:val="17"/>
              </w:rPr>
              <w:t>load_annotated_samples() and annotation_blocked_reason(); the latter names the missing artifact rather than returning an empty result</w:t>
            </w:r>
          </w:p>
        </w:tc>
      </w:tr>
      <w:tr>
        <w:tc>
          <w:tcPr>
            <w:tcW w:type="dxa" w:w="2448"/>
          </w:tcPr>
          <w:p>
            <w:r/>
            <w:r>
              <w:rPr>
                <w:rFonts w:ascii="Consolas" w:hAnsi="Consolas"/>
                <w:sz w:val="17"/>
              </w:rPr>
              <w:t>g4watch/config.py</w:t>
            </w:r>
          </w:p>
        </w:tc>
        <w:tc>
          <w:tcPr>
            <w:tcW w:type="dxa" w:w="7344"/>
          </w:tcPr>
          <w:p>
            <w:r/>
            <w:r>
              <w:rPr>
                <w:sz w:val="17"/>
              </w:rPr>
              <w:t>corpus.exclude_lineages, unioned with any CLI flag and never replaced by it, so an exploratory command line cannot re-admit an excluded lineage</w:t>
            </w:r>
          </w:p>
        </w:tc>
      </w:tr>
      <w:tr>
        <w:tc>
          <w:tcPr>
            <w:tcW w:type="dxa" w:w="2448"/>
          </w:tcPr>
          <w:p>
            <w:r/>
            <w:r>
              <w:rPr>
                <w:rFonts w:ascii="Consolas" w:hAnsi="Consolas"/>
                <w:sz w:val="17"/>
              </w:rPr>
              <w:t>g4watch/cli.py</w:t>
            </w:r>
          </w:p>
        </w:tc>
        <w:tc>
          <w:tcPr>
            <w:tcW w:type="dxa" w:w="7344"/>
          </w:tcPr>
          <w:p>
            <w:r/>
            <w:r>
              <w:rPr>
                <w:sz w:val="17"/>
              </w:rPr>
              <w:t>--include-ineligible-loci and --no-gains; annotation report printed; ineligible loci force the non-authoritative path automatically</w:t>
            </w:r>
          </w:p>
        </w:tc>
      </w:tr>
    </w:tbl>
    <w:p>
      <w:pPr>
        <w:spacing w:after="40"/>
      </w:pPr>
    </w:p>
    <w:p>
      <w:pPr>
        <w:pStyle w:val="Heading3"/>
      </w:pPr>
      <w:r>
        <w:t>2.4 Result on the real corpus</w:t>
      </w:r>
    </w:p>
    <w:tbl>
      <w:tblPr>
        <w:tblStyle w:val="TableGrid"/>
        <w:tblW w:type="auto" w:w="0"/>
        <w:jc w:val="center"/>
        <w:tblLook w:firstColumn="1" w:firstRow="1" w:lastColumn="0" w:lastRow="0" w:noHBand="0" w:noVBand="1" w:val="04A0"/>
      </w:tblPr>
      <w:tblGrid>
        <w:gridCol w:w="4896"/>
        <w:gridCol w:w="4896"/>
      </w:tblGrid>
      <w:tr>
        <w:tc>
          <w:tcPr>
            <w:tcW w:type="dxa" w:w="2160"/>
            <w:shd w:val="clear" w:fill="1B2A4A"/>
          </w:tcPr>
          <w:p>
            <w:r/>
            <w:r>
              <w:rPr>
                <w:b/>
                <w:color w:val="FFFFFF"/>
                <w:sz w:val="17"/>
              </w:rPr>
              <w:t>Stage</w:t>
            </w:r>
          </w:p>
        </w:tc>
        <w:tc>
          <w:tcPr>
            <w:tcW w:type="dxa" w:w="7632"/>
            <w:shd w:val="clear" w:fill="1B2A4A"/>
          </w:tcPr>
          <w:p>
            <w:r/>
            <w:r>
              <w:rPr>
                <w:b/>
                <w:color w:val="FFFFFF"/>
                <w:sz w:val="17"/>
              </w:rPr>
              <w:t>Outcome</w:t>
            </w:r>
          </w:p>
        </w:tc>
      </w:tr>
      <w:tr>
        <w:tc>
          <w:tcPr>
            <w:tcW w:type="dxa" w:w="2160"/>
          </w:tcPr>
          <w:p>
            <w:r/>
            <w:r>
              <w:rPr>
                <w:sz w:val="17"/>
              </w:rPr>
              <w:t>Annotation</w:t>
            </w:r>
          </w:p>
        </w:tc>
        <w:tc>
          <w:tcPr>
            <w:tcW w:type="dxa" w:w="7632"/>
          </w:tcPr>
          <w:p>
            <w:r/>
            <w:r>
              <w:rPr>
                <w:sz w:val="17"/>
              </w:rPr>
              <w:t>840 of 840 aligned genomes; 2,857 disrupted, 805 gained, 423 present, 80 unassessed</w:t>
            </w:r>
          </w:p>
        </w:tc>
      </w:tr>
      <w:tr>
        <w:tc>
          <w:tcPr>
            <w:tcW w:type="dxa" w:w="2160"/>
          </w:tcPr>
          <w:p>
            <w:r/>
            <w:r>
              <w:rPr>
                <w:sz w:val="17"/>
              </w:rPr>
              <w:t>Substitution counts</w:t>
            </w:r>
          </w:p>
        </w:tc>
        <w:tc>
          <w:tcPr>
            <w:tcW w:type="dxa" w:w="7632"/>
          </w:tcPr>
          <w:p>
            <w:r/>
            <w:r>
              <w:rPr>
                <w:sz w:val="17"/>
              </w:rPr>
              <w:t>840 genomes, mean 1,138.9 against the reference</w:t>
            </w:r>
          </w:p>
        </w:tc>
      </w:tr>
      <w:tr>
        <w:tc>
          <w:tcPr>
            <w:tcW w:type="dxa" w:w="2160"/>
          </w:tcPr>
          <w:p>
            <w:r/>
            <w:r>
              <w:rPr>
                <w:sz w:val="17"/>
              </w:rPr>
              <w:t>Normalisation</w:t>
            </w:r>
          </w:p>
        </w:tc>
        <w:tc>
          <w:tcPr>
            <w:tcW w:type="dxa" w:w="7632"/>
          </w:tcPr>
          <w:p>
            <w:r/>
            <w:r>
              <w:rPr>
                <w:sz w:val="17"/>
              </w:rPr>
              <w:t>20 windows produced a complete z-scored term set</w:t>
            </w:r>
          </w:p>
        </w:tc>
      </w:tr>
      <w:tr>
        <w:tc>
          <w:tcPr>
            <w:tcW w:type="dxa" w:w="2160"/>
          </w:tcPr>
          <w:p>
            <w:r/>
            <w:r>
              <w:rPr>
                <w:sz w:val="17"/>
              </w:rPr>
              <w:t>Scoring</w:t>
            </w:r>
          </w:p>
        </w:tc>
        <w:tc>
          <w:tcPr>
            <w:tcW w:type="dxa" w:w="7632"/>
          </w:tcPr>
          <w:p>
            <w:r/>
            <w:r>
              <w:rPr>
                <w:sz w:val="17"/>
              </w:rPr>
              <w:t>20 windows scored, M3 core and M4 integrated</w:t>
            </w:r>
          </w:p>
        </w:tc>
      </w:tr>
      <w:tr>
        <w:tc>
          <w:tcPr>
            <w:tcW w:type="dxa" w:w="2160"/>
          </w:tcPr>
          <w:p>
            <w:r/>
            <w:r>
              <w:rPr>
                <w:sz w:val="17"/>
              </w:rPr>
              <w:t>CUSUM / EWMA</w:t>
            </w:r>
          </w:p>
        </w:tc>
        <w:tc>
          <w:tcPr>
            <w:tcW w:type="dxa" w:w="7632"/>
          </w:tcPr>
          <w:p>
            <w:r/>
            <w:r>
              <w:rPr>
                <w:sz w:val="17"/>
              </w:rPr>
              <w:t>Refused — 10 baseline observations, 20 required. Reported, not faked</w:t>
            </w:r>
          </w:p>
        </w:tc>
      </w:tr>
      <w:tr>
        <w:tc>
          <w:tcPr>
            <w:tcW w:type="dxa" w:w="2160"/>
          </w:tcPr>
          <w:p>
            <w:r/>
            <w:r>
              <w:rPr>
                <w:sz w:val="17"/>
              </w:rPr>
              <w:t>Authoritative</w:t>
            </w:r>
          </w:p>
        </w:tc>
        <w:tc>
          <w:tcPr>
            <w:tcW w:type="dxa" w:w="7632"/>
          </w:tcPr>
          <w:p>
            <w:r/>
            <w:r>
              <w:rPr>
                <w:sz w:val="17"/>
              </w:rPr>
              <w:t>False — the run required --include-ineligible-loci</w:t>
            </w:r>
          </w:p>
        </w:tc>
      </w:tr>
    </w:tbl>
    <w:p>
      <w:pPr>
        <w:spacing w:after="40"/>
      </w:pPr>
    </w:p>
    <w:p>
      <w:pPr>
        <w:spacing w:before="140" w:after="180"/>
        <w:ind w:left="173"/>
        <w:pBdr>
          <w:left w:val="single" w:sz="18" w:color="926019"/>
        </w:pBdr>
      </w:pPr>
      <w:r>
        <w:rPr>
          <w:b/>
          <w:color w:val="926019"/>
          <w:sz w:val="17"/>
        </w:rPr>
        <w:t xml:space="preserve">THE FINDING THIS PRODUCED  </w:t>
      </w:r>
      <w:r>
        <w:rPr>
          <w:sz w:val="18"/>
        </w:rPr>
        <w:t>G4G is saturated on real FMDV data: 805 of 840 genomes (96%) carry a novel prediction absent from the single reference. A term that near-constant cannot discriminate between windows whatever coefficient it receives. The annotator now says so explicitly rather than letting the term be fitted quietly.</w:t>
      </w:r>
    </w:p>
    <w:p>
      <w:r>
        <w:br w:type="page"/>
      </w:r>
    </w:p>
    <w:p>
      <w:pPr>
        <w:pStyle w:val="Heading2"/>
      </w:pPr>
      <w:r>
        <w:t>3. Defects Found and Fixed</w:t>
      </w:r>
    </w:p>
    <w:p>
      <w:pPr>
        <w:pStyle w:val="FirstParagraph"/>
      </w:pPr>
      <w:r>
        <w:t>All six were silent: nothing raised, no stage reported failure, and the output simply carried null or an empty string where an answer belonged. Five were found by cross-checking keys written against keys read, in both directions.</w:t>
      </w:r>
    </w:p>
    <w:p>
      <w:pPr>
        <w:pStyle w:val="Heading3"/>
      </w:pPr>
      <w:r>
        <w:t>D-1 — Stage 5 JSON serialisation crashed after the full chain had run</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_mc_to_dict type-checked only the top level. A plain dict of FittedModel objects passed the isinstance check for dict, then failed inside the JSON encoder.</w:t>
            </w:r>
          </w:p>
        </w:tc>
      </w:tr>
      <w:tr>
        <w:tc>
          <w:tcPr>
            <w:tcW w:type="dxa" w:w="1728"/>
          </w:tcPr>
          <w:p>
            <w:r/>
            <w:r>
              <w:rPr>
                <w:sz w:val="17"/>
              </w:rPr>
              <w:t>Impact</w:t>
            </w:r>
          </w:p>
        </w:tc>
        <w:tc>
          <w:tcPr>
            <w:tcW w:type="dxa" w:w="8064"/>
          </w:tcPr>
          <w:p>
            <w:r/>
            <w:r>
              <w:rPr>
                <w:sz w:val="17"/>
              </w:rPr>
              <w:t>Every stage5 --out invocation raised TypeError after several minutes of computation.</w:t>
            </w:r>
          </w:p>
        </w:tc>
      </w:tr>
      <w:tr>
        <w:tc>
          <w:tcPr>
            <w:tcW w:type="dxa" w:w="1728"/>
          </w:tcPr>
          <w:p>
            <w:r/>
            <w:r>
              <w:rPr>
                <w:sz w:val="17"/>
              </w:rPr>
              <w:t>Fix</w:t>
            </w:r>
          </w:p>
        </w:tc>
        <w:tc>
          <w:tcPr>
            <w:tcW w:type="dxa" w:w="8064"/>
          </w:tcPr>
          <w:p>
            <w:r/>
            <w:r>
              <w:rPr>
                <w:sz w:val="17"/>
              </w:rPr>
              <w:t>Recursive _jsonable() that walks containers and unpacks dataclasses, so coefficients survive into the JSON instead of arriving as a repr.</w:t>
            </w:r>
          </w:p>
        </w:tc>
      </w:tr>
      <w:tr>
        <w:tc>
          <w:tcPr>
            <w:tcW w:type="dxa" w:w="1728"/>
          </w:tcPr>
          <w:p>
            <w:r/>
            <w:r>
              <w:rPr>
                <w:sz w:val="17"/>
              </w:rPr>
              <w:t>Regression test</w:t>
            </w:r>
          </w:p>
        </w:tc>
        <w:tc>
          <w:tcPr>
            <w:tcW w:type="dxa" w:w="8064"/>
          </w:tcPr>
          <w:p>
            <w:r/>
            <w:r>
              <w:rPr>
                <w:sz w:val="17"/>
              </w:rPr>
              <w:t>test_model_comparison_output_is_json_serialisable, test_jsonable_walks_containers…</w:t>
            </w:r>
          </w:p>
        </w:tc>
      </w:tr>
    </w:tbl>
    <w:p>
      <w:pPr>
        <w:spacing w:after="40"/>
      </w:pPr>
    </w:p>
    <w:p>
      <w:pPr>
        <w:pStyle w:val="Heading3"/>
      </w:pPr>
      <w:r>
        <w:t>D-2 — The entire M1–M4 comparison result was discarded</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_mc_to_dict looked for attributes named lrt, auc, aic and verdict. ComparisonResult exposes none of them — its real names are holdout_auc, likelihood_ratio_tests, best_by_aic and g4_adds_value().</w:t>
            </w:r>
          </w:p>
        </w:tc>
      </w:tr>
      <w:tr>
        <w:tc>
          <w:tcPr>
            <w:tcW w:type="dxa" w:w="1728"/>
          </w:tcPr>
          <w:p>
            <w:r/>
            <w:r>
              <w:rPr>
                <w:sz w:val="17"/>
              </w:rPr>
              <w:t>Impact</w:t>
            </w:r>
          </w:p>
        </w:tc>
        <w:tc>
          <w:tcPr>
            <w:tcW w:type="dxa" w:w="8064"/>
          </w:tcPr>
          <w:p>
            <w:r/>
            <w:r>
              <w:rPr>
                <w:sz w:val="17"/>
              </w:rPr>
              <w:t>A successful M1–M4 fit serialised as four nulls, including the D.H2/D.H4 verdict itself.</w:t>
            </w:r>
          </w:p>
        </w:tc>
      </w:tr>
      <w:tr>
        <w:tc>
          <w:tcPr>
            <w:tcW w:type="dxa" w:w="1728"/>
          </w:tcPr>
          <w:p>
            <w:r/>
            <w:r>
              <w:rPr>
                <w:sz w:val="17"/>
              </w:rPr>
              <w:t>Fix</w:t>
            </w:r>
          </w:p>
        </w:tc>
        <w:tc>
          <w:tcPr>
            <w:tcW w:type="dxa" w:w="8064"/>
          </w:tcPr>
          <w:p>
            <w:r/>
            <w:r>
              <w:rPr>
                <w:sz w:val="17"/>
              </w:rPr>
              <w:t>Serialise using the dataclass's real API; emit AIC, BIC, holdout AUC, every LRT with its own significance, best-by rankings, and g4_adds_value as an explicit verdict string.</w:t>
            </w:r>
          </w:p>
        </w:tc>
      </w:tr>
      <w:tr>
        <w:tc>
          <w:tcPr>
            <w:tcW w:type="dxa" w:w="1728"/>
          </w:tcPr>
          <w:p>
            <w:r/>
            <w:r>
              <w:rPr>
                <w:sz w:val="17"/>
              </w:rPr>
              <w:t>Regression test</w:t>
            </w:r>
          </w:p>
        </w:tc>
        <w:tc>
          <w:tcPr>
            <w:tcW w:type="dxa" w:w="8064"/>
          </w:tcPr>
          <w:p>
            <w:r/>
            <w:r>
              <w:rPr>
                <w:sz w:val="17"/>
              </w:rPr>
              <w:t>test_model_comparison_reports_the_names_the_result_actually_has, test_the_dh2_dh4_verdict_survives_serialization</w:t>
            </w:r>
          </w:p>
        </w:tc>
      </w:tr>
    </w:tbl>
    <w:p>
      <w:pPr>
        <w:spacing w:after="40"/>
      </w:pPr>
    </w:p>
    <w:p>
      <w:pPr>
        <w:pStyle w:val="Heading3"/>
      </w:pPr>
      <w:r>
        <w:t>D-3 — The report card never received the Stage 5 result</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build_report_card has always accepted stage5=. The CLI never passed it.</w:t>
            </w:r>
          </w:p>
        </w:tc>
      </w:tr>
      <w:tr>
        <w:tc>
          <w:tcPr>
            <w:tcW w:type="dxa" w:w="1728"/>
          </w:tcPr>
          <w:p>
            <w:r/>
            <w:r>
              <w:rPr>
                <w:sz w:val="17"/>
              </w:rPr>
              <w:t>Impact</w:t>
            </w:r>
          </w:p>
        </w:tc>
        <w:tc>
          <w:tcPr>
            <w:tcW w:type="dxa" w:w="8064"/>
          </w:tcPr>
          <w:p>
            <w:r/>
            <w:r>
              <w:rPr>
                <w:sz w:val="17"/>
              </w:rPr>
              <w:t>Every command-line card reported "the gate permits scoring but Stage 5 has not been run" immediately after Stage 5 had run. Two of twelve sections were permanently unavailable.</w:t>
            </w:r>
          </w:p>
        </w:tc>
      </w:tr>
      <w:tr>
        <w:tc>
          <w:tcPr>
            <w:tcW w:type="dxa" w:w="1728"/>
          </w:tcPr>
          <w:p>
            <w:r/>
            <w:r>
              <w:rPr>
                <w:sz w:val="17"/>
              </w:rPr>
              <w:t>Fix</w:t>
            </w:r>
          </w:p>
        </w:tc>
        <w:tc>
          <w:tcPr>
            <w:tcW w:type="dxa" w:w="8064"/>
          </w:tcPr>
          <w:p>
            <w:r/>
            <w:r>
              <w:rPr>
                <w:sz w:val="17"/>
              </w:rPr>
              <w:t>cmd_report_card gained --stage5 &lt;json&gt; to reuse a saved run, --no-stage5 to skip, and auto-run as the default.</w:t>
            </w:r>
          </w:p>
        </w:tc>
      </w:tr>
      <w:tr>
        <w:tc>
          <w:tcPr>
            <w:tcW w:type="dxa" w:w="1728"/>
          </w:tcPr>
          <w:p>
            <w:r/>
            <w:r>
              <w:rPr>
                <w:sz w:val="17"/>
              </w:rPr>
              <w:t>Regression test</w:t>
            </w:r>
          </w:p>
        </w:tc>
        <w:tc>
          <w:tcPr>
            <w:tcW w:type="dxa" w:w="8064"/>
          </w:tcPr>
          <w:p>
            <w:r/>
            <w:r>
              <w:rPr>
                <w:sz w:val="17"/>
              </w:rPr>
              <w:t>test_score_sections_report_when_a_stage5_result_is_supplied, test_the_scored_series_reaches_the_card_intact</w:t>
            </w:r>
          </w:p>
        </w:tc>
      </w:tr>
    </w:tbl>
    <w:p>
      <w:pPr>
        <w:spacing w:after="40"/>
      </w:pPr>
    </w:p>
    <w:p>
      <w:pPr>
        <w:pStyle w:val="Heading3"/>
      </w:pPr>
      <w:r>
        <w:t>D-4 — D.H3's verdict was discarded by the CLI</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The same shape as D-3, one argument along. D.H3's result already travels inside stage5['dh3']; requiring it to be passed a second time meant the CLI never did.</w:t>
            </w:r>
          </w:p>
        </w:tc>
      </w:tr>
      <w:tr>
        <w:tc>
          <w:tcPr>
            <w:tcW w:type="dxa" w:w="1728"/>
          </w:tcPr>
          <w:p>
            <w:r/>
            <w:r>
              <w:rPr>
                <w:sz w:val="17"/>
              </w:rPr>
              <w:t>Impact</w:t>
            </w:r>
          </w:p>
        </w:tc>
        <w:tc>
          <w:tcPr>
            <w:tcW w:type="dxa" w:w="8064"/>
          </w:tcPr>
          <w:p>
            <w:r/>
            <w:r>
              <w:rPr>
                <w:sz w:val="17"/>
              </w:rPr>
              <w:t>Every command-line card claimed clade growth had not been run, with the verdict sitting unread in the payload it had just been handed.</w:t>
            </w:r>
          </w:p>
        </w:tc>
      </w:tr>
      <w:tr>
        <w:tc>
          <w:tcPr>
            <w:tcW w:type="dxa" w:w="1728"/>
          </w:tcPr>
          <w:p>
            <w:r/>
            <w:r>
              <w:rPr>
                <w:sz w:val="17"/>
              </w:rPr>
              <w:t>Fix</w:t>
            </w:r>
          </w:p>
        </w:tc>
        <w:tc>
          <w:tcPr>
            <w:tcW w:type="dxa" w:w="8064"/>
          </w:tcPr>
          <w:p>
            <w:r/>
            <w:r>
              <w:rPr>
                <w:sz w:val="17"/>
              </w:rPr>
              <w:t>build_report_card falls back to stage5['dh3'] when no explicit dh3 is given. An explicit argument still wins, so the web app is unaffected.</w:t>
            </w:r>
          </w:p>
        </w:tc>
      </w:tr>
      <w:tr>
        <w:tc>
          <w:tcPr>
            <w:tcW w:type="dxa" w:w="1728"/>
          </w:tcPr>
          <w:p>
            <w:r/>
            <w:r>
              <w:rPr>
                <w:sz w:val="17"/>
              </w:rPr>
              <w:t>Regression test</w:t>
            </w:r>
          </w:p>
        </w:tc>
        <w:tc>
          <w:tcPr>
            <w:tcW w:type="dxa" w:w="8064"/>
          </w:tcPr>
          <w:p>
            <w:r/>
            <w:r>
              <w:rPr>
                <w:sz w:val="17"/>
              </w:rPr>
              <w:t>test_dh3_is_read_from_the_stage5_payload_without_a_second_argument, test_an_explicit_dh3_argument_still_wins</w:t>
            </w:r>
          </w:p>
        </w:tc>
      </w:tr>
    </w:tbl>
    <w:p>
      <w:pPr>
        <w:spacing w:after="40"/>
      </w:pPr>
    </w:p>
    <w:p>
      <w:pPr>
        <w:pStyle w:val="Heading3"/>
      </w:pPr>
      <w:r>
        <w:t>D-5 — D.H2 and D.H4 reported that a test happened, not what it found</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Both hypotheses were given verdict "EVALUATED" and identical generic method text, while g4_adds_value() — documented in the comparison module as the D.H2/D.H4 question — was computed and left out.</w:t>
            </w:r>
          </w:p>
        </w:tc>
      </w:tr>
      <w:tr>
        <w:tc>
          <w:tcPr>
            <w:tcW w:type="dxa" w:w="1728"/>
          </w:tcPr>
          <w:p>
            <w:r/>
            <w:r>
              <w:rPr>
                <w:sz w:val="17"/>
              </w:rPr>
              <w:t>Impact</w:t>
            </w:r>
          </w:p>
        </w:tc>
        <w:tc>
          <w:tcPr>
            <w:tcW w:type="dxa" w:w="8064"/>
          </w:tcPr>
          <w:p>
            <w:r/>
            <w:r>
              <w:rPr>
                <w:sz w:val="17"/>
              </w:rPr>
              <w:t>Two different scientific claims produced byte-identical output, and neither stated a result.</w:t>
            </w:r>
          </w:p>
        </w:tc>
      </w:tr>
      <w:tr>
        <w:tc>
          <w:tcPr>
            <w:tcW w:type="dxa" w:w="1728"/>
          </w:tcPr>
          <w:p>
            <w:r/>
            <w:r>
              <w:rPr>
                <w:sz w:val="17"/>
              </w:rPr>
              <w:t>Fix</w:t>
            </w:r>
          </w:p>
        </w:tc>
        <w:tc>
          <w:tcPr>
            <w:tcW w:type="dxa" w:w="8064"/>
          </w:tcPr>
          <w:p>
            <w:r/>
            <w:r>
              <w:rPr>
                <w:sz w:val="17"/>
              </w:rPr>
              <w:t>Each hypothesis now takes SUPPORTED/NOT_SUPPORTED from g4_adds_value and states the evidence specific to it, with the LRT table, best-by rankings and partition sizes attached.</w:t>
            </w:r>
          </w:p>
        </w:tc>
      </w:tr>
      <w:tr>
        <w:tc>
          <w:tcPr>
            <w:tcW w:type="dxa" w:w="1728"/>
          </w:tcPr>
          <w:p>
            <w:r/>
            <w:r>
              <w:rPr>
                <w:sz w:val="17"/>
              </w:rPr>
              <w:t>Regression test</w:t>
            </w:r>
          </w:p>
        </w:tc>
        <w:tc>
          <w:tcPr>
            <w:tcW w:type="dxa" w:w="8064"/>
          </w:tcPr>
          <w:p>
            <w:r/>
            <w:r>
              <w:rPr>
                <w:sz w:val="17"/>
              </w:rPr>
              <w:t>test_dh2_and_dh4_report_the_finding_not_merely_that_a_test_ran, test_a_negative_model_comparison_reports_not_supported</w:t>
            </w:r>
          </w:p>
        </w:tc>
      </w:tr>
    </w:tbl>
    <w:p>
      <w:pPr>
        <w:spacing w:after="40"/>
      </w:pPr>
    </w:p>
    <w:p>
      <w:pPr>
        <w:pStyle w:val="Heading3"/>
      </w:pPr>
      <w:r>
        <w:t>D-6 — genome_type was always the empty string</w:t>
      </w:r>
    </w:p>
    <w:tbl>
      <w:tblPr>
        <w:tblStyle w:val="TableGrid"/>
        <w:tblW w:type="auto" w:w="0"/>
        <w:jc w:val="center"/>
        <w:tblLook w:firstColumn="1" w:firstRow="1" w:lastColumn="0" w:lastRow="0" w:noHBand="0" w:noVBand="1" w:val="04A0"/>
      </w:tblPr>
      <w:tblGrid>
        <w:gridCol w:w="4896"/>
        <w:gridCol w:w="4896"/>
      </w:tblGrid>
      <w:tr>
        <w:tc>
          <w:tcPr>
            <w:tcW w:type="dxa" w:w="1728"/>
            <w:shd w:val="clear" w:fill="1B2A4A"/>
          </w:tcPr>
          <w:p>
            <w:r/>
            <w:r>
              <w:rPr>
                <w:b/>
                <w:color w:val="FFFFFF"/>
                <w:sz w:val="17"/>
              </w:rPr>
              <w:t>Aspect</w:t>
            </w:r>
          </w:p>
        </w:tc>
        <w:tc>
          <w:tcPr>
            <w:tcW w:type="dxa" w:w="8064"/>
            <w:shd w:val="clear" w:fill="1B2A4A"/>
          </w:tcPr>
          <w:p>
            <w:r/>
            <w:r>
              <w:rPr>
                <w:b/>
                <w:color w:val="FFFFFF"/>
                <w:sz w:val="17"/>
              </w:rPr>
              <w:t>Detail</w:t>
            </w:r>
          </w:p>
        </w:tc>
      </w:tr>
      <w:tr>
        <w:tc>
          <w:tcPr>
            <w:tcW w:type="dxa" w:w="1728"/>
          </w:tcPr>
          <w:p>
            <w:r/>
            <w:r>
              <w:rPr>
                <w:sz w:val="17"/>
              </w:rPr>
              <w:t>Mechanism</w:t>
            </w:r>
          </w:p>
        </w:tc>
        <w:tc>
          <w:tcPr>
            <w:tcW w:type="dxa" w:w="8064"/>
          </w:tcPr>
          <w:p>
            <w:r/>
            <w:r>
              <w:rPr>
                <w:sz w:val="17"/>
              </w:rPr>
              <w:t>getattr(config, "genome_type", "") — it is a required config section but not a dataclass field, so the default fired on every call.</w:t>
            </w:r>
          </w:p>
        </w:tc>
      </w:tr>
      <w:tr>
        <w:tc>
          <w:tcPr>
            <w:tcW w:type="dxa" w:w="1728"/>
          </w:tcPr>
          <w:p>
            <w:r/>
            <w:r>
              <w:rPr>
                <w:sz w:val="17"/>
              </w:rPr>
              <w:t>Impact</w:t>
            </w:r>
          </w:p>
        </w:tc>
        <w:tc>
          <w:tcPr>
            <w:tcW w:type="dxa" w:w="8064"/>
          </w:tcPr>
          <w:p>
            <w:r/>
            <w:r>
              <w:rPr>
                <w:sz w:val="17"/>
              </w:rPr>
              <w:t>The workstation and the report card both displayed a blank genome type for a config that clearly declares ssRNA_positive.</w:t>
            </w:r>
          </w:p>
        </w:tc>
      </w:tr>
      <w:tr>
        <w:tc>
          <w:tcPr>
            <w:tcW w:type="dxa" w:w="1728"/>
          </w:tcPr>
          <w:p>
            <w:r/>
            <w:r>
              <w:rPr>
                <w:sz w:val="17"/>
              </w:rPr>
              <w:t>Fix</w:t>
            </w:r>
          </w:p>
        </w:tc>
        <w:tc>
          <w:tcPr>
            <w:tcW w:type="dxa" w:w="8064"/>
          </w:tcPr>
          <w:p>
            <w:r/>
            <w:r>
              <w:rPr>
                <w:sz w:val="17"/>
              </w:rPr>
              <w:t>Real properties on PathogenConfig: genome_type, genome_length, atlas_version. The CLI dataset payload also gained the four identity keys the card reads but nothing supplied.</w:t>
            </w:r>
          </w:p>
        </w:tc>
      </w:tr>
      <w:tr>
        <w:tc>
          <w:tcPr>
            <w:tcW w:type="dxa" w:w="1728"/>
          </w:tcPr>
          <w:p>
            <w:r/>
            <w:r>
              <w:rPr>
                <w:sz w:val="17"/>
              </w:rPr>
              <w:t>Regression test</w:t>
            </w:r>
          </w:p>
        </w:tc>
        <w:tc>
          <w:tcPr>
            <w:tcW w:type="dxa" w:w="8064"/>
          </w:tcPr>
          <w:p>
            <w:r/>
            <w:r>
              <w:rPr>
                <w:sz w:val="17"/>
              </w:rPr>
              <w:t>test_genome_type_is_a_real_property_not_a_getattr_guess, test_atlas_version_is_not_derived_from_the_atlas_filename</w:t>
            </w:r>
          </w:p>
        </w:tc>
      </w:tr>
    </w:tbl>
    <w:p>
      <w:pPr>
        <w:spacing w:after="40"/>
      </w:pPr>
    </w:p>
    <w:p>
      <w:pPr>
        <w:spacing w:before="140" w:after="180"/>
        <w:ind w:left="173"/>
        <w:pBdr>
          <w:left w:val="single" w:sz="18" w:color="C53030"/>
        </w:pBdr>
      </w:pPr>
      <w:r>
        <w:rPr>
          <w:b/>
          <w:color w:val="C53030"/>
          <w:sz w:val="17"/>
        </w:rPr>
        <w:t xml:space="preserve">THE PATTERN BEHIND FIVE OF THE SIX  </w:t>
      </w:r>
      <w:r>
        <w:rPr>
          <w:sz w:val="18"/>
        </w:rPr>
        <w:t>A consumer guessed at the producer's key or attribute names, and the mismatch degraded to null instead of raising. The detection method that found them is mechanical and repeatable: enumerate the keys a component writes, enumerate the keys its consumers read, and diff both directions. It is worth re-running against any surface not yet exercised — the Nextflow path in particular has never been run on this machine, because MAFFT and IQ-TREE are not installed.</w:t>
      </w:r>
    </w:p>
    <w:p>
      <w:r>
        <w:br w:type="page"/>
      </w:r>
    </w:p>
    <w:p>
      <w:pPr>
        <w:pStyle w:val="Heading2"/>
      </w:pPr>
      <w:r>
        <w:t>4. Test Suite De-coupled From Real Data</w:t>
      </w:r>
    </w:p>
    <w:p>
      <w:pPr>
        <w:pStyle w:val="FirstParagraph"/>
      </w:pPr>
      <w:r>
        <w:t>Five newly written tests read the real FMDV alignment. That is both an analysis run disguised as a test and a CI failure waiting to happen, because those artifacts are regenerable and gitignored.</w:t>
      </w:r>
    </w:p>
    <w:tbl>
      <w:tblPr>
        <w:tblStyle w:val="TableGrid"/>
        <w:tblW w:type="auto" w:w="0"/>
        <w:jc w:val="center"/>
        <w:tblLook w:firstColumn="1" w:firstRow="1" w:lastColumn="0" w:lastRow="0" w:noHBand="0" w:noVBand="1" w:val="04A0"/>
      </w:tblPr>
      <w:tblGrid>
        <w:gridCol w:w="4896"/>
        <w:gridCol w:w="4896"/>
      </w:tblGrid>
      <w:tr>
        <w:tc>
          <w:tcPr>
            <w:tcW w:type="dxa" w:w="4176"/>
            <w:shd w:val="clear" w:fill="1B2A4A"/>
          </w:tcPr>
          <w:p>
            <w:r/>
            <w:r>
              <w:rPr>
                <w:b/>
                <w:color w:val="FFFFFF"/>
                <w:sz w:val="17"/>
              </w:rPr>
              <w:t>Problem</w:t>
            </w:r>
          </w:p>
        </w:tc>
        <w:tc>
          <w:tcPr>
            <w:tcW w:type="dxa" w:w="5616"/>
            <w:shd w:val="clear" w:fill="1B2A4A"/>
          </w:tcPr>
          <w:p>
            <w:r/>
            <w:r>
              <w:rPr>
                <w:b/>
                <w:color w:val="FFFFFF"/>
                <w:sz w:val="17"/>
              </w:rPr>
              <w:t>Resolution</w:t>
            </w:r>
          </w:p>
        </w:tc>
      </w:tr>
      <w:tr>
        <w:tc>
          <w:tcPr>
            <w:tcW w:type="dxa" w:w="4176"/>
          </w:tcPr>
          <w:p>
            <w:r/>
            <w:r>
              <w:rPr>
                <w:sz w:val="17"/>
              </w:rPr>
              <w:t>New loader tests read the real 840-genome alignment</w:t>
            </w:r>
          </w:p>
        </w:tc>
        <w:tc>
          <w:tcPr>
            <w:tcW w:type="dxa" w:w="5616"/>
          </w:tcPr>
          <w:p>
            <w:r/>
            <w:r>
              <w:rPr>
                <w:sz w:val="17"/>
              </w:rPr>
              <w:t>Moved onto the synthetic TESTVIRUS fixtures; a new annotatable_corpus fixture supplies a reference-pinned alignment and an Atlas at a chosen confidence</w:t>
            </w:r>
          </w:p>
        </w:tc>
      </w:tr>
      <w:tr>
        <w:tc>
          <w:tcPr>
            <w:tcW w:type="dxa" w:w="4176"/>
          </w:tcPr>
          <w:p>
            <w:r/>
            <w:r>
              <w:rPr>
                <w:sz w:val="17"/>
              </w:rPr>
              <w:t>The Atlas locus sat at position 1, so it had no left flank</w:t>
            </w:r>
          </w:p>
        </w:tc>
        <w:tc>
          <w:tcPr>
            <w:tcW w:type="dxa" w:w="5616"/>
          </w:tcPr>
          <w:p>
            <w:r/>
            <w:r>
              <w:rPr>
                <w:sz w:val="17"/>
              </w:rPr>
              <w:t>The fixture genome carries a leading spacer, so the deletion-versus-coverage distinction is actually testable</w:t>
            </w:r>
          </w:p>
        </w:tc>
      </w:tr>
      <w:tr>
        <w:tc>
          <w:tcPr>
            <w:tcW w:type="dxa" w:w="4176"/>
          </w:tcPr>
          <w:p>
            <w:r/>
            <w:r>
              <w:rPr>
                <w:sz w:val="17"/>
              </w:rPr>
              <w:t>Nine pre-existing tests read gitignored artifacts with no guard</w:t>
            </w:r>
          </w:p>
        </w:tc>
        <w:tc>
          <w:tcPr>
            <w:tcW w:type="dxa" w:w="5616"/>
          </w:tcPr>
          <w:p>
            <w:r/>
            <w:r>
              <w:rPr>
                <w:sz w:val="17"/>
              </w:rPr>
              <w:t>requires_real_corpus skip marker added across four files</w:t>
            </w:r>
          </w:p>
        </w:tc>
      </w:tr>
      <w:tr>
        <w:tc>
          <w:tcPr>
            <w:tcW w:type="dxa" w:w="4176"/>
          </w:tcPr>
          <w:p>
            <w:r/>
            <w:r>
              <w:rPr>
                <w:sz w:val="17"/>
              </w:rPr>
              <w:t>A skipif mark on a fixture is silently ignored by pytest</w:t>
            </w:r>
          </w:p>
        </w:tc>
        <w:tc>
          <w:tcPr>
            <w:tcW w:type="dxa" w:w="5616"/>
          </w:tcPr>
          <w:p>
            <w:r/>
            <w:r>
              <w:rPr>
                <w:sz w:val="17"/>
              </w:rPr>
              <w:t>skip_without_real_corpus() callable form for use inside the fixture body</w:t>
            </w:r>
          </w:p>
        </w:tc>
      </w:tr>
      <w:tr>
        <w:tc>
          <w:tcPr>
            <w:tcW w:type="dxa" w:w="4176"/>
          </w:tcPr>
          <w:p>
            <w:r/>
            <w:r>
              <w:rPr>
                <w:sz w:val="17"/>
              </w:rPr>
              <w:t>Test runtime</w:t>
            </w:r>
          </w:p>
        </w:tc>
        <w:tc>
          <w:tcPr>
            <w:tcW w:type="dxa" w:w="5616"/>
          </w:tcPr>
          <w:p>
            <w:r/>
            <w:r>
              <w:rPr>
                <w:sz w:val="17"/>
              </w:rPr>
              <w:t>The loader tests fell from 20 s to 1.0 s</w:t>
            </w:r>
          </w:p>
        </w:tc>
      </w:tr>
    </w:tbl>
    <w:p>
      <w:pPr>
        <w:spacing w:after="40"/>
      </w:pPr>
    </w:p>
    <w:p>
      <w:pPr>
        <w:spacing w:before="140" w:after="180"/>
        <w:ind w:left="173"/>
        <w:pBdr>
          <w:left w:val="single" w:sz="18" w:color="276749"/>
        </w:pBdr>
      </w:pPr>
      <w:r>
        <w:rPr>
          <w:b/>
          <w:color w:val="276749"/>
          <w:sz w:val="17"/>
        </w:rPr>
        <w:t xml:space="preserve">VERIFIED BY SIMULATION, NOT BY READING  </w:t>
      </w:r>
      <w:r>
        <w:rPr>
          <w:sz w:val="18"/>
        </w:rPr>
        <w:t>The gitignored alignment and tree were moved aside and the suite re-run. First attempt: 9 hard failures. After guarding: 675 passed, 31 skipped, 0 failed. The artifacts were then restored and the full suite re-run: 714 passed, 4 skipped.</w:t>
      </w:r>
    </w:p>
    <w:p>
      <w:pPr>
        <w:pStyle w:val="Heading2"/>
      </w:pPr>
      <w:r>
        <w:t>5. End-to-End Verification</w:t>
      </w:r>
    </w:p>
    <w:p>
      <w:pPr>
        <w:pStyle w:val="FirstParagraph"/>
      </w:pPr>
      <w:r>
        <w:t>A complete synthetic study was written to disk — config, reference, metadata, reference-pinned alignment, Atlas with two SC-eligible loci, and a ledger recording a SUPPORTED D.H1 verdict — and run through the CLI exactly as a real corpus would be.</w:t>
      </w:r>
    </w:p>
    <w:tbl>
      <w:tblPr>
        <w:tblStyle w:val="TableGrid"/>
        <w:tblW w:type="auto" w:w="0"/>
        <w:jc w:val="center"/>
        <w:tblLook w:firstColumn="1" w:firstRow="1" w:lastColumn="0" w:lastRow="0" w:noHBand="0" w:noVBand="1" w:val="04A0"/>
      </w:tblPr>
      <w:tblGrid>
        <w:gridCol w:w="4896"/>
        <w:gridCol w:w="4896"/>
      </w:tblGrid>
      <w:tr>
        <w:tc>
          <w:tcPr>
            <w:tcW w:type="dxa" w:w="1872"/>
            <w:shd w:val="clear" w:fill="1B2A4A"/>
          </w:tcPr>
          <w:p>
            <w:r/>
            <w:r>
              <w:rPr>
                <w:b/>
                <w:color w:val="FFFFFF"/>
                <w:sz w:val="17"/>
              </w:rPr>
              <w:t>Property</w:t>
            </w:r>
          </w:p>
        </w:tc>
        <w:tc>
          <w:tcPr>
            <w:tcW w:type="dxa" w:w="7920"/>
            <w:shd w:val="clear" w:fill="1B2A4A"/>
          </w:tcPr>
          <w:p>
            <w:r/>
            <w:r>
              <w:rPr>
                <w:b/>
                <w:color w:val="FFFFFF"/>
                <w:sz w:val="17"/>
              </w:rPr>
              <w:t>Value</w:t>
            </w:r>
          </w:p>
        </w:tc>
      </w:tr>
      <w:tr>
        <w:tc>
          <w:tcPr>
            <w:tcW w:type="dxa" w:w="1872"/>
          </w:tcPr>
          <w:p>
            <w:r/>
            <w:r>
              <w:rPr>
                <w:sz w:val="17"/>
              </w:rPr>
              <w:t>Pathogen</w:t>
            </w:r>
          </w:p>
        </w:tc>
        <w:tc>
          <w:tcPr>
            <w:tcW w:type="dxa" w:w="7920"/>
          </w:tcPr>
          <w:p>
            <w:r/>
            <w:r>
              <w:rPr>
                <w:sz w:val="17"/>
              </w:rPr>
              <w:t>DEMOVIRUS — never a real pathogen name, so no artifact can be mistaken for a result</w:t>
            </w:r>
          </w:p>
        </w:tc>
      </w:tr>
      <w:tr>
        <w:tc>
          <w:tcPr>
            <w:tcW w:type="dxa" w:w="1872"/>
          </w:tcPr>
          <w:p>
            <w:r/>
            <w:r>
              <w:rPr>
                <w:sz w:val="17"/>
              </w:rPr>
              <w:t>Corpus</w:t>
            </w:r>
          </w:p>
        </w:tc>
        <w:tc>
          <w:tcPr>
            <w:tcW w:type="dxa" w:w="7920"/>
          </w:tcPr>
          <w:p>
            <w:r/>
            <w:r>
              <w:rPr>
                <w:sz w:val="17"/>
              </w:rPr>
              <w:t>2,400 genomes, 80 years (1945–2024), 600 bp, 3 lineages</w:t>
            </w:r>
          </w:p>
        </w:tc>
      </w:tr>
      <w:tr>
        <w:tc>
          <w:tcPr>
            <w:tcW w:type="dxa" w:w="1872"/>
          </w:tcPr>
          <w:p>
            <w:r/>
            <w:r>
              <w:rPr>
                <w:sz w:val="17"/>
              </w:rPr>
              <w:t>Planted signal</w:t>
            </w:r>
          </w:p>
        </w:tc>
        <w:tc>
          <w:tcPr>
            <w:tcW w:type="dxa" w:w="7920"/>
          </w:tcPr>
          <w:p>
            <w:r/>
            <w:r>
              <w:rPr>
                <w:sz w:val="17"/>
              </w:rPr>
              <w:t>BETA expands on a logistic curve inflecting at 1995; disruption tracks it</w:t>
            </w:r>
          </w:p>
        </w:tc>
      </w:tr>
      <w:tr>
        <w:tc>
          <w:tcPr>
            <w:tcW w:type="dxa" w:w="1872"/>
          </w:tcPr>
          <w:p>
            <w:r/>
            <w:r>
              <w:rPr>
                <w:sz w:val="17"/>
              </w:rPr>
              <w:t>Gate</w:t>
            </w:r>
          </w:p>
        </w:tc>
        <w:tc>
          <w:tcPr>
            <w:tcW w:type="dxa" w:w="7920"/>
          </w:tcPr>
          <w:p>
            <w:r/>
            <w:r>
              <w:rPr>
                <w:sz w:val="17"/>
              </w:rPr>
              <w:t>Opened legitimately via a SUPPORTED ledger row plus operational_mode, not --force-unchecked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2304"/>
            <w:shd w:val="clear" w:fill="1B2A4A"/>
          </w:tcPr>
          <w:p>
            <w:r/>
            <w:r>
              <w:rPr>
                <w:b/>
                <w:color w:val="FFFFFF"/>
                <w:sz w:val="17"/>
              </w:rPr>
              <w:t>Stage</w:t>
            </w:r>
          </w:p>
        </w:tc>
        <w:tc>
          <w:tcPr>
            <w:tcW w:type="dxa" w:w="7488"/>
            <w:shd w:val="clear" w:fill="1B2A4A"/>
          </w:tcPr>
          <w:p>
            <w:r/>
            <w:r>
              <w:rPr>
                <w:b/>
                <w:color w:val="FFFFFF"/>
                <w:sz w:val="17"/>
              </w:rPr>
              <w:t>Result</w:t>
            </w:r>
          </w:p>
        </w:tc>
      </w:tr>
      <w:tr>
        <w:tc>
          <w:tcPr>
            <w:tcW w:type="dxa" w:w="2304"/>
          </w:tcPr>
          <w:p>
            <w:r/>
            <w:r>
              <w:rPr>
                <w:sz w:val="17"/>
              </w:rPr>
              <w:t>surveillance_metrics</w:t>
            </w:r>
          </w:p>
        </w:tc>
        <w:tc>
          <w:tcPr>
            <w:tcW w:type="dxa" w:w="7488"/>
          </w:tcPr>
          <w:p>
            <w:r/>
            <w:r>
              <w:rPr>
                <w:sz w:val="17"/>
              </w:rPr>
              <w:t>80 of 80 windows estimated all seven terms</w:t>
            </w:r>
          </w:p>
        </w:tc>
      </w:tr>
      <w:tr>
        <w:tc>
          <w:tcPr>
            <w:tcW w:type="dxa" w:w="2304"/>
          </w:tcPr>
          <w:p>
            <w:r/>
            <w:r>
              <w:rPr>
                <w:sz w:val="17"/>
              </w:rPr>
              <w:t>normalisation</w:t>
            </w:r>
          </w:p>
        </w:tc>
        <w:tc>
          <w:tcPr>
            <w:tcW w:type="dxa" w:w="7488"/>
          </w:tcPr>
          <w:p>
            <w:r/>
            <w:r>
              <w:rPr>
                <w:sz w:val="17"/>
              </w:rPr>
              <w:t>77 windows z-scored against their trailing baseline</w:t>
            </w:r>
          </w:p>
        </w:tc>
      </w:tr>
      <w:tr>
        <w:tc>
          <w:tcPr>
            <w:tcW w:type="dxa" w:w="2304"/>
          </w:tcPr>
          <w:p>
            <w:r/>
            <w:r>
              <w:rPr>
                <w:sz w:val="17"/>
              </w:rPr>
              <w:t>outcome_labels</w:t>
            </w:r>
          </w:p>
        </w:tc>
        <w:tc>
          <w:tcPr>
            <w:tcW w:type="dxa" w:w="7488"/>
          </w:tcPr>
          <w:p>
            <w:r/>
            <w:r>
              <w:rPr>
                <w:sz w:val="17"/>
              </w:rPr>
              <w:t>231 (lineage, window) pairs; 45 expanded; read from t+2</w:t>
            </w:r>
          </w:p>
        </w:tc>
      </w:tr>
      <w:tr>
        <w:tc>
          <w:tcPr>
            <w:tcW w:type="dxa" w:w="2304"/>
          </w:tcPr>
          <w:p>
            <w:r/>
            <w:r>
              <w:rPr>
                <w:sz w:val="17"/>
              </w:rPr>
              <w:t>lineage_metrics</w:t>
            </w:r>
          </w:p>
        </w:tc>
        <w:tc>
          <w:tcPr>
            <w:tcW w:type="dxa" w:w="7488"/>
          </w:tcPr>
          <w:p>
            <w:r/>
            <w:r>
              <w:rPr>
                <w:sz w:val="17"/>
              </w:rPr>
              <w:t>185 cells across 3 lineages</w:t>
            </w:r>
          </w:p>
        </w:tc>
      </w:tr>
      <w:tr>
        <w:tc>
          <w:tcPr>
            <w:tcW w:type="dxa" w:w="2304"/>
          </w:tcPr>
          <w:p>
            <w:r/>
            <w:r>
              <w:rPr>
                <w:sz w:val="17"/>
              </w:rPr>
              <w:t>design_matrix</w:t>
            </w:r>
          </w:p>
        </w:tc>
        <w:tc>
          <w:tcPr>
            <w:tcW w:type="dxa" w:w="7488"/>
          </w:tcPr>
          <w:p>
            <w:r/>
            <w:r>
              <w:rPr>
                <w:sz w:val="17"/>
              </w:rPr>
              <w:t>179 windows with both a complete term set and an observable outcome</w:t>
            </w:r>
          </w:p>
        </w:tc>
      </w:tr>
      <w:tr>
        <w:tc>
          <w:tcPr>
            <w:tcW w:type="dxa" w:w="2304"/>
          </w:tcPr>
          <w:p>
            <w:r/>
            <w:r>
              <w:rPr>
                <w:sz w:val="17"/>
              </w:rPr>
              <w:t>partition</w:t>
            </w:r>
          </w:p>
        </w:tc>
        <w:tc>
          <w:tcPr>
            <w:tcW w:type="dxa" w:w="7488"/>
          </w:tcPr>
          <w:p>
            <w:r/>
            <w:r>
              <w:rPr>
                <w:sz w:val="17"/>
              </w:rPr>
              <w:t>Discovery / training / holdout, created before fitting</w:t>
            </w:r>
          </w:p>
        </w:tc>
      </w:tr>
      <w:tr>
        <w:tc>
          <w:tcPr>
            <w:tcW w:type="dxa" w:w="2304"/>
          </w:tcPr>
          <w:p>
            <w:r/>
            <w:r>
              <w:rPr>
                <w:sz w:val="17"/>
              </w:rPr>
              <w:t>weight_fitting</w:t>
            </w:r>
          </w:p>
        </w:tc>
        <w:tc>
          <w:tcPr>
            <w:tcW w:type="dxa" w:w="7488"/>
          </w:tcPr>
          <w:p>
            <w:r/>
            <w:r>
              <w:rPr>
                <w:sz w:val="17"/>
              </w:rPr>
              <w:t>l2_penalised_logistic, converged, prior sensitivity across 5 strengths</w:t>
            </w:r>
          </w:p>
        </w:tc>
      </w:tr>
      <w:tr>
        <w:tc>
          <w:tcPr>
            <w:tcW w:type="dxa" w:w="2304"/>
          </w:tcPr>
          <w:p>
            <w:r/>
            <w:r>
              <w:rPr>
                <w:sz w:val="17"/>
              </w:rPr>
              <w:t>scoring</w:t>
            </w:r>
          </w:p>
        </w:tc>
        <w:tc>
          <w:tcPr>
            <w:tcW w:type="dxa" w:w="7488"/>
          </w:tcPr>
          <w:p>
            <w:r/>
            <w:r>
              <w:rPr>
                <w:sz w:val="17"/>
              </w:rPr>
              <w:t>77 windows scored: M3 core and M4 integrated</w:t>
            </w:r>
          </w:p>
        </w:tc>
      </w:tr>
      <w:tr>
        <w:tc>
          <w:tcPr>
            <w:tcW w:type="dxa" w:w="2304"/>
          </w:tcPr>
          <w:p>
            <w:r/>
            <w:r>
              <w:rPr>
                <w:sz w:val="17"/>
              </w:rPr>
              <w:t>cusum</w:t>
            </w:r>
          </w:p>
        </w:tc>
        <w:tc>
          <w:tcPr>
            <w:tcW w:type="dxa" w:w="7488"/>
          </w:tcPr>
          <w:p>
            <w:r/>
            <w:r>
              <w:rPr>
                <w:sz w:val="17"/>
              </w:rPr>
              <w:t>1 alarm at 1994; control limit 3.6627; achieved ARL 200.28</w:t>
            </w:r>
          </w:p>
        </w:tc>
      </w:tr>
      <w:tr>
        <w:tc>
          <w:tcPr>
            <w:tcW w:type="dxa" w:w="2304"/>
          </w:tcPr>
          <w:p>
            <w:r/>
            <w:r>
              <w:rPr>
                <w:sz w:val="17"/>
              </w:rPr>
              <w:t>ewma</w:t>
            </w:r>
          </w:p>
        </w:tc>
        <w:tc>
          <w:tcPr>
            <w:tcW w:type="dxa" w:w="7488"/>
          </w:tcPr>
          <w:p>
            <w:r/>
            <w:r>
              <w:rPr>
                <w:sz w:val="17"/>
              </w:rPr>
              <w:t>1 alarm at 1994; control limit 0.7773; achieved ARL 200.07</w:t>
            </w:r>
          </w:p>
        </w:tc>
      </w:tr>
      <w:tr>
        <w:tc>
          <w:tcPr>
            <w:tcW w:type="dxa" w:w="2304"/>
          </w:tcPr>
          <w:p>
            <w:r/>
            <w:r>
              <w:rPr>
                <w:sz w:val="17"/>
              </w:rPr>
              <w:t>warning_classifier</w:t>
            </w:r>
          </w:p>
        </w:tc>
        <w:tc>
          <w:tcPr>
            <w:tcW w:type="dxa" w:w="7488"/>
          </w:tcPr>
          <w:p>
            <w:r/>
            <w:r>
              <w:rPr>
                <w:sz w:val="17"/>
              </w:rPr>
              <w:t>0 consecutive trailing alarms</w:t>
            </w:r>
          </w:p>
        </w:tc>
      </w:tr>
      <w:tr>
        <w:tc>
          <w:tcPr>
            <w:tcW w:type="dxa" w:w="2304"/>
          </w:tcPr>
          <w:p>
            <w:r/>
            <w:r>
              <w:rPr>
                <w:sz w:val="17"/>
              </w:rPr>
              <w:t>dh3</w:t>
            </w:r>
          </w:p>
        </w:tc>
        <w:tc>
          <w:tcPr>
            <w:tcW w:type="dxa" w:w="7488"/>
          </w:tcPr>
          <w:p>
            <w:r/>
            <w:r>
              <w:rPr>
                <w:sz w:val="17"/>
              </w:rPr>
              <w:t>INSUFFICIENT_DATA — 3 clades, 6 required. Correct: the fixture has 3 lineages</w:t>
            </w:r>
          </w:p>
        </w:tc>
      </w:tr>
      <w:tr>
        <w:tc>
          <w:tcPr>
            <w:tcW w:type="dxa" w:w="2304"/>
          </w:tcPr>
          <w:p>
            <w:r/>
            <w:r>
              <w:rPr>
                <w:sz w:val="17"/>
              </w:rPr>
              <w:t>model_comparison</w:t>
            </w:r>
          </w:p>
        </w:tc>
        <w:tc>
          <w:tcPr>
            <w:tcW w:type="dxa" w:w="7488"/>
          </w:tcPr>
          <w:p>
            <w:r/>
            <w:r>
              <w:rPr>
                <w:sz w:val="17"/>
              </w:rPr>
              <w:t>M1–M4 on 125 windows, 54 held out</w:t>
            </w:r>
          </w:p>
        </w:tc>
      </w:tr>
      <w:tr>
        <w:tc>
          <w:tcPr>
            <w:tcW w:type="dxa" w:w="2304"/>
          </w:tcPr>
          <w:p>
            <w:r/>
            <w:r>
              <w:rPr>
                <w:sz w:val="17"/>
              </w:rPr>
              <w:t>report card</w:t>
            </w:r>
          </w:p>
        </w:tc>
        <w:tc>
          <w:tcPr>
            <w:tcW w:type="dxa" w:w="7488"/>
          </w:tcPr>
          <w:p>
            <w:r/>
            <w:r>
              <w:rPr>
                <w:sz w:val="17"/>
              </w:rPr>
              <w:t>All 12 sections reported</w:t>
            </w:r>
          </w:p>
        </w:tc>
      </w:tr>
    </w:tbl>
    <w:p>
      <w:pPr>
        <w:spacing w:after="40"/>
      </w:pPr>
    </w:p>
    <w:p>
      <w:pPr>
        <w:spacing w:before="140" w:after="180"/>
        <w:ind w:left="173"/>
        <w:pBdr>
          <w:left w:val="single" w:sz="18" w:color="276749"/>
        </w:pBdr>
      </w:pPr>
      <w:r>
        <w:rPr>
          <w:b/>
          <w:color w:val="276749"/>
          <w:sz w:val="17"/>
        </w:rPr>
        <w:t xml:space="preserve">BOTH DETECTORS FOUND THE PLANTED CHANGE POINT INDEPENDENTLY  </w:t>
      </w:r>
      <w:r>
        <w:rPr>
          <w:sz w:val="18"/>
        </w:rPr>
        <w:t>CUSUM and EWMA each alarmed at window 1994; the logistic inflection built into the fixture was 1995. Neither detector was told where to look.</w:t>
      </w:r>
    </w:p>
    <w:p>
      <w:pPr>
        <w:pStyle w:val="Heading3"/>
      </w:pPr>
      <w:r>
        <w:t>5.1 Two refusals that were correct</w:t>
      </w:r>
    </w:p>
    <w:p>
      <w:pPr>
        <w:pStyle w:val="BodyText"/>
      </w:pPr>
      <w:r>
        <w:t>The first fixture had G4G identically zero, and normalisation dropped every window. The second had it zero until 1985, and the entire first half was dropped. Both times the pipeline was right and the fixture was wrong: a baseline with no variance cannot be z-scored. Real corpora will behave identically wherever a term is invariant, which is exactly what happened with saturated G4G on real FMDV data.</w:t>
      </w:r>
    </w:p>
    <w:p>
      <w:pPr>
        <w:pStyle w:val="Heading2"/>
      </w:pPr>
      <w:r>
        <w:t>6. User Interface — the Forecast skin</w:t>
      </w:r>
    </w:p>
    <w:tbl>
      <w:tblPr>
        <w:tblStyle w:val="TableGrid"/>
        <w:tblW w:type="auto" w:w="0"/>
        <w:jc w:val="center"/>
        <w:tblLook w:firstColumn="1" w:firstRow="1" w:lastColumn="0" w:lastRow="0" w:noHBand="0" w:noVBand="1" w:val="04A0"/>
      </w:tblPr>
      <w:tblGrid>
        <w:gridCol w:w="4896"/>
        <w:gridCol w:w="4896"/>
      </w:tblGrid>
      <w:tr>
        <w:tc>
          <w:tcPr>
            <w:tcW w:type="dxa" w:w="2016"/>
            <w:shd w:val="clear" w:fill="1B2A4A"/>
          </w:tcPr>
          <w:p>
            <w:r/>
            <w:r>
              <w:rPr>
                <w:b/>
                <w:color w:val="FFFFFF"/>
                <w:sz w:val="17"/>
              </w:rPr>
              <w:t>Aspect</w:t>
            </w:r>
          </w:p>
        </w:tc>
        <w:tc>
          <w:tcPr>
            <w:tcW w:type="dxa" w:w="7776"/>
            <w:shd w:val="clear" w:fill="1B2A4A"/>
          </w:tcPr>
          <w:p>
            <w:r/>
            <w:r>
              <w:rPr>
                <w:b/>
                <w:color w:val="FFFFFF"/>
                <w:sz w:val="17"/>
              </w:rPr>
              <w:t>Detail</w:t>
            </w:r>
          </w:p>
        </w:tc>
      </w:tr>
      <w:tr>
        <w:tc>
          <w:tcPr>
            <w:tcW w:type="dxa" w:w="2016"/>
          </w:tcPr>
          <w:p>
            <w:r/>
            <w:r>
              <w:rPr>
                <w:sz w:val="17"/>
              </w:rPr>
              <w:t>Source</w:t>
            </w:r>
          </w:p>
        </w:tc>
        <w:tc>
          <w:tcPr>
            <w:tcW w:type="dxa" w:w="7776"/>
          </w:tcPr>
          <w:p>
            <w:r/>
            <w:r>
              <w:rPr>
                <w:sz w:val="17"/>
              </w:rPr>
              <w:t>A React single-file design from a separate project; only the design language transferred</w:t>
            </w:r>
          </w:p>
        </w:tc>
      </w:tr>
      <w:tr>
        <w:tc>
          <w:tcPr>
            <w:tcW w:type="dxa" w:w="2016"/>
          </w:tcPr>
          <w:p>
            <w:r/>
            <w:r>
              <w:rPr>
                <w:sz w:val="17"/>
              </w:rPr>
              <w:t>Implementation</w:t>
            </w:r>
          </w:p>
        </w:tc>
        <w:tc>
          <w:tcPr>
            <w:tcW w:type="dxa" w:w="7776"/>
          </w:tcPr>
          <w:p>
            <w:r/>
            <w:r>
              <w:rPr>
                <w:sz w:val="17"/>
              </w:rPr>
              <w:t>web/workstation/static/forecast.css — a skin in the existing token system, now the default</w:t>
            </w:r>
          </w:p>
        </w:tc>
      </w:tr>
      <w:tr>
        <w:tc>
          <w:tcPr>
            <w:tcW w:type="dxa" w:w="2016"/>
          </w:tcPr>
          <w:p>
            <w:r/>
            <w:r>
              <w:rPr>
                <w:sz w:val="17"/>
              </w:rPr>
              <w:t>Design language</w:t>
            </w:r>
          </w:p>
        </w:tc>
        <w:tc>
          <w:tcPr>
            <w:tcW w:type="dxa" w:w="7776"/>
          </w:tcPr>
          <w:p>
            <w:r/>
            <w:r>
              <w:rPr>
                <w:sz w:val="17"/>
              </w:rPr>
              <w:t>Navy masthead with a 3 px blue underscore, folder-tab navigation, hairline-ruled tables, 10 px uppercase headers, 2–3 px radii, tabular numerals</w:t>
            </w:r>
          </w:p>
        </w:tc>
      </w:tr>
      <w:tr>
        <w:tc>
          <w:tcPr>
            <w:tcW w:type="dxa" w:w="2016"/>
          </w:tcPr>
          <w:p>
            <w:r/>
            <w:r>
              <w:rPr>
                <w:sz w:val="17"/>
              </w:rPr>
              <w:t>Contrast corrections</w:t>
            </w:r>
          </w:p>
        </w:tc>
        <w:tc>
          <w:tcPr>
            <w:tcW w:type="dxa" w:w="7776"/>
          </w:tcPr>
          <w:p>
            <w:r/>
            <w:r>
              <w:rPr>
                <w:sz w:val="17"/>
              </w:rPr>
              <w:t>Four palette colours failed WCAG AA for text and were darkened along their own hue by binary search, not substituted</w:t>
            </w:r>
          </w:p>
        </w:tc>
      </w:tr>
      <w:tr>
        <w:tc>
          <w:tcPr>
            <w:tcW w:type="dxa" w:w="2016"/>
          </w:tcPr>
          <w:p>
            <w:r/>
            <w:r>
              <w:rPr>
                <w:sz w:val="17"/>
              </w:rPr>
              <w:t>Verification</w:t>
            </w:r>
          </w:p>
        </w:tc>
        <w:tc>
          <w:tcPr>
            <w:tcW w:type="dxa" w:w="7776"/>
          </w:tcPr>
          <w:p>
            <w:r/>
            <w:r>
              <w:rPr>
                <w:sz w:val="17"/>
              </w:rPr>
              <w:t>Worst text pair 4.50:1 across canvas, workspace, nav band and hover — not only against white</w:t>
            </w:r>
          </w:p>
        </w:tc>
      </w:tr>
    </w:tbl>
    <w:p>
      <w:pPr>
        <w:spacing w:after="40"/>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1B2A4A"/>
          </w:tcPr>
          <w:p>
            <w:r/>
            <w:r>
              <w:rPr>
                <w:b/>
                <w:color w:val="FFFFFF"/>
                <w:sz w:val="17"/>
              </w:rPr>
              <w:t>Colour</w:t>
            </w:r>
          </w:p>
        </w:tc>
        <w:tc>
          <w:tcPr>
            <w:tcW w:type="dxa" w:w="1728"/>
            <w:shd w:val="clear" w:fill="1B2A4A"/>
          </w:tcPr>
          <w:p>
            <w:r/>
            <w:r>
              <w:rPr>
                <w:b/>
                <w:color w:val="FFFFFF"/>
                <w:sz w:val="17"/>
              </w:rPr>
              <w:t>Source</w:t>
            </w:r>
          </w:p>
        </w:tc>
        <w:tc>
          <w:tcPr>
            <w:tcW w:type="dxa" w:w="1728"/>
            <w:shd w:val="clear" w:fill="1B2A4A"/>
          </w:tcPr>
          <w:p>
            <w:r/>
            <w:r>
              <w:rPr>
                <w:b/>
                <w:color w:val="FFFFFF"/>
                <w:sz w:val="17"/>
              </w:rPr>
              <w:t>Corrected</w:t>
            </w:r>
          </w:p>
        </w:tc>
        <w:tc>
          <w:tcPr>
            <w:tcW w:type="dxa" w:w="4608"/>
            <w:shd w:val="clear" w:fill="1B2A4A"/>
          </w:tcPr>
          <w:p>
            <w:r/>
            <w:r>
              <w:rPr>
                <w:b/>
                <w:color w:val="FFFFFF"/>
                <w:sz w:val="17"/>
              </w:rPr>
              <w:t>Ratio</w:t>
            </w:r>
          </w:p>
        </w:tc>
      </w:tr>
      <w:tr>
        <w:tc>
          <w:tcPr>
            <w:tcW w:type="dxa" w:w="1728"/>
          </w:tcPr>
          <w:p>
            <w:r/>
            <w:r>
              <w:rPr>
                <w:sz w:val="17"/>
              </w:rPr>
              <w:t>textTert</w:t>
            </w:r>
          </w:p>
        </w:tc>
        <w:tc>
          <w:tcPr>
            <w:tcW w:type="dxa" w:w="1728"/>
          </w:tcPr>
          <w:p>
            <w:r/>
            <w:r>
              <w:rPr>
                <w:sz w:val="17"/>
              </w:rPr>
              <w:t>#718096</w:t>
            </w:r>
          </w:p>
        </w:tc>
        <w:tc>
          <w:tcPr>
            <w:tcW w:type="dxa" w:w="1728"/>
          </w:tcPr>
          <w:p>
            <w:r/>
            <w:r>
              <w:rPr>
                <w:sz w:val="17"/>
              </w:rPr>
              <w:t>#5E6C80</w:t>
            </w:r>
          </w:p>
        </w:tc>
        <w:tc>
          <w:tcPr>
            <w:tcW w:type="dxa" w:w="4608"/>
          </w:tcPr>
          <w:p>
            <w:r/>
            <w:r>
              <w:rPr>
                <w:sz w:val="17"/>
              </w:rPr>
              <w:t>4.02 → 4.50:1</w:t>
            </w:r>
          </w:p>
        </w:tc>
      </w:tr>
      <w:tr>
        <w:tc>
          <w:tcPr>
            <w:tcW w:type="dxa" w:w="1728"/>
          </w:tcPr>
          <w:p>
            <w:r/>
            <w:r>
              <w:rPr>
                <w:sz w:val="17"/>
              </w:rPr>
              <w:t>textMuted</w:t>
            </w:r>
          </w:p>
        </w:tc>
        <w:tc>
          <w:tcPr>
            <w:tcW w:type="dxa" w:w="1728"/>
          </w:tcPr>
          <w:p>
            <w:r/>
            <w:r>
              <w:rPr>
                <w:sz w:val="17"/>
              </w:rPr>
              <w:t>#A0AEC0</w:t>
            </w:r>
          </w:p>
        </w:tc>
        <w:tc>
          <w:tcPr>
            <w:tcW w:type="dxa" w:w="1728"/>
          </w:tcPr>
          <w:p>
            <w:r/>
            <w:r>
              <w:rPr>
                <w:sz w:val="17"/>
              </w:rPr>
              <w:t>#596C86</w:t>
            </w:r>
          </w:p>
        </w:tc>
        <w:tc>
          <w:tcPr>
            <w:tcW w:type="dxa" w:w="4608"/>
          </w:tcPr>
          <w:p>
            <w:r/>
            <w:r>
              <w:rPr>
                <w:sz w:val="17"/>
              </w:rPr>
              <w:t>2.26 → 4.52:1</w:t>
            </w:r>
          </w:p>
        </w:tc>
      </w:tr>
      <w:tr>
        <w:tc>
          <w:tcPr>
            <w:tcW w:type="dxa" w:w="1728"/>
          </w:tcPr>
          <w:p>
            <w:r/>
            <w:r>
              <w:rPr>
                <w:sz w:val="17"/>
              </w:rPr>
              <w:t>yellow</w:t>
            </w:r>
          </w:p>
        </w:tc>
        <w:tc>
          <w:tcPr>
            <w:tcW w:type="dxa" w:w="1728"/>
          </w:tcPr>
          <w:p>
            <w:r/>
            <w:r>
              <w:rPr>
                <w:sz w:val="17"/>
              </w:rPr>
              <w:t>#B7791F</w:t>
            </w:r>
          </w:p>
        </w:tc>
        <w:tc>
          <w:tcPr>
            <w:tcW w:type="dxa" w:w="1728"/>
          </w:tcPr>
          <w:p>
            <w:r/>
            <w:r>
              <w:rPr>
                <w:sz w:val="17"/>
              </w:rPr>
              <w:t>#926019</w:t>
            </w:r>
          </w:p>
        </w:tc>
        <w:tc>
          <w:tcPr>
            <w:tcW w:type="dxa" w:w="4608"/>
          </w:tcPr>
          <w:p>
            <w:r/>
            <w:r>
              <w:rPr>
                <w:sz w:val="17"/>
              </w:rPr>
              <w:t>3.64 → 4.53:1</w:t>
            </w:r>
          </w:p>
        </w:tc>
      </w:tr>
      <w:tr>
        <w:tc>
          <w:tcPr>
            <w:tcW w:type="dxa" w:w="1728"/>
          </w:tcPr>
          <w:p>
            <w:r/>
            <w:r>
              <w:rPr>
                <w:sz w:val="17"/>
              </w:rPr>
              <w:t>blueLight</w:t>
            </w:r>
          </w:p>
        </w:tc>
        <w:tc>
          <w:tcPr>
            <w:tcW w:type="dxa" w:w="1728"/>
          </w:tcPr>
          <w:p>
            <w:r/>
            <w:r>
              <w:rPr>
                <w:sz w:val="17"/>
              </w:rPr>
              <w:t>#3182CE</w:t>
            </w:r>
          </w:p>
        </w:tc>
        <w:tc>
          <w:tcPr>
            <w:tcW w:type="dxa" w:w="1728"/>
          </w:tcPr>
          <w:p>
            <w:r/>
            <w:r>
              <w:rPr>
                <w:sz w:val="17"/>
              </w:rPr>
              <w:t>#2E79C1</w:t>
            </w:r>
          </w:p>
        </w:tc>
        <w:tc>
          <w:tcPr>
            <w:tcW w:type="dxa" w:w="4608"/>
          </w:tcPr>
          <w:p>
            <w:r/>
            <w:r>
              <w:rPr>
                <w:sz w:val="17"/>
              </w:rPr>
              <w:t>4.03 → 4.54:1</w:t>
            </w:r>
          </w:p>
        </w:tc>
      </w:tr>
    </w:tbl>
    <w:p>
      <w:pPr>
        <w:spacing w:after="40"/>
      </w:pPr>
    </w:p>
    <w:p>
      <w:pPr>
        <w:spacing w:before="140" w:after="180"/>
        <w:ind w:left="173"/>
        <w:pBdr>
          <w:left w:val="single" w:sz="18" w:color="926019"/>
        </w:pBdr>
      </w:pPr>
      <w:r>
        <w:rPr>
          <w:b/>
          <w:color w:val="926019"/>
          <w:sz w:val="17"/>
        </w:rPr>
        <w:t xml:space="preserve">A CORRECTION TO AN INTERMEDIATE CLAIM  </w:t>
      </w:r>
      <w:r>
        <w:rPr>
          <w:sz w:val="18"/>
        </w:rPr>
        <w:t>During this work the skin picker was reported as unwired. That was wrong — applySkin() in g4.js is complete; grep had returned false negatives on that file and the claim was made before verifying by other means. Investigating it did surface a real defect: the diagnostic in app.html read and wrote localStorage key g4-skin while the application had moved to g4-skin-v2, so the diagnostic reported "(none)" for a skin that was set and its force button wrote a key nothing read. Fixed, with a test asserting the two stay in sync.</w:t>
      </w:r>
    </w:p>
    <w:p>
      <w:pPr>
        <w:pStyle w:val="Heading3"/>
      </w:pPr>
      <w:r>
        <w:t>6.1 New skin-integrity tests</w:t>
      </w:r>
    </w:p>
    <w:p>
      <w:pPr>
        <w:pStyle w:val="ListBullet"/>
        <w:spacing w:after="40"/>
      </w:pPr>
      <w:r>
        <w:rPr>
          <w:sz w:val="19"/>
        </w:rPr>
        <w:t>Every skin offered in the picker has a stylesheet containing a matching [data-skin] block.</w:t>
      </w:r>
    </w:p>
    <w:p>
      <w:pPr>
        <w:pStyle w:val="ListBullet"/>
        <w:spacing w:after="40"/>
      </w:pPr>
      <w:r>
        <w:rPr>
          <w:sz w:val="19"/>
        </w:rPr>
        <w:t>Every offered skin is linked from the served page.</w:t>
      </w:r>
    </w:p>
    <w:p>
      <w:pPr>
        <w:pStyle w:val="ListBullet"/>
        <w:spacing w:after="40"/>
      </w:pPr>
      <w:r>
        <w:rPr>
          <w:sz w:val="19"/>
        </w:rPr>
        <w:t>The default skin exists and is among the offered options.</w:t>
      </w:r>
    </w:p>
    <w:p>
      <w:pPr>
        <w:pStyle w:val="ListBullet"/>
        <w:spacing w:after="40"/>
      </w:pPr>
      <w:r>
        <w:rPr>
          <w:sz w:val="19"/>
        </w:rPr>
        <w:t>The diagnostic uses only localStorage keys the application actually reads.</w:t>
      </w:r>
    </w:p>
    <w:p>
      <w:pPr>
        <w:pStyle w:val="BodyText"/>
      </w:pPr>
      <w:r>
        <w:t>The first of these would have caught the original defect in which a 'flat' option was offered with no flat.css, leaving the workstation on unstyled base tokens and rendering as a blank dark page.</w:t>
      </w:r>
    </w:p>
    <w:p>
      <w:pPr>
        <w:pStyle w:val="Heading2"/>
      </w:pPr>
      <w:r>
        <w:t>7. Later Phases — Summary</w:t>
      </w:r>
    </w:p>
    <w:p>
      <w:pPr>
        <w:pStyle w:val="FirstParagraph"/>
      </w:pPr>
      <w:r>
        <w:t>Phases 1, 2 and 3 were completed after the work above. Full detail is in 08_implementation_roadmap and 11_phase1_finding; the defect counts are folded into the totals in section 1.</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B2A4A"/>
          </w:tcPr>
          <w:p>
            <w:r/>
            <w:r>
              <w:rPr>
                <w:b/>
                <w:color w:val="FFFFFF"/>
                <w:sz w:val="17"/>
              </w:rPr>
              <w:t>Phase</w:t>
            </w:r>
          </w:p>
        </w:tc>
        <w:tc>
          <w:tcPr>
            <w:tcW w:type="dxa" w:w="4752"/>
            <w:shd w:val="clear" w:fill="1B2A4A"/>
          </w:tcPr>
          <w:p>
            <w:r/>
            <w:r>
              <w:rPr>
                <w:b/>
                <w:color w:val="FFFFFF"/>
                <w:sz w:val="17"/>
              </w:rPr>
              <w:t>Outcome</w:t>
            </w:r>
          </w:p>
        </w:tc>
        <w:tc>
          <w:tcPr>
            <w:tcW w:type="dxa" w:w="2880"/>
            <w:shd w:val="clear" w:fill="1B2A4A"/>
          </w:tcPr>
          <w:p>
            <w:r/>
            <w:r>
              <w:rPr>
                <w:b/>
                <w:color w:val="FFFFFF"/>
                <w:sz w:val="17"/>
              </w:rPr>
              <w:t>Defects found</w:t>
            </w:r>
          </w:p>
        </w:tc>
      </w:tr>
      <w:tr>
        <w:tc>
          <w:tcPr>
            <w:tcW w:type="dxa" w:w="2160"/>
          </w:tcPr>
          <w:p>
            <w:r/>
            <w:r>
              <w:rPr>
                <w:sz w:val="17"/>
              </w:rPr>
              <w:t>1 — Atlas eligibility</w:t>
            </w:r>
          </w:p>
        </w:tc>
        <w:tc>
          <w:tcPr>
            <w:tcW w:type="dxa" w:w="4752"/>
          </w:tcPr>
          <w:p>
            <w:r/>
            <w:r>
              <w:rPr>
                <w:sz w:val="17"/>
              </w:rPr>
              <w:t>Documented negative: FMDV's genome contains no canonical G4 motif on either strand</w:t>
            </w:r>
          </w:p>
        </w:tc>
        <w:tc>
          <w:tcPr>
            <w:tcW w:type="dxa" w:w="2880"/>
          </w:tcPr>
          <w:p>
            <w:r/>
            <w:r>
              <w:rPr>
                <w:sz w:val="17"/>
              </w:rPr>
              <w:t>2 (strand asymmetry in prediction and in classification)</w:t>
            </w:r>
          </w:p>
        </w:tc>
      </w:tr>
      <w:tr>
        <w:tc>
          <w:tcPr>
            <w:tcW w:type="dxa" w:w="2160"/>
          </w:tcPr>
          <w:p>
            <w:r/>
            <w:r>
              <w:rPr>
                <w:sz w:val="17"/>
              </w:rPr>
              <w:t>3 — Orchestration</w:t>
            </w:r>
          </w:p>
        </w:tc>
        <w:tc>
          <w:tcPr>
            <w:tcW w:type="dxa" w:w="4752"/>
          </w:tcPr>
          <w:p>
            <w:r/>
            <w:r>
              <w:rPr>
                <w:sz w:val="17"/>
              </w:rPr>
              <w:t>The pipeline now reaches scores and a report card; it previously reached neither</w:t>
            </w:r>
          </w:p>
        </w:tc>
        <w:tc>
          <w:tcPr>
            <w:tcW w:type="dxa" w:w="2880"/>
          </w:tcPr>
          <w:p>
            <w:r/>
            <w:r>
              <w:rPr>
                <w:sz w:val="17"/>
              </w:rPr>
              <w:t>2 orphaned processes; an FMDV-only script inside a generic pipeline</w:t>
            </w:r>
          </w:p>
        </w:tc>
      </w:tr>
      <w:tr>
        <w:tc>
          <w:tcPr>
            <w:tcW w:type="dxa" w:w="2160"/>
          </w:tcPr>
          <w:p>
            <w:r/>
            <w:r>
              <w:rPr>
                <w:sz w:val="17"/>
              </w:rPr>
              <w:t>2 — Containers</w:t>
            </w:r>
          </w:p>
        </w:tc>
        <w:tc>
          <w:tcPr>
            <w:tcW w:type="dxa" w:w="4752"/>
          </w:tcPr>
          <w:p>
            <w:r/>
            <w:r>
              <w:rPr>
                <w:sz w:val="17"/>
              </w:rPr>
              <w:t>All 11 images build; the docker profile completes the pipeline</w:t>
            </w:r>
          </w:p>
        </w:tc>
        <w:tc>
          <w:tcPr>
            <w:tcW w:type="dxa" w:w="2880"/>
          </w:tcPr>
          <w:p>
            <w:r/>
            <w:r>
              <w:rPr>
                <w:sz w:val="17"/>
              </w:rPr>
              <w:t>8, including two that made the profile unusable outright</w:t>
            </w:r>
          </w:p>
        </w:tc>
      </w:tr>
    </w:tbl>
    <w:p>
      <w:pPr>
        <w:spacing w:after="40"/>
      </w:pPr>
    </w:p>
    <w:p>
      <w:pPr>
        <w:spacing w:before="140" w:after="180"/>
        <w:ind w:left="173"/>
        <w:pBdr>
          <w:left w:val="single" w:sz="18" w:color="C53030"/>
        </w:pBdr>
      </w:pPr>
      <w:r>
        <w:rPr>
          <w:b/>
          <w:color w:val="C53030"/>
          <w:sz w:val="17"/>
        </w:rPr>
        <w:t xml:space="preserve">THE PATTERN ACROSS ALL THREE PHASES  </w:t>
      </w:r>
      <w:r>
        <w:rPr>
          <w:sz w:val="18"/>
        </w:rPr>
        <w:t>Every one of these defects was invisible to inspection and visible only to execution. Nothing raised, no stage reported failure, and in several cases the failure presented as something else entirely — a missing output file that was really a missing script, an image that built successfully without the one package it exists to provide. Reading the code would not have found them.</w:t>
      </w:r>
    </w:p>
    <w:p>
      <w:pPr>
        <w:pStyle w:val="Heading2"/>
      </w:pPr>
      <w:r>
        <w:t>8. What Remains</w:t>
      </w:r>
    </w:p>
    <w:tbl>
      <w:tblPr>
        <w:tblStyle w:val="TableGrid"/>
        <w:tblW w:type="auto" w:w="0"/>
        <w:jc w:val="center"/>
        <w:tblLook w:firstColumn="1" w:firstRow="1" w:lastColumn="0" w:lastRow="0" w:noHBand="0" w:noVBand="1" w:val="04A0"/>
      </w:tblPr>
      <w:tblGrid>
        <w:gridCol w:w="3264"/>
        <w:gridCol w:w="3264"/>
        <w:gridCol w:w="3264"/>
      </w:tblGrid>
      <w:tr>
        <w:tc>
          <w:tcPr>
            <w:tcW w:type="dxa" w:w="4320"/>
            <w:shd w:val="clear" w:fill="1B2A4A"/>
          </w:tcPr>
          <w:p>
            <w:r/>
            <w:r>
              <w:rPr>
                <w:b/>
                <w:color w:val="FFFFFF"/>
                <w:sz w:val="17"/>
              </w:rPr>
              <w:t>Item</w:t>
            </w:r>
          </w:p>
        </w:tc>
        <w:tc>
          <w:tcPr>
            <w:tcW w:type="dxa" w:w="864"/>
            <w:shd w:val="clear" w:fill="1B2A4A"/>
          </w:tcPr>
          <w:p>
            <w:r/>
            <w:r>
              <w:rPr>
                <w:b/>
                <w:color w:val="FFFFFF"/>
                <w:sz w:val="17"/>
              </w:rPr>
              <w:t>Phase</w:t>
            </w:r>
          </w:p>
        </w:tc>
        <w:tc>
          <w:tcPr>
            <w:tcW w:type="dxa" w:w="4608"/>
            <w:shd w:val="clear" w:fill="1B2A4A"/>
          </w:tcPr>
          <w:p>
            <w:r/>
            <w:r>
              <w:rPr>
                <w:b/>
                <w:color w:val="FFFFFF"/>
                <w:sz w:val="17"/>
              </w:rPr>
              <w:t>Note</w:t>
            </w:r>
          </w:p>
        </w:tc>
      </w:tr>
      <w:tr>
        <w:tc>
          <w:tcPr>
            <w:tcW w:type="dxa" w:w="4320"/>
          </w:tcPr>
          <w:p>
            <w:r/>
            <w:r>
              <w:rPr>
                <w:sz w:val="17"/>
              </w:rPr>
              <w:t>Atlas quality — no scoring-eligible FMDV locus</w:t>
            </w:r>
          </w:p>
        </w:tc>
        <w:tc>
          <w:tcPr>
            <w:tcW w:type="dxa" w:w="864"/>
          </w:tcPr>
          <w:p>
            <w:r/>
            <w:r>
              <w:rPr>
                <w:sz w:val="17"/>
              </w:rPr>
              <w:t>1</w:t>
            </w:r>
          </w:p>
        </w:tc>
        <w:tc>
          <w:tcPr>
            <w:tcW w:type="dxa" w:w="4608"/>
          </w:tcPr>
          <w:p>
            <w:r/>
            <w:r>
              <w:rPr>
                <w:sz w:val="17"/>
              </w:rPr>
              <w:t>Scientific, not engineering. Blocks every authoritative real-data result</w:t>
            </w:r>
          </w:p>
        </w:tc>
      </w:tr>
      <w:tr>
        <w:tc>
          <w:tcPr>
            <w:tcW w:type="dxa" w:w="4320"/>
          </w:tcPr>
          <w:p>
            <w:r/>
            <w:r>
              <w:rPr>
                <w:sz w:val="17"/>
              </w:rPr>
              <w:t>Build the 11 container images</w:t>
            </w:r>
          </w:p>
        </w:tc>
        <w:tc>
          <w:tcPr>
            <w:tcW w:type="dxa" w:w="864"/>
          </w:tcPr>
          <w:p>
            <w:r/>
            <w:r>
              <w:rPr>
                <w:sz w:val="17"/>
              </w:rPr>
              <w:t>2</w:t>
            </w:r>
          </w:p>
        </w:tc>
        <w:tc>
          <w:tcPr>
            <w:tcW w:type="dxa" w:w="4608"/>
          </w:tcPr>
          <w:p>
            <w:r/>
            <w:r>
              <w:rPr>
                <w:sz w:val="17"/>
              </w:rPr>
              <w:t>Defined, none built</w:t>
            </w:r>
          </w:p>
        </w:tc>
      </w:tr>
      <w:tr>
        <w:tc>
          <w:tcPr>
            <w:tcW w:type="dxa" w:w="4320"/>
          </w:tcPr>
          <w:p>
            <w:r/>
            <w:r>
              <w:rPr>
                <w:sz w:val="17"/>
              </w:rPr>
              <w:t>Orchestrate the six post-audit modules in Nextflow</w:t>
            </w:r>
          </w:p>
        </w:tc>
        <w:tc>
          <w:tcPr>
            <w:tcW w:type="dxa" w:w="864"/>
          </w:tcPr>
          <w:p>
            <w:r/>
            <w:r>
              <w:rPr>
                <w:sz w:val="17"/>
              </w:rPr>
              <w:t>3</w:t>
            </w:r>
          </w:p>
        </w:tc>
        <w:tc>
          <w:tcPr>
            <w:tcW w:type="dxa" w:w="4608"/>
          </w:tcPr>
          <w:p>
            <w:r/>
            <w:r>
              <w:rPr>
                <w:sz w:val="17"/>
              </w:rPr>
              <w:t>CLI-only today</w:t>
            </w:r>
          </w:p>
        </w:tc>
      </w:tr>
      <w:tr>
        <w:tc>
          <w:tcPr>
            <w:tcW w:type="dxa" w:w="4320"/>
          </w:tcPr>
          <w:p>
            <w:r/>
            <w:r>
              <w:rPr>
                <w:sz w:val="17"/>
              </w:rPr>
              <w:t>Authentication on the deployable service</w:t>
            </w:r>
          </w:p>
        </w:tc>
        <w:tc>
          <w:tcPr>
            <w:tcW w:type="dxa" w:w="864"/>
          </w:tcPr>
          <w:p>
            <w:r/>
            <w:r>
              <w:rPr>
                <w:sz w:val="17"/>
              </w:rPr>
              <w:t>4</w:t>
            </w:r>
          </w:p>
        </w:tc>
        <w:tc>
          <w:tcPr>
            <w:tcW w:type="dxa" w:w="4608"/>
          </w:tcPr>
          <w:p>
            <w:r/>
            <w:r>
              <w:rPr>
                <w:sz w:val="17"/>
              </w:rPr>
              <w:t>OpenAccessBackend is the default</w:t>
            </w:r>
          </w:p>
        </w:tc>
      </w:tr>
      <w:tr>
        <w:tc>
          <w:tcPr>
            <w:tcW w:type="dxa" w:w="4320"/>
          </w:tcPr>
          <w:p>
            <w:r/>
            <w:r>
              <w:rPr>
                <w:sz w:val="17"/>
              </w:rPr>
              <w:t>Second and third pathogens</w:t>
            </w:r>
          </w:p>
        </w:tc>
        <w:tc>
          <w:tcPr>
            <w:tcW w:type="dxa" w:w="864"/>
          </w:tcPr>
          <w:p>
            <w:r/>
            <w:r>
              <w:rPr>
                <w:sz w:val="17"/>
              </w:rPr>
              <w:t>5</w:t>
            </w:r>
          </w:p>
        </w:tc>
        <w:tc>
          <w:tcPr>
            <w:tcW w:type="dxa" w:w="4608"/>
          </w:tcPr>
          <w:p>
            <w:r/>
            <w:r>
              <w:rPr>
                <w:sz w:val="17"/>
              </w:rPr>
              <w:t>Four scaffold configs exist</w:t>
            </w:r>
          </w:p>
        </w:tc>
      </w:tr>
      <w:tr>
        <w:tc>
          <w:tcPr>
            <w:tcW w:type="dxa" w:w="4320"/>
          </w:tcPr>
          <w:p>
            <w:r/>
            <w:r>
              <w:rPr>
                <w:sz w:val="17"/>
              </w:rPr>
              <w:t>Holdout validation of the composite score</w:t>
            </w:r>
          </w:p>
        </w:tc>
        <w:tc>
          <w:tcPr>
            <w:tcW w:type="dxa" w:w="864"/>
          </w:tcPr>
          <w:p>
            <w:r/>
            <w:r>
              <w:rPr>
                <w:sz w:val="17"/>
              </w:rPr>
              <w:t>7</w:t>
            </w:r>
          </w:p>
        </w:tc>
        <w:tc>
          <w:tcPr>
            <w:tcW w:type="dxa" w:w="4608"/>
          </w:tcPr>
          <w:p>
            <w:r/>
            <w:r>
              <w:rPr>
                <w:sz w:val="17"/>
              </w:rPr>
              <w:t>Synthetic only so far</w:t>
            </w:r>
          </w:p>
        </w:tc>
      </w:tr>
      <w:tr>
        <w:tc>
          <w:tcPr>
            <w:tcW w:type="dxa" w:w="4320"/>
          </w:tcPr>
          <w:p>
            <w:r/>
            <w:r>
              <w:rPr>
                <w:sz w:val="17"/>
              </w:rPr>
              <w:t>Ledger backup with a tested restore</w:t>
            </w:r>
          </w:p>
        </w:tc>
        <w:tc>
          <w:tcPr>
            <w:tcW w:type="dxa" w:w="864"/>
          </w:tcPr>
          <w:p>
            <w:r/>
            <w:r>
              <w:rPr>
                <w:sz w:val="17"/>
              </w:rPr>
              <w:t>8</w:t>
            </w:r>
          </w:p>
        </w:tc>
        <w:tc>
          <w:tcPr>
            <w:tcW w:type="dxa" w:w="4608"/>
          </w:tcPr>
          <w:p>
            <w:r/>
            <w:r>
              <w:rPr>
                <w:sz w:val="17"/>
              </w:rPr>
              <w:t>The one irreplaceable artifact</w:t>
            </w:r>
          </w:p>
        </w:tc>
      </w:tr>
    </w:tbl>
    <w:p>
      <w:pPr>
        <w:spacing w:after="4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