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G4-WATCH</w:t>
      </w:r>
    </w:p>
    <w:p>
      <w:pPr>
        <w:pStyle w:val="Heading1"/>
      </w:pPr>
      <w:r>
        <w:t>Open Questions and Ambiguities</w:t>
      </w:r>
    </w:p>
    <w:p>
      <w:pPr>
        <w:pStyle w:val="BlockText"/>
      </w:pPr>
      <w:r>
        <w:t>Status: Items requiring ICAR-NIVEDI scientific or technical confirmation</w:t>
        <w:br/>
        <w:t>Purpose: Each item states the question, the default assumption if it goes unanswered, and what breaks if the default is wrong</w:t>
        <w:br/>
        <w:t>Repository state: commit 17d6484 on main · 4 September 2026</w:t>
        <w:br/>
        <w:t>Provenance tags: [MEASURED] read from the repository at generation time · [EXTRACTED] from Concept Paper v2 / Research Framework · [ENGINEERING RECOMMENDATION] a design decision for this build.</w:t>
      </w:r>
    </w:p>
    <w:p>
      <w:pPr>
        <w:pStyle w:val="Heading2"/>
      </w:pPr>
      <w:r>
        <w:t>Classification</w:t>
      </w:r>
    </w:p>
    <w:p>
      <w:pPr>
        <w:pStyle w:val="FirstParagraph"/>
      </w:pPr>
      <w:r>
        <w:t>Each item is classified 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72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7920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🔴 Blocking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Cannot proceed to the relevant phase without an answer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🟡 Important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Affects design quality; can proceed on a documented assumption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🟢 Deferrable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Can be decided during implementation with low rework cost</w:t>
            </w:r>
          </w:p>
        </w:tc>
      </w:tr>
    </w:tbl>
    <w:p>
      <w:pPr>
        <w:spacing w:after="40"/>
      </w:pPr>
    </w:p>
    <w:p>
      <w:pPr>
        <w:pStyle w:val="Heading2"/>
      </w:pPr>
      <w:r>
        <w:t>1. Scientific Decisions</w:t>
      </w:r>
    </w:p>
    <w:p>
      <w:pPr>
        <w:pStyle w:val="Heading3"/>
      </w:pPr>
      <w:r>
        <w:t>Q1.1 🔴 Atlas structural-confidence thresholds</w:t>
      </w:r>
    </w:p>
    <w:p>
      <w:pPr>
        <w:pStyle w:val="FirstParagraph"/>
      </w:pPr>
      <w:r>
        <w:t>Question: the SC operating point (≥2 concordant tools, G4Hunter ≥1.5, conservation ≥85%) was carried forward from Revision 1 and has never been re-derived for this cross-species application. Should it be recalibrated by ROC against real data, and who signs off?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Why it is blocking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All four FMDV loci are WC under the current threshold, so no locus is scoring-eligible and no authoritative real-data score is possible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Keep the threshold; report that the FMDV Atlas cannot support scoring. This is a defensible negative finding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What must NOT happen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Lowering the threshold until loci appear. That would make the eligibility rule decorative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Who decides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A scientist, not an engineer. Phase 1 Step 1.2</w:t>
            </w:r>
          </w:p>
        </w:tc>
      </w:tr>
    </w:tbl>
    <w:p>
      <w:pPr>
        <w:spacing w:after="40"/>
      </w:pPr>
    </w:p>
    <w:p>
      <w:pPr>
        <w:pStyle w:val="Heading3"/>
      </w:pPr>
      <w:r>
        <w:t>Q1.2 🔴 Is the FMDV Atlas the right Atlas?</w:t>
      </w:r>
    </w:p>
    <w:p>
      <w:pPr>
        <w:pStyle w:val="FirstParagraph"/>
      </w:pPr>
      <w:r>
        <w:t>Question: the current Atlas was built by scanning a single reference genome (AY593823.1). Should it be rebuilt from the 840-genome alignment so conservation is measured rather than assumed?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Evidence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conservation_pct_phylo currently reads 18–44%, which is what you would expect from a single-genome scan with no phylogenetic input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Impact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A multi-genome Atlas is the most likely route to a genuinely SC locus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Rebuild from the alignment in Phase 1; it cannot make the Atlas worse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Cost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Low — scripts/python/build_atlas_fmdv_multigenome.py already exists</w:t>
            </w:r>
          </w:p>
        </w:tc>
      </w:tr>
    </w:tbl>
    <w:p>
      <w:pPr>
        <w:spacing w:after="40"/>
      </w:pPr>
    </w:p>
    <w:p>
      <w:pPr>
        <w:pStyle w:val="Heading3"/>
      </w:pPr>
      <w:r>
        <w:t>Q1.3 🟡 Serotype C exclusion</w:t>
      </w:r>
    </w:p>
    <w:p>
      <w:pPr>
        <w:pStyle w:val="FirstParagraph"/>
      </w:pPr>
      <w:r>
        <w:t>Question: FMDV serotype C has 8 genomes and has not circulated since 2004. Excluding it lets the remaining 839 genomes clear the per-lineage floor. Is that exclusion scientifically acceptable?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Argument for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A lineage that no longer circulates cannot be the subject of early warning, and carrying it blocks analysis of everything that does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Argument against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Any exclusion is a choice that changes what every downstream number means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Current handling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corpus.exclude_lineages in the config, unioned with any CLI flag, and recorded alongside the result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Do not exclude. Report INSUFFICIENT_DATA</w:t>
            </w:r>
          </w:p>
        </w:tc>
      </w:tr>
    </w:tbl>
    <w:p>
      <w:pPr>
        <w:spacing w:after="40"/>
      </w:pPr>
    </w:p>
    <w:p>
      <w:pPr>
        <w:pStyle w:val="Heading3"/>
      </w:pPr>
      <w:r>
        <w:t>Q1.4 🟡 Outcome definition</w:t>
      </w:r>
    </w:p>
    <w:p>
      <w:pPr>
        <w:pStyle w:val="FirstParagraph"/>
      </w:pPr>
      <w:r>
        <w:t>Question: an expansion is currently a ≥0.10 lineage frequency rise read 2 windows ahead. Are those the right values for livestock virus surveillance?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Why it matters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This single definition determines every label the model is fitted against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Known limitation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Frequency is sampling share, not incidence. A rise may reflect a sequencing campaign, not transmission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Keep 0.10 / t+2 and report the sensitivity analysis across both in Phase 7</w:t>
            </w:r>
          </w:p>
        </w:tc>
      </w:tr>
    </w:tbl>
    <w:p>
      <w:pPr>
        <w:spacing w:after="40"/>
      </w:pPr>
    </w:p>
    <w:p>
      <w:pPr>
        <w:pStyle w:val="Heading3"/>
      </w:pPr>
      <w:r>
        <w:t>Q1.5 🟡 What counts as a novel G4 gain</w:t>
      </w:r>
    </w:p>
    <w:p>
      <w:pPr>
        <w:pStyle w:val="FirstParagraph"/>
      </w:pPr>
      <w:r>
        <w:t>Question: G4G currently counts a genome as a carrier if G4Hunter predicts a hit absent from both the reference and the Atlas. On the real FMDV corpus that is 96% of genomes.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Observed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805 of 840 genomes carry a 'novel' prediction — the term is saturated and cannot discriminate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Likely cause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A single reference genome standing in for a diverse corpus makes ordinary variation look novel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Options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Define novelty against a corpus consensus rather than one reference; or raise the prediction threshold for gains; or drop G4G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Current handling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The annotator reports saturation explicitly rather than letting the term be fitted quietly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Report the saturation and exclude G4G from interpretation</w:t>
            </w:r>
          </w:p>
        </w:tc>
      </w:tr>
    </w:tbl>
    <w:p>
      <w:pPr>
        <w:spacing w:after="40"/>
      </w:pPr>
    </w:p>
    <w:p>
      <w:pPr>
        <w:pStyle w:val="Heading3"/>
      </w:pPr>
      <w:r>
        <w:t>Q1.6 🟢 Severity weighting of disruption</w:t>
      </w:r>
    </w:p>
    <w:p>
      <w:pPr>
        <w:pStyle w:val="FirstParagraph"/>
      </w:pPr>
      <w:r>
        <w:t>Question: Concept Paper §5.1 describes complete/partial/loop-only severity weighting. It is not implemented, because it needs a per-locus G-tetrad and loop-position breakdown that only exists for loci with two-tool concordance — and no FMDV locus has that.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Binary-plus-unknown classification, as now. Deferred until a concordant locus exists to test against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Rationale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Applying severity weights speculatively, without structural data to weight against, would add a free parameter with no evidence behind it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2. Data and Corpora</w:t>
      </w:r>
    </w:p>
    <w:p>
      <w:pPr>
        <w:pStyle w:val="Heading3"/>
      </w:pPr>
      <w:r>
        <w:t>Q2.1 🔴 Which pathogens, in what order?</w:t>
      </w:r>
    </w:p>
    <w:p>
      <w:pPr>
        <w:pStyle w:val="FirstParagraph"/>
      </w:pPr>
      <w:r>
        <w:t>Question: five configs exist. Only FMDV is provisioned. Which of LSDV, PPRV, NDV and CSFV should Phase 5 provision, and is public sequence data sufficient for each?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LSDV and PPRV, on the roadmap's assumption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Risk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LSDV is ~150 kb dsDNA — roughly an order of magnitude more compute per genome than FMDV. HPC time must be reserved before starting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Precondition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Each needs a reference accession, CDS bounds read from the GenBank record, and a lineage field that public metadata actually populates</w:t>
            </w:r>
          </w:p>
        </w:tc>
      </w:tr>
    </w:tbl>
    <w:p>
      <w:pPr>
        <w:spacing w:after="40"/>
      </w:pPr>
    </w:p>
    <w:p>
      <w:pPr>
        <w:pStyle w:val="Heading3"/>
      </w:pPr>
      <w:r>
        <w:t>Q2.2 🟡 Metadata quality floor</w:t>
      </w:r>
    </w:p>
    <w:p>
      <w:pPr>
        <w:pStyle w:val="FirstParagraph"/>
      </w:pPr>
      <w:r>
        <w:t>Question: the Appendix C floor requires ≥90% metadata completeness. Public livestock virus metadata is frequently worse than that. Is the floor negotiable per pathogen?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Current answer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No. The floor is deliberately not configurable, so it cannot be bypassed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Consequence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Some pathogens will never clear it and will report INSUFFICIENT_DATA permanently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Keep the floor. Report INSUFFICIENT_DATA as a result</w:t>
            </w:r>
          </w:p>
        </w:tc>
      </w:tr>
    </w:tbl>
    <w:p>
      <w:pPr>
        <w:spacing w:after="40"/>
      </w:pPr>
    </w:p>
    <w:p>
      <w:pPr>
        <w:pStyle w:val="Heading3"/>
      </w:pPr>
      <w:r>
        <w:t>Q2.3 🟢 Corpus refresh cadence</w:t>
      </w:r>
    </w:p>
    <w:p>
      <w:pPr>
        <w:pStyle w:val="FirstParagraph"/>
      </w:pPr>
      <w:r>
        <w:t>Question: how often should corpora be re-fetched from NCBI, and does a refresh invalidate a recorded D.H1 verdict?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Design already in place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The gate takes the LATEST ledger row per (pathogen, locus), so a later run downgrading a verdict correctly closes the gate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Quarterly refresh; every refresh re-runs D.H1 and appends</w:t>
            </w:r>
          </w:p>
        </w:tc>
      </w:tr>
    </w:tbl>
    <w:p>
      <w:pPr>
        <w:spacing w:after="40"/>
      </w:pPr>
    </w:p>
    <w:p>
      <w:pPr>
        <w:pStyle w:val="Heading2"/>
      </w:pPr>
      <w:r>
        <w:t>3. Infrastructure and Deployment</w:t>
      </w:r>
    </w:p>
    <w:p>
      <w:pPr>
        <w:pStyle w:val="Heading3"/>
      </w:pPr>
      <w:r>
        <w:t>Q3.1 🔴 Deployment target</w:t>
      </w:r>
    </w:p>
    <w:p>
      <w:pPr>
        <w:pStyle w:val="FirstParagraph"/>
      </w:pPr>
      <w:r>
        <w:t>Question: where does the read-only service run, and who administers it?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Institutional VPN-only staging; no public deployment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Hard constraint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The operator console runs subprocesses and has no authentication. It binds 127.0.0.1 and must never be exposed. Only web.backend is publishable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Blocking for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Phase 4 and Phase 8</w:t>
            </w:r>
          </w:p>
        </w:tc>
      </w:tr>
    </w:tbl>
    <w:p>
      <w:pPr>
        <w:spacing w:after="40"/>
      </w:pPr>
    </w:p>
    <w:p>
      <w:pPr>
        <w:pStyle w:val="Heading3"/>
      </w:pPr>
      <w:r>
        <w:t>Q3.2 🟡 Authentication mechanism</w:t>
      </w:r>
    </w:p>
    <w:p>
      <w:pPr>
        <w:pStyle w:val="FirstParagraph"/>
      </w:pPr>
      <w:r>
        <w:t>Question: what identity system should the read-only service use? The default backend is OpenAccessBackend, which is no authentication at 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Options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Institutional SSO / LDAP · a LocalUserBackend (already stubbed) · IP allowlist at the proxy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LocalUserBackend plus proxy IP allowlist, VPN only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Blocking for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Phase 4</w:t>
            </w:r>
          </w:p>
        </w:tc>
      </w:tr>
    </w:tbl>
    <w:p>
      <w:pPr>
        <w:spacing w:after="40"/>
      </w:pPr>
    </w:p>
    <w:p>
      <w:pPr>
        <w:pStyle w:val="Heading3"/>
      </w:pPr>
      <w:r>
        <w:t>Q3.3 🟡 HPC availability</w:t>
      </w:r>
    </w:p>
    <w:p>
      <w:pPr>
        <w:pStyle w:val="FirstParagraph"/>
      </w:pPr>
      <w:r>
        <w:t>Question: is a SLURM cluster available, with what queue limits and what wall-clock ceiling?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Single workstation, local executor. Sufficient for FMDV; not for LSDV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Profiles already present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slurm, awsbatch, singularity</w:t>
            </w:r>
          </w:p>
        </w:tc>
      </w:tr>
    </w:tbl>
    <w:p>
      <w:pPr>
        <w:spacing w:after="40"/>
      </w:pPr>
    </w:p>
    <w:p>
      <w:pPr>
        <w:pStyle w:val="Heading3"/>
      </w:pPr>
      <w:r>
        <w:t>Q3.4 🟢 Storage and backup</w:t>
      </w:r>
    </w:p>
    <w:p>
      <w:pPr>
        <w:pStyle w:val="FirstParagraph"/>
      </w:pPr>
      <w:r>
        <w:t>Question: where does the artifact volume live, and where is the ledger backed up?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Measured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116M data today, of which the ledger is kilobytes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Requirement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The ledger must be backed up independently of regenerable artifacts, and a restore must never silently rewrite history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Institutional file share plus the git repository for the ledger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Validation and Publication</w:t>
      </w:r>
    </w:p>
    <w:p>
      <w:pPr>
        <w:pStyle w:val="Heading3"/>
      </w:pPr>
      <w:r>
        <w:t>Q4.1 🔴 What happens if the score does not discriminate?</w:t>
      </w:r>
    </w:p>
    <w:p>
      <w:pPr>
        <w:pStyle w:val="FirstParagraph"/>
      </w:pPr>
      <w:r>
        <w:t>Question: Phase 7 is designed to be able to return a negative. Is the team prepared to publish a negative result?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Why it must be settled in advance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A validation whose acceptable outcomes are decided after seeing the result is not a validation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Publish the negative. The framework's value is the method and the gate, not a guaranteed positive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Design support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The gate and the three-verdict vocabulary already make a null reportable rather than embarrassing</w:t>
            </w:r>
          </w:p>
        </w:tc>
      </w:tr>
    </w:tbl>
    <w:p>
      <w:pPr>
        <w:spacing w:after="40"/>
      </w:pPr>
    </w:p>
    <w:p>
      <w:pPr>
        <w:pStyle w:val="Heading3"/>
      </w:pPr>
      <w:r>
        <w:t>Q4.2 🟡 Benchmark and comparison</w:t>
      </w:r>
    </w:p>
    <w:p>
      <w:pPr>
        <w:pStyle w:val="FirstParagraph"/>
      </w:pPr>
      <w:r>
        <w:t>Question: is there an external dataset with known lineage-expansion events against which the score can be benchmarked, and what is the comparator method?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Current comparator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M2 — the conventional-terms-only model. That is an internal baseline, not an external one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Report M4 vs M2 only, and state plainly that no external benchmark was used</w:t>
            </w:r>
          </w:p>
        </w:tc>
      </w:tr>
    </w:tbl>
    <w:p>
      <w:pPr>
        <w:spacing w:after="40"/>
      </w:pPr>
    </w:p>
    <w:p>
      <w:pPr>
        <w:pStyle w:val="Heading3"/>
      </w:pPr>
      <w:r>
        <w:t>Q4.3 🟢 Publication and resource mapping</w:t>
      </w:r>
    </w:p>
    <w:p>
      <w:pPr>
        <w:pStyle w:val="FirstParagraph"/>
      </w:pPr>
      <w:r>
        <w:t>Question: is the G4 Reference Atlas intended to become a citable public resource, and if so under what versioning and licence?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Design support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Atlas records already carry atlas_version, evidence_note and two-axis confidence, which is what a public resource needs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Internal versioned artifact; not published</w:t>
            </w:r>
          </w:p>
        </w:tc>
      </w:tr>
    </w:tbl>
    <w:p>
      <w:pPr>
        <w:spacing w:after="40"/>
      </w:pPr>
    </w:p>
    <w:p>
      <w:pPr>
        <w:pStyle w:val="Heading2"/>
      </w:pPr>
      <w:r>
        <w:t>5. Team and Process</w:t>
      </w:r>
    </w:p>
    <w:p>
      <w:pPr>
        <w:pStyle w:val="Heading3"/>
      </w:pPr>
      <w:r>
        <w:t>Q5.1 🟡 Who owns the scientific thresholds?</w:t>
      </w:r>
    </w:p>
    <w:p>
      <w:pPr>
        <w:pStyle w:val="FirstParagraph"/>
      </w:pPr>
      <w:r>
        <w:t>Question: several parameters are scientific decisions living in config. Who is authorised to change them, and does a change require re-running D.H1?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Affected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SC eligibility, G4Hunter window/threshold, outcome threshold and horizon, window width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Any change to these requires a documented revision-log entry and a re-run; the ledger will record the new verdict</w:t>
            </w:r>
          </w:p>
        </w:tc>
      </w:tr>
    </w:tbl>
    <w:p>
      <w:pPr>
        <w:spacing w:after="40"/>
      </w:pPr>
    </w:p>
    <w:p>
      <w:pPr>
        <w:pStyle w:val="Heading3"/>
      </w:pPr>
      <w:r>
        <w:t>Q5.2 🟢 Team size and review cadence</w:t>
      </w:r>
    </w:p>
    <w:p>
      <w:pPr>
        <w:pStyle w:val="FirstParagraph"/>
      </w:pPr>
      <w:r>
        <w:t>Question: how many engineers, and is there a scientific reviewer for gate-related changes?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Default if unanswered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One engineer; scientific review required for any change touching validation/ or the Appendix C floor</w:t>
            </w:r>
          </w:p>
        </w:tc>
      </w:tr>
    </w:tbl>
    <w:p>
      <w:pPr>
        <w:spacing w:after="40"/>
      </w:pPr>
    </w:p>
    <w:p>
      <w:pPr>
        <w:pStyle w:val="Heading2"/>
      </w:pPr>
      <w:r>
        <w:t>Summary: Blocking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720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312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296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Blocks</w:t>
            </w:r>
          </w:p>
        </w:tc>
        <w:tc>
          <w:tcPr>
            <w:tcW w:type="dxa" w:w="446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Default if unanswered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Q1.1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Atlas structural-confidence thresholds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Phase 1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Keep the threshold; report a documented negative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Q1.2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Rebuild the Atlas from the alignment?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Phase 1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Rebuild; it cannot make the Atlas worse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Q2.1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Which pathogens, in what order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Phase 5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LSDV and PPRV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Q3.1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Deployment target and administrator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Phases 4, 8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VPN-only staging; no public deployment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Q4.1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Willingness to publish a negative result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Phase 7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Publish it</w:t>
            </w:r>
          </w:p>
        </w:tc>
      </w:tr>
    </w:tbl>
    <w:p>
      <w:pPr>
        <w:spacing w:after="40"/>
      </w:pPr>
    </w:p>
    <w:p>
      <w:pPr>
        <w:spacing w:before="140" w:after="180"/>
        <w:ind w:left="173"/>
        <w:pBdr>
          <w:left w:val="single" w:sz="18" w:color="C53030"/>
        </w:pBdr>
      </w:pPr>
      <w:r>
        <w:rPr>
          <w:b/>
          <w:color w:val="C53030"/>
          <w:sz w:val="17"/>
        </w:rPr>
        <w:t xml:space="preserve">THE SHORTEST USEFUL SUMMARY  </w:t>
      </w:r>
      <w:r>
        <w:rPr>
          <w:sz w:val="18"/>
        </w:rPr>
        <w:t>Four of the five blocking items are scientific, not technical. The engineering is ahead of the science in one specific place: the machinery to score a corpus is complete and tested, while the Atlas that would feed it does not yet contain a locus strong enough to qualify. That gap closes by improving the Atlas or by accepting a negative — never by relaxing the rule that created it.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B6CB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55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120"/>
    </w:pPr>
    <w:rPr>
      <w:sz w:val="20"/>
    </w:rPr>
  </w:style>
  <w:style w:type="paragraph" w:customStyle="1" w:styleId="BlockText">
    <w:name w:val="Block Text"/>
    <w:basedOn w:val="Normal"/>
    <w:pPr>
      <w:spacing w:before="120" w:after="200"/>
      <w:ind w:left="216"/>
    </w:pPr>
    <w:rPr>
      <w:color w:val="4A5568"/>
      <w:sz w:val="18"/>
    </w:rPr>
  </w:style>
  <w:style w:type="paragraph" w:customStyle="1" w:styleId="SourceCode">
    <w:name w:val="Source Code"/>
    <w:basedOn w:val="Normal"/>
    <w:pPr>
      <w:spacing w:before="80" w:after="160"/>
      <w:ind w:left="144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