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Phase 1 Finding — Atlas Eligibility</w:t>
      </w:r>
    </w:p>
    <w:p>
      <w:pPr>
        <w:pStyle w:val="BlockText"/>
      </w:pPr>
      <w:r>
        <w:t>Status: Complete. Outcome: two defects fixed; a documented negative for FMDV</w:t>
        <w:br/>
        <w:t>Purpose: Whether the FMDV G4 Reference Atlas can support authoritative surveillance scoring, and if not, why — with the evidence for each barrier</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1. Result</w:t>
      </w:r>
    </w:p>
    <w:p>
      <w:pPr>
        <w:spacing w:before="140" w:after="180"/>
        <w:ind w:left="173"/>
        <w:pBdr>
          <w:left w:val="single" w:sz="18" w:color="C53030"/>
        </w:pBdr>
      </w:pPr>
      <w:r>
        <w:rPr>
          <w:b/>
          <w:color w:val="C53030"/>
          <w:sz w:val="17"/>
        </w:rPr>
        <w:t xml:space="preserve">BOTTOM LINE  </w:t>
      </w:r>
      <w:r>
        <w:rPr>
          <w:sz w:val="18"/>
        </w:rPr>
        <w:t>No FMDV Atlas locus can reach SC eligibility, and this cannot be fixed by better Atlas construction. Three independent barriers each disqualify every locus on their own. Two genuine software defects were found and fixed along the way; neither changes the FMDV outcome, but both would have silently corrupted every future pathogen.</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B2A4A"/>
          </w:tcPr>
          <w:p>
            <w:r/>
            <w:r>
              <w:rPr>
                <w:b/>
                <w:color w:val="FFFFFF"/>
                <w:sz w:val="17"/>
              </w:rPr>
              <w:t>Step</w:t>
            </w:r>
          </w:p>
        </w:tc>
        <w:tc>
          <w:tcPr>
            <w:tcW w:type="dxa" w:w="3024"/>
            <w:shd w:val="clear" w:fill="1B2A4A"/>
          </w:tcPr>
          <w:p>
            <w:r/>
            <w:r>
              <w:rPr>
                <w:b/>
                <w:color w:val="FFFFFF"/>
                <w:sz w:val="17"/>
              </w:rPr>
              <w:t>Planned</w:t>
            </w:r>
          </w:p>
        </w:tc>
        <w:tc>
          <w:tcPr>
            <w:tcW w:type="dxa" w:w="4896"/>
            <w:shd w:val="clear" w:fill="1B2A4A"/>
          </w:tcPr>
          <w:p>
            <w:r/>
            <w:r>
              <w:rPr>
                <w:b/>
                <w:color w:val="FFFFFF"/>
                <w:sz w:val="17"/>
              </w:rPr>
              <w:t>Outcome</w:t>
            </w:r>
          </w:p>
        </w:tc>
      </w:tr>
      <w:tr>
        <w:tc>
          <w:tcPr>
            <w:tcW w:type="dxa" w:w="1872"/>
          </w:tcPr>
          <w:p>
            <w:r/>
            <w:r>
              <w:rPr>
                <w:sz w:val="17"/>
              </w:rPr>
              <w:t>1.1 Multi-genome Atlas</w:t>
            </w:r>
          </w:p>
        </w:tc>
        <w:tc>
          <w:tcPr>
            <w:tcW w:type="dxa" w:w="3024"/>
          </w:tcPr>
          <w:p>
            <w:r/>
            <w:r>
              <w:rPr>
                <w:sz w:val="17"/>
              </w:rPr>
              <w:t>Rebuild from the aligned corpus rather than one reference</w:t>
            </w:r>
          </w:p>
        </w:tc>
        <w:tc>
          <w:tcPr>
            <w:tcW w:type="dxa" w:w="4896"/>
          </w:tcPr>
          <w:p>
            <w:r/>
            <w:r>
              <w:rPr>
                <w:sz w:val="17"/>
              </w:rPr>
              <w:t>ALREADY DONE — the Atlas already carries cross-genome support across 8 curated genomes and phylogenetically-corrected conservation</w:t>
            </w:r>
          </w:p>
        </w:tc>
      </w:tr>
      <w:tr>
        <w:tc>
          <w:tcPr>
            <w:tcW w:type="dxa" w:w="1872"/>
          </w:tcPr>
          <w:p>
            <w:r/>
            <w:r>
              <w:rPr>
                <w:sz w:val="17"/>
              </w:rPr>
              <w:t>1.1b Second-tool concordance</w:t>
            </w:r>
          </w:p>
        </w:tc>
        <w:tc>
          <w:tcPr>
            <w:tcW w:type="dxa" w:w="3024"/>
          </w:tcPr>
          <w:p>
            <w:r/>
            <w:r>
              <w:rPr>
                <w:sz w:val="17"/>
              </w:rPr>
              <w:t>Run pattern-motif alongside G4Hunter</w:t>
            </w:r>
          </w:p>
        </w:tc>
        <w:tc>
          <w:tcPr>
            <w:tcW w:type="dxa" w:w="4896"/>
          </w:tcPr>
          <w:p>
            <w:r/>
            <w:r>
              <w:rPr>
                <w:sz w:val="17"/>
              </w:rPr>
              <w:t>DEFECT FOUND AND FIXED — the detector scanned only one strand. Fixed; FMDV still yields zero hits</w:t>
            </w:r>
          </w:p>
        </w:tc>
      </w:tr>
      <w:tr>
        <w:tc>
          <w:tcPr>
            <w:tcW w:type="dxa" w:w="1872"/>
          </w:tcPr>
          <w:p>
            <w:r/>
            <w:r>
              <w:rPr>
                <w:sz w:val="17"/>
              </w:rPr>
              <w:t>1.2 Threshold recalibration</w:t>
            </w:r>
          </w:p>
        </w:tc>
        <w:tc>
          <w:tcPr>
            <w:tcW w:type="dxa" w:w="3024"/>
          </w:tcPr>
          <w:p>
            <w:r/>
            <w:r>
              <w:rPr>
                <w:sz w:val="17"/>
              </w:rPr>
              <w:t>ROC against real data</w:t>
            </w:r>
          </w:p>
        </w:tc>
        <w:tc>
          <w:tcPr>
            <w:tcW w:type="dxa" w:w="4896"/>
          </w:tcPr>
          <w:p>
            <w:r/>
            <w:r>
              <w:rPr>
                <w:sz w:val="17"/>
              </w:rPr>
              <w:t>NOT REACHED — barred by the finding below; recalibration cannot rescue a locus that fails on three axes</w:t>
            </w:r>
          </w:p>
        </w:tc>
      </w:tr>
      <w:tr>
        <w:tc>
          <w:tcPr>
            <w:tcW w:type="dxa" w:w="1872"/>
          </w:tcPr>
          <w:p>
            <w:r/>
            <w:r>
              <w:rPr>
                <w:sz w:val="17"/>
              </w:rPr>
              <w:t>1.3 Exit criteria</w:t>
            </w:r>
          </w:p>
        </w:tc>
        <w:tc>
          <w:tcPr>
            <w:tcW w:type="dxa" w:w="3024"/>
          </w:tcPr>
          <w:p>
            <w:r/>
            <w:r>
              <w:rPr>
                <w:sz w:val="17"/>
              </w:rPr>
              <w:t>An authoritative scored run, OR a documented negative</w:t>
            </w:r>
          </w:p>
        </w:tc>
        <w:tc>
          <w:tcPr>
            <w:tcW w:type="dxa" w:w="4896"/>
          </w:tcPr>
          <w:p>
            <w:r/>
            <w:r>
              <w:rPr>
                <w:sz w:val="17"/>
              </w:rPr>
              <w:t>DOCUMENTED NEGATIVE — this document</w:t>
            </w:r>
          </w:p>
        </w:tc>
      </w:tr>
    </w:tbl>
    <w:p>
      <w:pPr>
        <w:spacing w:after="40"/>
      </w:pPr>
    </w:p>
    <w:p>
      <w:pPr>
        <w:pStyle w:val="Heading2"/>
      </w:pPr>
      <w:r>
        <w:t>2. The Three Barriers</w:t>
      </w:r>
    </w:p>
    <w:p>
      <w:pPr>
        <w:pStyle w:val="FirstParagraph"/>
      </w:pPr>
      <w:r>
        <w:t>[MEASURED] Each is independently disqualifying. All four loci fail all three.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584"/>
            <w:shd w:val="clear" w:fill="1B2A4A"/>
          </w:tcPr>
          <w:p>
            <w:r/>
            <w:r>
              <w:rPr>
                <w:b/>
                <w:color w:val="FFFFFF"/>
                <w:sz w:val="17"/>
              </w:rPr>
              <w:t>Locus</w:t>
            </w:r>
          </w:p>
        </w:tc>
        <w:tc>
          <w:tcPr>
            <w:tcW w:type="dxa" w:w="1440"/>
            <w:shd w:val="clear" w:fill="1B2A4A"/>
          </w:tcPr>
          <w:p>
            <w:r/>
            <w:r>
              <w:rPr>
                <w:b/>
                <w:color w:val="FFFFFF"/>
                <w:sz w:val="17"/>
              </w:rPr>
              <w:t>Span</w:t>
            </w:r>
          </w:p>
        </w:tc>
        <w:tc>
          <w:tcPr>
            <w:tcW w:type="dxa" w:w="864"/>
            <w:shd w:val="clear" w:fill="1B2A4A"/>
          </w:tcPr>
          <w:p>
            <w:r/>
            <w:r>
              <w:rPr>
                <w:b/>
                <w:color w:val="FFFFFF"/>
                <w:sz w:val="17"/>
              </w:rPr>
              <w:t>Strand</w:t>
            </w:r>
          </w:p>
        </w:tc>
        <w:tc>
          <w:tcPr>
            <w:tcW w:type="dxa" w:w="1440"/>
            <w:shd w:val="clear" w:fill="1B2A4A"/>
          </w:tcPr>
          <w:p>
            <w:r/>
            <w:r>
              <w:rPr>
                <w:b/>
                <w:color w:val="FFFFFF"/>
                <w:sz w:val="17"/>
              </w:rPr>
              <w:t>|G4Hunter|</w:t>
            </w:r>
          </w:p>
        </w:tc>
        <w:tc>
          <w:tcPr>
            <w:tcW w:type="dxa" w:w="720"/>
            <w:shd w:val="clear" w:fill="1B2A4A"/>
          </w:tcPr>
          <w:p>
            <w:r/>
            <w:r>
              <w:rPr>
                <w:b/>
                <w:color w:val="FFFFFF"/>
                <w:sz w:val="17"/>
              </w:rPr>
              <w:t>Tools</w:t>
            </w:r>
          </w:p>
        </w:tc>
        <w:tc>
          <w:tcPr>
            <w:tcW w:type="dxa" w:w="1728"/>
            <w:shd w:val="clear" w:fill="1B2A4A"/>
          </w:tcPr>
          <w:p>
            <w:r/>
            <w:r>
              <w:rPr>
                <w:b/>
                <w:color w:val="FFFFFF"/>
                <w:sz w:val="17"/>
              </w:rPr>
              <w:t>Conservation</w:t>
            </w:r>
          </w:p>
        </w:tc>
        <w:tc>
          <w:tcPr>
            <w:tcW w:type="dxa" w:w="864"/>
            <w:shd w:val="clear" w:fill="1B2A4A"/>
          </w:tcPr>
          <w:p>
            <w:r/>
            <w:r>
              <w:rPr>
                <w:b/>
                <w:color w:val="FFFFFF"/>
                <w:sz w:val="17"/>
              </w:rPr>
              <w:t>Class</w:t>
            </w:r>
          </w:p>
        </w:tc>
      </w:tr>
      <w:tr>
        <w:tc>
          <w:tcPr>
            <w:tcW w:type="dxa" w:w="1584"/>
          </w:tcPr>
          <w:p>
            <w:r/>
            <w:r>
              <w:rPr>
                <w:sz w:val="17"/>
              </w:rPr>
              <w:t>FMDV-G4-001</w:t>
            </w:r>
          </w:p>
        </w:tc>
        <w:tc>
          <w:tcPr>
            <w:tcW w:type="dxa" w:w="1440"/>
          </w:tcPr>
          <w:p>
            <w:r/>
            <w:r>
              <w:rPr>
                <w:sz w:val="17"/>
              </w:rPr>
              <w:t>348–399</w:t>
            </w:r>
          </w:p>
        </w:tc>
        <w:tc>
          <w:tcPr>
            <w:tcW w:type="dxa" w:w="864"/>
          </w:tcPr>
          <w:p>
            <w:r/>
            <w:r>
              <w:rPr>
                <w:sz w:val="17"/>
              </w:rPr>
              <w:t>−</w:t>
            </w:r>
          </w:p>
        </w:tc>
        <w:tc>
          <w:tcPr>
            <w:tcW w:type="dxa" w:w="1440"/>
          </w:tcPr>
          <w:p>
            <w:r/>
            <w:r>
              <w:rPr>
                <w:sz w:val="17"/>
              </w:rPr>
              <w:t>1.327</w:t>
            </w:r>
          </w:p>
        </w:tc>
        <w:tc>
          <w:tcPr>
            <w:tcW w:type="dxa" w:w="720"/>
          </w:tcPr>
          <w:p>
            <w:r/>
            <w:r>
              <w:rPr>
                <w:sz w:val="17"/>
              </w:rPr>
              <w:t>1</w:t>
            </w:r>
          </w:p>
        </w:tc>
        <w:tc>
          <w:tcPr>
            <w:tcW w:type="dxa" w:w="1728"/>
          </w:tcPr>
          <w:p>
            <w:r/>
            <w:r>
              <w:rPr>
                <w:sz w:val="17"/>
              </w:rPr>
              <w:t>18.18%</w:t>
            </w:r>
          </w:p>
        </w:tc>
        <w:tc>
          <w:tcPr>
            <w:tcW w:type="dxa" w:w="864"/>
          </w:tcPr>
          <w:p>
            <w:r/>
            <w:r>
              <w:rPr>
                <w:sz w:val="17"/>
              </w:rPr>
              <w:t>WC</w:t>
            </w:r>
          </w:p>
        </w:tc>
      </w:tr>
      <w:tr>
        <w:tc>
          <w:tcPr>
            <w:tcW w:type="dxa" w:w="1584"/>
          </w:tcPr>
          <w:p>
            <w:r/>
            <w:r>
              <w:rPr>
                <w:sz w:val="17"/>
              </w:rPr>
              <w:t>FMDV-G4-002</w:t>
            </w:r>
          </w:p>
        </w:tc>
        <w:tc>
          <w:tcPr>
            <w:tcW w:type="dxa" w:w="1440"/>
          </w:tcPr>
          <w:p>
            <w:r/>
            <w:r>
              <w:rPr>
                <w:sz w:val="17"/>
              </w:rPr>
              <w:t>983–1023</w:t>
            </w:r>
          </w:p>
        </w:tc>
        <w:tc>
          <w:tcPr>
            <w:tcW w:type="dxa" w:w="864"/>
          </w:tcPr>
          <w:p>
            <w:r/>
            <w:r>
              <w:rPr>
                <w:sz w:val="17"/>
              </w:rPr>
              <w:t>+</w:t>
            </w:r>
          </w:p>
        </w:tc>
        <w:tc>
          <w:tcPr>
            <w:tcW w:type="dxa" w:w="1440"/>
          </w:tcPr>
          <w:p>
            <w:r/>
            <w:r>
              <w:rPr>
                <w:sz w:val="17"/>
              </w:rPr>
              <w:t>0.951</w:t>
            </w:r>
          </w:p>
        </w:tc>
        <w:tc>
          <w:tcPr>
            <w:tcW w:type="dxa" w:w="720"/>
          </w:tcPr>
          <w:p>
            <w:r/>
            <w:r>
              <w:rPr>
                <w:sz w:val="17"/>
              </w:rPr>
              <w:t>1</w:t>
            </w:r>
          </w:p>
        </w:tc>
        <w:tc>
          <w:tcPr>
            <w:tcW w:type="dxa" w:w="1728"/>
          </w:tcPr>
          <w:p>
            <w:r/>
            <w:r>
              <w:rPr>
                <w:sz w:val="17"/>
              </w:rPr>
              <w:t>41.67%</w:t>
            </w:r>
          </w:p>
        </w:tc>
        <w:tc>
          <w:tcPr>
            <w:tcW w:type="dxa" w:w="864"/>
          </w:tcPr>
          <w:p>
            <w:r/>
            <w:r>
              <w:rPr>
                <w:sz w:val="17"/>
              </w:rPr>
              <w:t>WC</w:t>
            </w:r>
          </w:p>
        </w:tc>
      </w:tr>
      <w:tr>
        <w:tc>
          <w:tcPr>
            <w:tcW w:type="dxa" w:w="1584"/>
          </w:tcPr>
          <w:p>
            <w:r/>
            <w:r>
              <w:rPr>
                <w:sz w:val="17"/>
              </w:rPr>
              <w:t>FMDV-G4-003</w:t>
            </w:r>
          </w:p>
        </w:tc>
        <w:tc>
          <w:tcPr>
            <w:tcW w:type="dxa" w:w="1440"/>
          </w:tcPr>
          <w:p>
            <w:r/>
            <w:r>
              <w:rPr>
                <w:sz w:val="17"/>
              </w:rPr>
              <w:t>2692–2724</w:t>
            </w:r>
          </w:p>
        </w:tc>
        <w:tc>
          <w:tcPr>
            <w:tcW w:type="dxa" w:w="864"/>
          </w:tcPr>
          <w:p>
            <w:r/>
            <w:r>
              <w:rPr>
                <w:sz w:val="17"/>
              </w:rPr>
              <w:t>−</w:t>
            </w:r>
          </w:p>
        </w:tc>
        <w:tc>
          <w:tcPr>
            <w:tcW w:type="dxa" w:w="1440"/>
          </w:tcPr>
          <w:p>
            <w:r/>
            <w:r>
              <w:rPr>
                <w:sz w:val="17"/>
              </w:rPr>
              <w:t>0.879</w:t>
            </w:r>
          </w:p>
        </w:tc>
        <w:tc>
          <w:tcPr>
            <w:tcW w:type="dxa" w:w="720"/>
          </w:tcPr>
          <w:p>
            <w:r/>
            <w:r>
              <w:rPr>
                <w:sz w:val="17"/>
              </w:rPr>
              <w:t>1</w:t>
            </w:r>
          </w:p>
        </w:tc>
        <w:tc>
          <w:tcPr>
            <w:tcW w:type="dxa" w:w="1728"/>
          </w:tcPr>
          <w:p>
            <w:r/>
            <w:r>
              <w:rPr>
                <w:sz w:val="17"/>
              </w:rPr>
              <w:t>44.44%</w:t>
            </w:r>
          </w:p>
        </w:tc>
        <w:tc>
          <w:tcPr>
            <w:tcW w:type="dxa" w:w="864"/>
          </w:tcPr>
          <w:p>
            <w:r/>
            <w:r>
              <w:rPr>
                <w:sz w:val="17"/>
              </w:rPr>
              <w:t>WC</w:t>
            </w:r>
          </w:p>
        </w:tc>
      </w:tr>
      <w:tr>
        <w:tc>
          <w:tcPr>
            <w:tcW w:type="dxa" w:w="1584"/>
          </w:tcPr>
          <w:p>
            <w:r/>
            <w:r>
              <w:rPr>
                <w:sz w:val="17"/>
              </w:rPr>
              <w:t>FMDV-G4-004</w:t>
            </w:r>
          </w:p>
        </w:tc>
        <w:tc>
          <w:tcPr>
            <w:tcW w:type="dxa" w:w="1440"/>
          </w:tcPr>
          <w:p>
            <w:r/>
            <w:r>
              <w:rPr>
                <w:sz w:val="17"/>
              </w:rPr>
              <w:t>4313–4337</w:t>
            </w:r>
          </w:p>
        </w:tc>
        <w:tc>
          <w:tcPr>
            <w:tcW w:type="dxa" w:w="864"/>
          </w:tcPr>
          <w:p>
            <w:r/>
            <w:r>
              <w:rPr>
                <w:sz w:val="17"/>
              </w:rPr>
              <w:t>−</w:t>
            </w:r>
          </w:p>
        </w:tc>
        <w:tc>
          <w:tcPr>
            <w:tcW w:type="dxa" w:w="1440"/>
          </w:tcPr>
          <w:p>
            <w:r/>
            <w:r>
              <w:rPr>
                <w:sz w:val="17"/>
              </w:rPr>
              <w:t>1.280</w:t>
            </w:r>
          </w:p>
        </w:tc>
        <w:tc>
          <w:tcPr>
            <w:tcW w:type="dxa" w:w="720"/>
          </w:tcPr>
          <w:p>
            <w:r/>
            <w:r>
              <w:rPr>
                <w:sz w:val="17"/>
              </w:rPr>
              <w:t>1</w:t>
            </w:r>
          </w:p>
        </w:tc>
        <w:tc>
          <w:tcPr>
            <w:tcW w:type="dxa" w:w="1728"/>
          </w:tcPr>
          <w:p>
            <w:r/>
            <w:r>
              <w:rPr>
                <w:sz w:val="17"/>
              </w:rPr>
              <w:t>37.50%</w:t>
            </w:r>
          </w:p>
        </w:tc>
        <w:tc>
          <w:tcPr>
            <w:tcW w:type="dxa" w:w="864"/>
          </w:tcPr>
          <w:p>
            <w:r/>
            <w:r>
              <w:rPr>
                <w:sz w:val="17"/>
              </w:rPr>
              <w:t>WC</w:t>
            </w:r>
          </w:p>
        </w:tc>
      </w:tr>
      <w:tr>
        <w:tc>
          <w:tcPr>
            <w:tcW w:type="dxa" w:w="1584"/>
          </w:tcPr>
          <w:p>
            <w:r/>
            <w:r>
              <w:rPr>
                <w:sz w:val="17"/>
              </w:rPr>
              <w:t>SC requires</w:t>
            </w:r>
          </w:p>
        </w:tc>
        <w:tc>
          <w:tcPr>
            <w:tcW w:type="dxa" w:w="1440"/>
          </w:tcPr>
          <w:p>
            <w:r/>
            <w:r>
              <w:rPr>
                <w:sz w:val="17"/>
              </w:rPr>
              <w:t>—</w:t>
            </w:r>
          </w:p>
        </w:tc>
        <w:tc>
          <w:tcPr>
            <w:tcW w:type="dxa" w:w="864"/>
          </w:tcPr>
          <w:p>
            <w:r/>
            <w:r>
              <w:rPr>
                <w:sz w:val="17"/>
              </w:rPr>
              <w:t>—</w:t>
            </w:r>
          </w:p>
        </w:tc>
        <w:tc>
          <w:tcPr>
            <w:tcW w:type="dxa" w:w="1440"/>
          </w:tcPr>
          <w:p>
            <w:r/>
            <w:r>
              <w:rPr>
                <w:sz w:val="17"/>
              </w:rPr>
              <w:t>≥ 1.5</w:t>
            </w:r>
          </w:p>
        </w:tc>
        <w:tc>
          <w:tcPr>
            <w:tcW w:type="dxa" w:w="720"/>
          </w:tcPr>
          <w:p>
            <w:r/>
            <w:r>
              <w:rPr>
                <w:sz w:val="17"/>
              </w:rPr>
              <w:t>≥ 2</w:t>
            </w:r>
          </w:p>
        </w:tc>
        <w:tc>
          <w:tcPr>
            <w:tcW w:type="dxa" w:w="1728"/>
          </w:tcPr>
          <w:p>
            <w:r/>
            <w:r>
              <w:rPr>
                <w:sz w:val="17"/>
              </w:rPr>
              <w:t>≥ 85%</w:t>
            </w:r>
          </w:p>
        </w:tc>
        <w:tc>
          <w:tcPr>
            <w:tcW w:type="dxa" w:w="864"/>
          </w:tcPr>
          <w:p>
            <w:r/>
            <w:r>
              <w:rPr>
                <w:sz w:val="17"/>
              </w:rPr>
              <w:t>—</w:t>
            </w:r>
          </w:p>
        </w:tc>
      </w:tr>
    </w:tbl>
    <w:p>
      <w:pPr>
        <w:spacing w:after="40"/>
      </w:pPr>
    </w:p>
    <w:p>
      <w:pPr>
        <w:pStyle w:val="Heading3"/>
      </w:pPr>
      <w:r>
        <w:t>2.1 Barrier one — no second tool can ever corroborate</w:t>
      </w:r>
    </w:p>
    <w:p>
      <w:pPr>
        <w:pStyle w:val="BodyText"/>
      </w:pPr>
      <w:r>
        <w:t>SC requires at least two concordant algorithms. Of the three candidate second tools, G4RNA Screener is unrunnable (Python 2 with a pickled PyBrain classifier) and pqsfinder is DNA-virus-scoped. That leaves the canonical pattern-motif detector, and it finds nothing.</w:t>
      </w:r>
    </w:p>
    <w:tbl>
      <w:tblPr>
        <w:tblStyle w:val="TableGrid"/>
        <w:tblW w:type="auto" w:w="0"/>
        <w:jc w:val="center"/>
        <w:tblLook w:firstColumn="1" w:firstRow="1" w:lastColumn="0" w:lastRow="0" w:noHBand="0" w:noVBand="1" w:val="04A0"/>
      </w:tblPr>
      <w:tblGrid>
        <w:gridCol w:w="4896"/>
        <w:gridCol w:w="4896"/>
      </w:tblGrid>
      <w:tr>
        <w:tc>
          <w:tcPr>
            <w:tcW w:type="dxa" w:w="6624"/>
            <w:shd w:val="clear" w:fill="1B2A4A"/>
          </w:tcPr>
          <w:p>
            <w:r/>
            <w:r>
              <w:rPr>
                <w:b/>
                <w:color w:val="FFFFFF"/>
                <w:sz w:val="17"/>
              </w:rPr>
              <w:t>Measurement</w:t>
            </w:r>
          </w:p>
        </w:tc>
        <w:tc>
          <w:tcPr>
            <w:tcW w:type="dxa" w:w="3168"/>
            <w:shd w:val="clear" w:fill="1B2A4A"/>
          </w:tcPr>
          <w:p>
            <w:r/>
            <w:r>
              <w:rPr>
                <w:b/>
                <w:color w:val="FFFFFF"/>
                <w:sz w:val="17"/>
              </w:rPr>
              <w:t>Value</w:t>
            </w:r>
          </w:p>
        </w:tc>
      </w:tr>
      <w:tr>
        <w:tc>
          <w:tcPr>
            <w:tcW w:type="dxa" w:w="6624"/>
          </w:tcPr>
          <w:p>
            <w:r/>
            <w:r>
              <w:rPr>
                <w:sz w:val="17"/>
              </w:rPr>
              <w:t>Canonical 4-tract motifs (G≥3, loops 1–7) in AY593823, forward strand</w:t>
            </w:r>
          </w:p>
        </w:tc>
        <w:tc>
          <w:tcPr>
            <w:tcW w:type="dxa" w:w="3168"/>
          </w:tcPr>
          <w:p>
            <w:r/>
            <w:r>
              <w:rPr>
                <w:sz w:val="17"/>
              </w:rPr>
              <w:t>0</w:t>
            </w:r>
          </w:p>
        </w:tc>
      </w:tr>
      <w:tr>
        <w:tc>
          <w:tcPr>
            <w:tcW w:type="dxa" w:w="6624"/>
          </w:tcPr>
          <w:p>
            <w:r/>
            <w:r>
              <w:rPr>
                <w:sz w:val="17"/>
              </w:rPr>
              <w:t>Same, reverse strand</w:t>
            </w:r>
          </w:p>
        </w:tc>
        <w:tc>
          <w:tcPr>
            <w:tcW w:type="dxa" w:w="3168"/>
          </w:tcPr>
          <w:p>
            <w:r/>
            <w:r>
              <w:rPr>
                <w:sz w:val="17"/>
              </w:rPr>
              <w:t>0</w:t>
            </w:r>
          </w:p>
        </w:tc>
      </w:tr>
      <w:tr>
        <w:tc>
          <w:tcPr>
            <w:tcW w:type="dxa" w:w="6624"/>
          </w:tcPr>
          <w:p>
            <w:r/>
            <w:r>
              <w:rPr>
                <w:sz w:val="17"/>
              </w:rPr>
              <w:t>Loops relaxed to ≤9 nt</w:t>
            </w:r>
          </w:p>
        </w:tc>
        <w:tc>
          <w:tcPr>
            <w:tcW w:type="dxa" w:w="3168"/>
          </w:tcPr>
          <w:p>
            <w:r/>
            <w:r>
              <w:rPr>
                <w:sz w:val="17"/>
              </w:rPr>
              <w:t>0</w:t>
            </w:r>
          </w:p>
        </w:tc>
      </w:tr>
      <w:tr>
        <w:tc>
          <w:tcPr>
            <w:tcW w:type="dxa" w:w="6624"/>
          </w:tcPr>
          <w:p>
            <w:r/>
            <w:r>
              <w:rPr>
                <w:sz w:val="17"/>
              </w:rPr>
              <w:t>Loops relaxed to ≤12 nt</w:t>
            </w:r>
          </w:p>
        </w:tc>
        <w:tc>
          <w:tcPr>
            <w:tcW w:type="dxa" w:w="3168"/>
          </w:tcPr>
          <w:p>
            <w:r/>
            <w:r>
              <w:rPr>
                <w:sz w:val="17"/>
              </w:rPr>
              <w:t>1</w:t>
            </w:r>
          </w:p>
        </w:tc>
      </w:tr>
      <w:tr>
        <w:tc>
          <w:tcPr>
            <w:tcW w:type="dxa" w:w="6624"/>
          </w:tcPr>
          <w:p>
            <w:r/>
            <w:r>
              <w:rPr>
                <w:sz w:val="17"/>
              </w:rPr>
              <w:t>Detector on a positive control (GGGTGGGTGGGTGGG)</w:t>
            </w:r>
          </w:p>
        </w:tc>
        <w:tc>
          <w:tcPr>
            <w:tcW w:type="dxa" w:w="3168"/>
          </w:tcPr>
          <w:p>
            <w:r/>
            <w:r>
              <w:rPr>
                <w:sz w:val="17"/>
              </w:rPr>
              <w:t>1 hit — detector is functional</w:t>
            </w:r>
          </w:p>
        </w:tc>
      </w:tr>
      <w:tr>
        <w:tc>
          <w:tcPr>
            <w:tcW w:type="dxa" w:w="6624"/>
          </w:tcPr>
          <w:p>
            <w:r/>
            <w:r>
              <w:rPr>
                <w:sz w:val="17"/>
              </w:rPr>
              <w:t>G≥3 runs present, forward</w:t>
            </w:r>
          </w:p>
        </w:tc>
        <w:tc>
          <w:tcPr>
            <w:tcW w:type="dxa" w:w="3168"/>
          </w:tcPr>
          <w:p>
            <w:r/>
            <w:r>
              <w:rPr>
                <w:sz w:val="17"/>
              </w:rPr>
              <w:t>93</w:t>
            </w:r>
          </w:p>
        </w:tc>
      </w:tr>
      <w:tr>
        <w:tc>
          <w:tcPr>
            <w:tcW w:type="dxa" w:w="6624"/>
          </w:tcPr>
          <w:p>
            <w:r/>
            <w:r>
              <w:rPr>
                <w:sz w:val="17"/>
              </w:rPr>
              <w:t>G≥3 runs present, reverse</w:t>
            </w:r>
          </w:p>
        </w:tc>
        <w:tc>
          <w:tcPr>
            <w:tcW w:type="dxa" w:w="3168"/>
          </w:tcPr>
          <w:p>
            <w:r/>
            <w:r>
              <w:rPr>
                <w:sz w:val="17"/>
              </w:rPr>
              <w:t>113</w:t>
            </w:r>
          </w:p>
        </w:tc>
      </w:tr>
      <w:tr>
        <w:tc>
          <w:tcPr>
            <w:tcW w:type="dxa" w:w="6624"/>
          </w:tcPr>
          <w:p>
            <w:r/>
            <w:r>
              <w:rPr>
                <w:sz w:val="17"/>
              </w:rPr>
              <w:t>Longest G-run</w:t>
            </w:r>
          </w:p>
        </w:tc>
        <w:tc>
          <w:tcPr>
            <w:tcW w:type="dxa" w:w="3168"/>
          </w:tcPr>
          <w:p>
            <w:r/>
            <w:r>
              <w:rPr>
                <w:sz w:val="17"/>
              </w:rPr>
              <w:t>5 forward, 12 reverse</w:t>
            </w:r>
          </w:p>
        </w:tc>
      </w:tr>
      <w:tr>
        <w:tc>
          <w:tcPr>
            <w:tcW w:type="dxa" w:w="6624"/>
          </w:tcPr>
          <w:p>
            <w:r/>
            <w:r>
              <w:rPr>
                <w:sz w:val="17"/>
              </w:rPr>
              <w:t>Genome GC content</w:t>
            </w:r>
          </w:p>
        </w:tc>
        <w:tc>
          <w:tcPr>
            <w:tcW w:type="dxa" w:w="3168"/>
          </w:tcPr>
          <w:p>
            <w:r/>
            <w:r>
              <w:rPr>
                <w:sz w:val="17"/>
              </w:rPr>
              <w:t>53.6%</w:t>
            </w:r>
          </w:p>
        </w:tc>
      </w:tr>
    </w:tbl>
    <w:p>
      <w:pPr>
        <w:spacing w:after="40"/>
      </w:pPr>
    </w:p>
    <w:p>
      <w:pPr>
        <w:spacing w:before="140" w:after="180"/>
        <w:ind w:left="173"/>
        <w:pBdr>
          <w:left w:val="single" w:sz="18" w:color="926019"/>
        </w:pBdr>
      </w:pPr>
      <w:r>
        <w:rPr>
          <w:b/>
          <w:color w:val="926019"/>
          <w:sz w:val="17"/>
        </w:rPr>
        <w:t xml:space="preserve">THIS IS BIOLOGY, NOT A BROKEN DETECTOR  </w:t>
      </w:r>
      <w:r>
        <w:rPr>
          <w:sz w:val="18"/>
        </w:rPr>
        <w:t>FMDV has abundant G-tracts — 93 forward and 113 reverse runs of G≥3 — but they are never arranged in the canonical spacing. The genome does not contain canonical PQS. Since no second tool can fire, concordant_tool_count is permanently 1 and SC is permanently out of reach, whatever else is improved.</w:t>
      </w:r>
    </w:p>
    <w:p>
      <w:pPr>
        <w:pStyle w:val="Heading3"/>
      </w:pPr>
      <w:r>
        <w:t>2.2 Barrier two — conservation is far below the bar</w:t>
      </w:r>
    </w:p>
    <w:p>
      <w:pPr>
        <w:pStyle w:val="BodyText"/>
      </w:pPr>
      <w:r>
        <w:t>SC requires ≥85% phylogenetic conservation. The observed values are 18.18%, 41.67%, 44.44% and 37.50%. These are already phylogenetically corrected — the Atlas records the number of informative clades behind each figure (11, 12, 9 and 88 respectively) and the naive tip-proportion that would have been reported instead (0.26%, 2.12%, 0.59%, 47.29%).</w:t>
      </w:r>
    </w:p>
    <w:p>
      <w:pPr>
        <w:spacing w:before="140" w:after="180"/>
        <w:ind w:left="173"/>
        <w:pBdr>
          <w:left w:val="single" w:sz="18" w:color="C53030"/>
        </w:pBdr>
      </w:pPr>
      <w:r>
        <w:rPr>
          <w:b/>
          <w:color w:val="C53030"/>
          <w:sz w:val="17"/>
        </w:rPr>
        <w:t xml:space="preserve">THE SCIENTIFIC READING  </w:t>
      </w:r>
      <w:r>
        <w:rPr>
          <w:sz w:val="18"/>
        </w:rPr>
        <w:t>A G-quadruplex that matters functionally should be conserved. Conservation between 18% and 44% says these predicted loci are not maintained by selection across the FMDV corpus. That is evidence against their biological importance, not merely a threshold failure.</w:t>
      </w:r>
    </w:p>
    <w:p>
      <w:pPr>
        <w:pStyle w:val="Heading3"/>
      </w:pPr>
      <w:r>
        <w:t>2.3 Barrier three — prediction strength is below threshold</w:t>
      </w:r>
    </w:p>
    <w:p>
      <w:pPr>
        <w:pStyle w:val="BodyText"/>
      </w:pPr>
      <w:r>
        <w:t>SC requires |G4Hunter| ≥ 1.5; the observed magnitudes are 0.879 to 1.327. The single-tool MC route requires ≥1.8, which none reaches either. Even granting both other barriers, no locus would clear this one.</w:t>
      </w:r>
    </w:p>
    <w:p>
      <w:r>
        <w:br w:type="page"/>
      </w:r>
    </w:p>
    <w:p>
      <w:pPr>
        <w:pStyle w:val="Heading2"/>
      </w:pPr>
      <w:r>
        <w:t>3. Defects Found and Fixed</w:t>
      </w:r>
    </w:p>
    <w:p>
      <w:pPr>
        <w:pStyle w:val="FirstParagraph"/>
      </w:pPr>
      <w:r>
        <w:t>Neither changes the FMDV outcome. Both would have silently mis-classified loci in every pathogen analysed from here on, and neither was covered by any existing test.</w:t>
      </w:r>
    </w:p>
    <w:p>
      <w:pPr>
        <w:pStyle w:val="Heading3"/>
      </w:pPr>
      <w:r>
        <w:t>D-7 — the pattern-motif detector scanned only one strand</w:t>
      </w:r>
    </w:p>
    <w:tbl>
      <w:tblPr>
        <w:tblStyle w:val="TableGrid"/>
        <w:tblW w:type="auto" w:w="0"/>
        <w:jc w:val="center"/>
        <w:tblLook w:firstColumn="1" w:firstRow="1" w:lastColumn="0" w:lastRow="0" w:noHBand="0" w:noVBand="1" w:val="04A0"/>
      </w:tblPr>
      <w:tblGrid>
        <w:gridCol w:w="4896"/>
        <w:gridCol w:w="4896"/>
      </w:tblGrid>
      <w:tr>
        <w:tc>
          <w:tcPr>
            <w:tcW w:type="dxa" w:w="1872"/>
            <w:shd w:val="clear" w:fill="1B2A4A"/>
          </w:tcPr>
          <w:p>
            <w:r/>
            <w:r>
              <w:rPr>
                <w:b/>
                <w:color w:val="FFFFFF"/>
                <w:sz w:val="17"/>
              </w:rPr>
              <w:t>Aspect</w:t>
            </w:r>
          </w:p>
        </w:tc>
        <w:tc>
          <w:tcPr>
            <w:tcW w:type="dxa" w:w="7920"/>
            <w:shd w:val="clear" w:fill="1B2A4A"/>
          </w:tcPr>
          <w:p>
            <w:r/>
            <w:r>
              <w:rPr>
                <w:b/>
                <w:color w:val="FFFFFF"/>
                <w:sz w:val="17"/>
              </w:rPr>
              <w:t>Detail</w:t>
            </w:r>
          </w:p>
        </w:tc>
      </w:tr>
      <w:tr>
        <w:tc>
          <w:tcPr>
            <w:tcW w:type="dxa" w:w="1872"/>
          </w:tcPr>
          <w:p>
            <w:r/>
            <w:r>
              <w:rPr>
                <w:sz w:val="17"/>
              </w:rPr>
              <w:t>Mechanism</w:t>
            </w:r>
          </w:p>
        </w:tc>
        <w:tc>
          <w:tcPr>
            <w:tcW w:type="dxa" w:w="7920"/>
          </w:tcPr>
          <w:p>
            <w:r/>
            <w:r>
              <w:rPr>
                <w:sz w:val="17"/>
              </w:rPr>
              <w:t>predict() matched literal G-tracts on the given strand only. A minus-strand G4 is C-rich on that strand, so the regex could never match it.</w:t>
            </w:r>
          </w:p>
        </w:tc>
      </w:tr>
      <w:tr>
        <w:tc>
          <w:tcPr>
            <w:tcW w:type="dxa" w:w="1872"/>
          </w:tcPr>
          <w:p>
            <w:r/>
            <w:r>
              <w:rPr>
                <w:sz w:val="17"/>
              </w:rPr>
              <w:t>Why it matters</w:t>
            </w:r>
          </w:p>
        </w:tc>
        <w:tc>
          <w:tcPr>
            <w:tcW w:type="dxa" w:w="7920"/>
          </w:tcPr>
          <w:p>
            <w:r/>
            <w:r>
              <w:rPr>
                <w:sz w:val="17"/>
              </w:rPr>
              <w:t>G4Hunter is strand-symmetric by construction — it qualifies on `s &gt;= T or s &lt;= -T` and reports the sign as the strand. The two tools were scanning different strand universes, so a minus-strand G4Hunter hit could never be corroborated and concordant_tool_count was structurally pinned at 1 for one whole strand.</w:t>
            </w:r>
          </w:p>
        </w:tc>
      </w:tr>
      <w:tr>
        <w:tc>
          <w:tcPr>
            <w:tcW w:type="dxa" w:w="1872"/>
          </w:tcPr>
          <w:p>
            <w:r/>
            <w:r>
              <w:rPr>
                <w:sz w:val="17"/>
              </w:rPr>
              <w:t>Evidence in the existing Atlas</w:t>
            </w:r>
          </w:p>
        </w:tc>
        <w:tc>
          <w:tcPr>
            <w:tcW w:type="dxa" w:w="7920"/>
          </w:tcPr>
          <w:p>
            <w:r/>
            <w:r>
              <w:rPr>
                <w:sz w:val="17"/>
              </w:rPr>
              <w:t>"pattern-motif-concordant (2-tool) in 0/8 genomes" for all four loci, three of which are minus-strand</w:t>
            </w:r>
          </w:p>
        </w:tc>
      </w:tr>
      <w:tr>
        <w:tc>
          <w:tcPr>
            <w:tcW w:type="dxa" w:w="1872"/>
          </w:tcPr>
          <w:p>
            <w:r/>
            <w:r>
              <w:rPr>
                <w:sz w:val="17"/>
              </w:rPr>
              <w:t>Fix</w:t>
            </w:r>
          </w:p>
        </w:tc>
        <w:tc>
          <w:tcPr>
            <w:tcW w:type="dxa" w:w="7920"/>
          </w:tcPr>
          <w:p>
            <w:r/>
            <w:r>
              <w:rPr>
                <w:sz w:val="17"/>
              </w:rPr>
              <w:t>Both strands scanned by default; minus-strand coordinates mapped back into forward space so they are directly comparable with a G4Hunter hit; strand recorded on the hit. Single-strand mode retained via both_strands=False.</w:t>
            </w:r>
          </w:p>
        </w:tc>
      </w:tr>
      <w:tr>
        <w:tc>
          <w:tcPr>
            <w:tcW w:type="dxa" w:w="1872"/>
          </w:tcPr>
          <w:p>
            <w:r/>
            <w:r>
              <w:rPr>
                <w:sz w:val="17"/>
              </w:rPr>
              <w:t>Tests</w:t>
            </w:r>
          </w:p>
        </w:tc>
        <w:tc>
          <w:tcPr>
            <w:tcW w:type="dxa" w:w="7920"/>
          </w:tcPr>
          <w:p>
            <w:r/>
            <w:r>
              <w:rPr>
                <w:sz w:val="17"/>
              </w:rPr>
              <w:t>5 new cases covering detection, coordinate mapping, palindromic pairs, single-strand mode and ambiguity-code handling</w:t>
            </w:r>
          </w:p>
        </w:tc>
      </w:tr>
    </w:tbl>
    <w:p>
      <w:pPr>
        <w:spacing w:after="40"/>
      </w:pPr>
    </w:p>
    <w:p>
      <w:pPr>
        <w:pStyle w:val="Heading3"/>
      </w:pPr>
      <w:r>
        <w:t>D-8 — confidence classification compared the signed G4Hunter score</w:t>
      </w:r>
    </w:p>
    <w:tbl>
      <w:tblPr>
        <w:tblStyle w:val="TableGrid"/>
        <w:tblW w:type="auto" w:w="0"/>
        <w:jc w:val="center"/>
        <w:tblLook w:firstColumn="1" w:firstRow="1" w:lastColumn="0" w:lastRow="0" w:noHBand="0" w:noVBand="1" w:val="04A0"/>
      </w:tblPr>
      <w:tblGrid>
        <w:gridCol w:w="4896"/>
        <w:gridCol w:w="4896"/>
      </w:tblGrid>
      <w:tr>
        <w:tc>
          <w:tcPr>
            <w:tcW w:type="dxa" w:w="1872"/>
            <w:shd w:val="clear" w:fill="1B2A4A"/>
          </w:tcPr>
          <w:p>
            <w:r/>
            <w:r>
              <w:rPr>
                <w:b/>
                <w:color w:val="FFFFFF"/>
                <w:sz w:val="17"/>
              </w:rPr>
              <w:t>Aspect</w:t>
            </w:r>
          </w:p>
        </w:tc>
        <w:tc>
          <w:tcPr>
            <w:tcW w:type="dxa" w:w="7920"/>
            <w:shd w:val="clear" w:fill="1B2A4A"/>
          </w:tcPr>
          <w:p>
            <w:r/>
            <w:r>
              <w:rPr>
                <w:b/>
                <w:color w:val="FFFFFF"/>
                <w:sz w:val="17"/>
              </w:rPr>
              <w:t>Detail</w:t>
            </w:r>
          </w:p>
        </w:tc>
      </w:tr>
      <w:tr>
        <w:tc>
          <w:tcPr>
            <w:tcW w:type="dxa" w:w="1872"/>
          </w:tcPr>
          <w:p>
            <w:r/>
            <w:r>
              <w:rPr>
                <w:sz w:val="17"/>
              </w:rPr>
              <w:t>Mechanism</w:t>
            </w:r>
          </w:p>
        </w:tc>
        <w:tc>
          <w:tcPr>
            <w:tcW w:type="dxa" w:w="7920"/>
          </w:tcPr>
          <w:p>
            <w:r/>
            <w:r>
              <w:rPr>
                <w:sz w:val="17"/>
              </w:rPr>
              <w:t>structural_confidence() compared candidate.g4hunter_score directly against positive thresholds (≥1.5 for SC, ≥1.8 for single-tool MC, 1.2–1.5 for concordant MC).</w:t>
            </w:r>
          </w:p>
        </w:tc>
      </w:tr>
      <w:tr>
        <w:tc>
          <w:tcPr>
            <w:tcW w:type="dxa" w:w="1872"/>
          </w:tcPr>
          <w:p>
            <w:r/>
            <w:r>
              <w:rPr>
                <w:sz w:val="17"/>
              </w:rPr>
              <w:t>Why it matters</w:t>
            </w:r>
          </w:p>
        </w:tc>
        <w:tc>
          <w:tcPr>
            <w:tcW w:type="dxa" w:w="7920"/>
          </w:tcPr>
          <w:p>
            <w:r/>
            <w:r>
              <w:rPr>
                <w:sz w:val="17"/>
              </w:rPr>
              <w:t>The sign encodes STRAND, not quality. A locus scoring −2.5 with two concordant tools and 95% conservation was classified WC; +2.5 on identical evidence was SC.</w:t>
            </w:r>
          </w:p>
        </w:tc>
      </w:tr>
      <w:tr>
        <w:tc>
          <w:tcPr>
            <w:tcW w:type="dxa" w:w="1872"/>
          </w:tcPr>
          <w:p>
            <w:r/>
            <w:r>
              <w:rPr>
                <w:sz w:val="17"/>
              </w:rPr>
              <w:t>Scope</w:t>
            </w:r>
          </w:p>
        </w:tc>
        <w:tc>
          <w:tcPr>
            <w:tcW w:type="dxa" w:w="7920"/>
          </w:tcPr>
          <w:p>
            <w:r/>
            <w:r>
              <w:rPr>
                <w:sz w:val="17"/>
              </w:rPr>
              <w:t>Systematic. Every minus-strand G4 in every pathogen was excluded from MC and SC regardless of strength.</w:t>
            </w:r>
          </w:p>
        </w:tc>
      </w:tr>
      <w:tr>
        <w:tc>
          <w:tcPr>
            <w:tcW w:type="dxa" w:w="1872"/>
          </w:tcPr>
          <w:p>
            <w:r/>
            <w:r>
              <w:rPr>
                <w:sz w:val="17"/>
              </w:rPr>
              <w:t>Fix</w:t>
            </w:r>
          </w:p>
        </w:tc>
        <w:tc>
          <w:tcPr>
            <w:tcW w:type="dxa" w:w="7920"/>
          </w:tcPr>
          <w:p>
            <w:r/>
            <w:r>
              <w:rPr>
                <w:sz w:val="17"/>
              </w:rPr>
              <w:t>Compare abs(g4hunter_score), with the rationale recorded at the comparison site.</w:t>
            </w:r>
          </w:p>
        </w:tc>
      </w:tr>
      <w:tr>
        <w:tc>
          <w:tcPr>
            <w:tcW w:type="dxa" w:w="1872"/>
          </w:tcPr>
          <w:p>
            <w:r/>
            <w:r>
              <w:rPr>
                <w:sz w:val="17"/>
              </w:rPr>
              <w:t>Tests</w:t>
            </w:r>
          </w:p>
        </w:tc>
        <w:tc>
          <w:tcPr>
            <w:tcW w:type="dxa" w:w="7920"/>
          </w:tcPr>
          <w:p>
            <w:r/>
            <w:r>
              <w:rPr>
                <w:sz w:val="17"/>
              </w:rPr>
              <w:t>5 new cases asserting mirror-image classification, that a strong minus-strand locus reaches SC, that magnitude still discriminates after the sign is removed, and that a null score does not raise</w:t>
            </w:r>
          </w:p>
        </w:tc>
      </w:tr>
    </w:tbl>
    <w:p>
      <w:pPr>
        <w:spacing w:after="40"/>
      </w:pP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96"/>
            <w:shd w:val="clear" w:fill="1B2A4A"/>
          </w:tcPr>
          <w:p>
            <w:r/>
            <w:r>
              <w:rPr>
                <w:b/>
                <w:color w:val="FFFFFF"/>
                <w:sz w:val="17"/>
              </w:rPr>
              <w:t>Score</w:t>
            </w:r>
          </w:p>
        </w:tc>
        <w:tc>
          <w:tcPr>
            <w:tcW w:type="dxa" w:w="2160"/>
            <w:shd w:val="clear" w:fill="1B2A4A"/>
          </w:tcPr>
          <w:p>
            <w:r/>
            <w:r>
              <w:rPr>
                <w:b/>
                <w:color w:val="FFFFFF"/>
                <w:sz w:val="17"/>
              </w:rPr>
              <w:t>1 tool — before</w:t>
            </w:r>
          </w:p>
        </w:tc>
        <w:tc>
          <w:tcPr>
            <w:tcW w:type="dxa" w:w="2016"/>
            <w:shd w:val="clear" w:fill="1B2A4A"/>
          </w:tcPr>
          <w:p>
            <w:r/>
            <w:r>
              <w:rPr>
                <w:b/>
                <w:color w:val="FFFFFF"/>
                <w:sz w:val="17"/>
              </w:rPr>
              <w:t>1 tool — after</w:t>
            </w:r>
          </w:p>
        </w:tc>
        <w:tc>
          <w:tcPr>
            <w:tcW w:type="dxa" w:w="2160"/>
            <w:shd w:val="clear" w:fill="1B2A4A"/>
          </w:tcPr>
          <w:p>
            <w:r/>
            <w:r>
              <w:rPr>
                <w:b/>
                <w:color w:val="FFFFFF"/>
                <w:sz w:val="17"/>
              </w:rPr>
              <w:t>2 tools — before</w:t>
            </w:r>
          </w:p>
        </w:tc>
        <w:tc>
          <w:tcPr>
            <w:tcW w:type="dxa" w:w="2160"/>
            <w:shd w:val="clear" w:fill="1B2A4A"/>
          </w:tcPr>
          <w:p>
            <w:r/>
            <w:r>
              <w:rPr>
                <w:b/>
                <w:color w:val="FFFFFF"/>
                <w:sz w:val="17"/>
              </w:rPr>
              <w:t>2 tools — after</w:t>
            </w:r>
          </w:p>
        </w:tc>
      </w:tr>
      <w:tr>
        <w:tc>
          <w:tcPr>
            <w:tcW w:type="dxa" w:w="1296"/>
          </w:tcPr>
          <w:p>
            <w:r/>
            <w:r>
              <w:rPr>
                <w:sz w:val="17"/>
              </w:rPr>
              <w:t>+2.5</w:t>
            </w:r>
          </w:p>
        </w:tc>
        <w:tc>
          <w:tcPr>
            <w:tcW w:type="dxa" w:w="2160"/>
          </w:tcPr>
          <w:p>
            <w:r/>
            <w:r>
              <w:rPr>
                <w:sz w:val="17"/>
              </w:rPr>
              <w:t>MC</w:t>
            </w:r>
          </w:p>
        </w:tc>
        <w:tc>
          <w:tcPr>
            <w:tcW w:type="dxa" w:w="2016"/>
          </w:tcPr>
          <w:p>
            <w:r/>
            <w:r>
              <w:rPr>
                <w:sz w:val="17"/>
              </w:rPr>
              <w:t>MC</w:t>
            </w:r>
          </w:p>
        </w:tc>
        <w:tc>
          <w:tcPr>
            <w:tcW w:type="dxa" w:w="2160"/>
          </w:tcPr>
          <w:p>
            <w:r/>
            <w:r>
              <w:rPr>
                <w:sz w:val="17"/>
              </w:rPr>
              <w:t>SC</w:t>
            </w:r>
          </w:p>
        </w:tc>
        <w:tc>
          <w:tcPr>
            <w:tcW w:type="dxa" w:w="2160"/>
          </w:tcPr>
          <w:p>
            <w:r/>
            <w:r>
              <w:rPr>
                <w:sz w:val="17"/>
              </w:rPr>
              <w:t>SC</w:t>
            </w:r>
          </w:p>
        </w:tc>
      </w:tr>
      <w:tr>
        <w:tc>
          <w:tcPr>
            <w:tcW w:type="dxa" w:w="1296"/>
          </w:tcPr>
          <w:p>
            <w:r/>
            <w:r>
              <w:rPr>
                <w:sz w:val="17"/>
              </w:rPr>
              <w:t>+1.9</w:t>
            </w:r>
          </w:p>
        </w:tc>
        <w:tc>
          <w:tcPr>
            <w:tcW w:type="dxa" w:w="2160"/>
          </w:tcPr>
          <w:p>
            <w:r/>
            <w:r>
              <w:rPr>
                <w:sz w:val="17"/>
              </w:rPr>
              <w:t>MC</w:t>
            </w:r>
          </w:p>
        </w:tc>
        <w:tc>
          <w:tcPr>
            <w:tcW w:type="dxa" w:w="2016"/>
          </w:tcPr>
          <w:p>
            <w:r/>
            <w:r>
              <w:rPr>
                <w:sz w:val="17"/>
              </w:rPr>
              <w:t>MC</w:t>
            </w:r>
          </w:p>
        </w:tc>
        <w:tc>
          <w:tcPr>
            <w:tcW w:type="dxa" w:w="2160"/>
          </w:tcPr>
          <w:p>
            <w:r/>
            <w:r>
              <w:rPr>
                <w:sz w:val="17"/>
              </w:rPr>
              <w:t>SC</w:t>
            </w:r>
          </w:p>
        </w:tc>
        <w:tc>
          <w:tcPr>
            <w:tcW w:type="dxa" w:w="2160"/>
          </w:tcPr>
          <w:p>
            <w:r/>
            <w:r>
              <w:rPr>
                <w:sz w:val="17"/>
              </w:rPr>
              <w:t>SC</w:t>
            </w:r>
          </w:p>
        </w:tc>
      </w:tr>
      <w:tr>
        <w:tc>
          <w:tcPr>
            <w:tcW w:type="dxa" w:w="1296"/>
          </w:tcPr>
          <w:p>
            <w:r/>
            <w:r>
              <w:rPr>
                <w:sz w:val="17"/>
              </w:rPr>
              <w:t>−1.6</w:t>
            </w:r>
          </w:p>
        </w:tc>
        <w:tc>
          <w:tcPr>
            <w:tcW w:type="dxa" w:w="2160"/>
          </w:tcPr>
          <w:p>
            <w:r/>
            <w:r>
              <w:rPr>
                <w:sz w:val="17"/>
              </w:rPr>
              <w:t>WC</w:t>
            </w:r>
          </w:p>
        </w:tc>
        <w:tc>
          <w:tcPr>
            <w:tcW w:type="dxa" w:w="2016"/>
          </w:tcPr>
          <w:p>
            <w:r/>
            <w:r>
              <w:rPr>
                <w:sz w:val="17"/>
              </w:rPr>
              <w:t>WC</w:t>
            </w:r>
          </w:p>
        </w:tc>
        <w:tc>
          <w:tcPr>
            <w:tcW w:type="dxa" w:w="2160"/>
          </w:tcPr>
          <w:p>
            <w:r/>
            <w:r>
              <w:rPr>
                <w:sz w:val="17"/>
              </w:rPr>
              <w:t>WC</w:t>
            </w:r>
          </w:p>
        </w:tc>
        <w:tc>
          <w:tcPr>
            <w:tcW w:type="dxa" w:w="2160"/>
          </w:tcPr>
          <w:p>
            <w:r/>
            <w:r>
              <w:rPr>
                <w:sz w:val="17"/>
              </w:rPr>
              <w:t>SC</w:t>
            </w:r>
          </w:p>
        </w:tc>
      </w:tr>
      <w:tr>
        <w:tc>
          <w:tcPr>
            <w:tcW w:type="dxa" w:w="1296"/>
          </w:tcPr>
          <w:p>
            <w:r/>
            <w:r>
              <w:rPr>
                <w:sz w:val="17"/>
              </w:rPr>
              <w:t>−1.9</w:t>
            </w:r>
          </w:p>
        </w:tc>
        <w:tc>
          <w:tcPr>
            <w:tcW w:type="dxa" w:w="2160"/>
          </w:tcPr>
          <w:p>
            <w:r/>
            <w:r>
              <w:rPr>
                <w:sz w:val="17"/>
              </w:rPr>
              <w:t>WC</w:t>
            </w:r>
          </w:p>
        </w:tc>
        <w:tc>
          <w:tcPr>
            <w:tcW w:type="dxa" w:w="2016"/>
          </w:tcPr>
          <w:p>
            <w:r/>
            <w:r>
              <w:rPr>
                <w:sz w:val="17"/>
              </w:rPr>
              <w:t>MC</w:t>
            </w:r>
          </w:p>
        </w:tc>
        <w:tc>
          <w:tcPr>
            <w:tcW w:type="dxa" w:w="2160"/>
          </w:tcPr>
          <w:p>
            <w:r/>
            <w:r>
              <w:rPr>
                <w:sz w:val="17"/>
              </w:rPr>
              <w:t>WC</w:t>
            </w:r>
          </w:p>
        </w:tc>
        <w:tc>
          <w:tcPr>
            <w:tcW w:type="dxa" w:w="2160"/>
          </w:tcPr>
          <w:p>
            <w:r/>
            <w:r>
              <w:rPr>
                <w:sz w:val="17"/>
              </w:rPr>
              <w:t>SC</w:t>
            </w:r>
          </w:p>
        </w:tc>
      </w:tr>
      <w:tr>
        <w:tc>
          <w:tcPr>
            <w:tcW w:type="dxa" w:w="1296"/>
          </w:tcPr>
          <w:p>
            <w:r/>
            <w:r>
              <w:rPr>
                <w:sz w:val="17"/>
              </w:rPr>
              <w:t>−2.5</w:t>
            </w:r>
          </w:p>
        </w:tc>
        <w:tc>
          <w:tcPr>
            <w:tcW w:type="dxa" w:w="2160"/>
          </w:tcPr>
          <w:p>
            <w:r/>
            <w:r>
              <w:rPr>
                <w:sz w:val="17"/>
              </w:rPr>
              <w:t>WC</w:t>
            </w:r>
          </w:p>
        </w:tc>
        <w:tc>
          <w:tcPr>
            <w:tcW w:type="dxa" w:w="2016"/>
          </w:tcPr>
          <w:p>
            <w:r/>
            <w:r>
              <w:rPr>
                <w:sz w:val="17"/>
              </w:rPr>
              <w:t>MC</w:t>
            </w:r>
          </w:p>
        </w:tc>
        <w:tc>
          <w:tcPr>
            <w:tcW w:type="dxa" w:w="2160"/>
          </w:tcPr>
          <w:p>
            <w:r/>
            <w:r>
              <w:rPr>
                <w:sz w:val="17"/>
              </w:rPr>
              <w:t>WC</w:t>
            </w:r>
          </w:p>
        </w:tc>
        <w:tc>
          <w:tcPr>
            <w:tcW w:type="dxa" w:w="2160"/>
          </w:tcPr>
          <w:p>
            <w:r/>
            <w:r>
              <w:rPr>
                <w:sz w:val="17"/>
              </w:rPr>
              <w:t>SC</w:t>
            </w:r>
          </w:p>
        </w:tc>
      </w:tr>
    </w:tbl>
    <w:p>
      <w:pPr>
        <w:spacing w:after="40"/>
      </w:pPr>
    </w:p>
    <w:p>
      <w:pPr>
        <w:spacing w:before="140" w:after="180"/>
        <w:ind w:left="173"/>
        <w:pBdr>
          <w:left w:val="single" w:sz="18" w:color="276749"/>
        </w:pBdr>
      </w:pPr>
      <w:r>
        <w:rPr>
          <w:b/>
          <w:color w:val="276749"/>
          <w:sz w:val="17"/>
        </w:rPr>
        <w:t xml:space="preserve">NO TEST ASSERTED THE OLD BEHAVIOUR  </w:t>
      </w:r>
      <w:r>
        <w:rPr>
          <w:sz w:val="18"/>
        </w:rPr>
        <w:t>The full suite passed unchanged after both fixes — 714 before, 724 after with the new regression tests. That confirms these were untested gaps rather than deliberate design.</w:t>
      </w:r>
    </w:p>
    <w:p>
      <w:pPr>
        <w:pStyle w:val="Heading2"/>
      </w:pPr>
      <w:r>
        <w:t>4. What This Means for the Project</w:t>
      </w:r>
    </w:p>
    <w:tbl>
      <w:tblPr>
        <w:tblStyle w:val="TableGrid"/>
        <w:tblW w:type="auto" w:w="0"/>
        <w:jc w:val="center"/>
        <w:tblLook w:firstColumn="1" w:firstRow="1" w:lastColumn="0" w:lastRow="0" w:noHBand="0" w:noVBand="1" w:val="04A0"/>
      </w:tblPr>
      <w:tblGrid>
        <w:gridCol w:w="4896"/>
        <w:gridCol w:w="4896"/>
      </w:tblGrid>
      <w:tr>
        <w:tc>
          <w:tcPr>
            <w:tcW w:type="dxa" w:w="3168"/>
            <w:shd w:val="clear" w:fill="1B2A4A"/>
          </w:tcPr>
          <w:p>
            <w:r/>
            <w:r>
              <w:rPr>
                <w:b/>
                <w:color w:val="FFFFFF"/>
                <w:sz w:val="17"/>
              </w:rPr>
              <w:t>Question</w:t>
            </w:r>
          </w:p>
        </w:tc>
        <w:tc>
          <w:tcPr>
            <w:tcW w:type="dxa" w:w="6624"/>
            <w:shd w:val="clear" w:fill="1B2A4A"/>
          </w:tcPr>
          <w:p>
            <w:r/>
            <w:r>
              <w:rPr>
                <w:b/>
                <w:color w:val="FFFFFF"/>
                <w:sz w:val="17"/>
              </w:rPr>
              <w:t>Answer</w:t>
            </w:r>
          </w:p>
        </w:tc>
      </w:tr>
      <w:tr>
        <w:tc>
          <w:tcPr>
            <w:tcW w:type="dxa" w:w="3168"/>
          </w:tcPr>
          <w:p>
            <w:r/>
            <w:r>
              <w:rPr>
                <w:sz w:val="17"/>
              </w:rPr>
              <w:t>Can FMDV produce an authoritative surveillance score?</w:t>
            </w:r>
          </w:p>
        </w:tc>
        <w:tc>
          <w:tcPr>
            <w:tcW w:type="dxa" w:w="6624"/>
          </w:tcPr>
          <w:p>
            <w:r/>
            <w:r>
              <w:rPr>
                <w:sz w:val="17"/>
              </w:rPr>
              <w:t>No, and not by any amount of Atlas rebuilding. The corpus has no canonical PQS and the predicted loci are not conserved.</w:t>
            </w:r>
          </w:p>
        </w:tc>
      </w:tr>
      <w:tr>
        <w:tc>
          <w:tcPr>
            <w:tcW w:type="dxa" w:w="3168"/>
          </w:tcPr>
          <w:p>
            <w:r/>
            <w:r>
              <w:rPr>
                <w:sz w:val="17"/>
              </w:rPr>
              <w:t>Should the SC threshold be lowered to admit them?</w:t>
            </w:r>
          </w:p>
        </w:tc>
        <w:tc>
          <w:tcPr>
            <w:tcW w:type="dxa" w:w="6624"/>
          </w:tcPr>
          <w:p>
            <w:r/>
            <w:r>
              <w:rPr>
                <w:sz w:val="17"/>
              </w:rPr>
              <w:t>No. Two of the three barriers are not threshold questions at all — a second tool cannot fire, and conservation is a property of the data.</w:t>
            </w:r>
          </w:p>
        </w:tc>
      </w:tr>
      <w:tr>
        <w:tc>
          <w:tcPr>
            <w:tcW w:type="dxa" w:w="3168"/>
          </w:tcPr>
          <w:p>
            <w:r/>
            <w:r>
              <w:rPr>
                <w:sz w:val="17"/>
              </w:rPr>
              <w:t>Was the pipeline wrong to refuse?</w:t>
            </w:r>
          </w:p>
        </w:tc>
        <w:tc>
          <w:tcPr>
            <w:tcW w:type="dxa" w:w="6624"/>
          </w:tcPr>
          <w:p>
            <w:r/>
            <w:r>
              <w:rPr>
                <w:sz w:val="17"/>
              </w:rPr>
              <w:t>No. select_scoring_eligible() returned an empty list, which was the correct answer to the question asked.</w:t>
            </w:r>
          </w:p>
        </w:tc>
      </w:tr>
      <w:tr>
        <w:tc>
          <w:tcPr>
            <w:tcW w:type="dxa" w:w="3168"/>
          </w:tcPr>
          <w:p>
            <w:r/>
            <w:r>
              <w:rPr>
                <w:sz w:val="17"/>
              </w:rPr>
              <w:t>Is the framework invalidated?</w:t>
            </w:r>
          </w:p>
        </w:tc>
        <w:tc>
          <w:tcPr>
            <w:tcW w:type="dxa" w:w="6624"/>
          </w:tcPr>
          <w:p>
            <w:r/>
            <w:r>
              <w:rPr>
                <w:sz w:val="17"/>
              </w:rPr>
              <w:t>No. It is a negative result for FMDV specifically. The machinery is verified end-to-end and the strand defects are now fixed for every pathogen that follows.</w:t>
            </w:r>
          </w:p>
        </w:tc>
      </w:tr>
      <w:tr>
        <w:tc>
          <w:tcPr>
            <w:tcW w:type="dxa" w:w="3168"/>
          </w:tcPr>
          <w:p>
            <w:r/>
            <w:r>
              <w:rPr>
                <w:sz w:val="17"/>
              </w:rPr>
              <w:t>What is the highest-value next step?</w:t>
            </w:r>
          </w:p>
        </w:tc>
        <w:tc>
          <w:tcPr>
            <w:tcW w:type="dxa" w:w="6624"/>
          </w:tcPr>
          <w:p>
            <w:r/>
            <w:r>
              <w:rPr>
                <w:sz w:val="17"/>
              </w:rPr>
              <w:t>Phase 5 — a pathogen whose genome plausibly contains canonical G4s. LSDV is a ~150 kb GC-rich dsDNA poxvirus and is a far better candidate than an 8.2 kb ssRNA picornavirus.</w:t>
            </w:r>
          </w:p>
        </w:tc>
      </w:tr>
    </w:tbl>
    <w:p>
      <w:pPr>
        <w:spacing w:after="40"/>
      </w:pPr>
    </w:p>
    <w:p>
      <w:pPr>
        <w:spacing w:before="140" w:after="180"/>
        <w:ind w:left="173"/>
        <w:pBdr>
          <w:left w:val="single" w:sz="18" w:color="926019"/>
        </w:pBdr>
      </w:pPr>
      <w:r>
        <w:rPr>
          <w:b/>
          <w:color w:val="926019"/>
          <w:sz w:val="17"/>
        </w:rPr>
        <w:t xml:space="preserve">RECOMMENDED CHANGE TO THE ROADMAP  </w:t>
      </w:r>
      <w:r>
        <w:rPr>
          <w:sz w:val="18"/>
        </w:rPr>
        <w:t>Phase 5 (second and third pathogens) should be promoted ahead of Phases 2–4. The G4 hypothesis cannot be tested on a genome that contains no canonical G4 motifs, and every downstream phase is currently validating machinery against synthetic data for want of a corpus that can exercise it. LSDV would answer the scientific question; container builds and deployment hardening would not.</w:t>
      </w:r>
    </w:p>
    <w:p>
      <w:pPr>
        <w:pStyle w:val="Heading2"/>
      </w:pPr>
      <w:r>
        <w:t>5. Verification</w:t>
      </w:r>
    </w:p>
    <w:tbl>
      <w:tblPr>
        <w:tblStyle w:val="TableGrid"/>
        <w:tblW w:type="auto" w:w="0"/>
        <w:jc w:val="center"/>
        <w:tblLook w:firstColumn="1" w:firstRow="1" w:lastColumn="0" w:lastRow="0" w:noHBand="0" w:noVBand="1" w:val="04A0"/>
      </w:tblPr>
      <w:tblGrid>
        <w:gridCol w:w="4896"/>
        <w:gridCol w:w="4896"/>
      </w:tblGrid>
      <w:tr>
        <w:tc>
          <w:tcPr>
            <w:tcW w:type="dxa" w:w="3744"/>
            <w:shd w:val="clear" w:fill="1B2A4A"/>
          </w:tcPr>
          <w:p>
            <w:r/>
            <w:r>
              <w:rPr>
                <w:b/>
                <w:color w:val="FFFFFF"/>
                <w:sz w:val="17"/>
              </w:rPr>
              <w:t>Check</w:t>
            </w:r>
          </w:p>
        </w:tc>
        <w:tc>
          <w:tcPr>
            <w:tcW w:type="dxa" w:w="6048"/>
            <w:shd w:val="clear" w:fill="1B2A4A"/>
          </w:tcPr>
          <w:p>
            <w:r/>
            <w:r>
              <w:rPr>
                <w:b/>
                <w:color w:val="FFFFFF"/>
                <w:sz w:val="17"/>
              </w:rPr>
              <w:t>Result</w:t>
            </w:r>
          </w:p>
        </w:tc>
      </w:tr>
      <w:tr>
        <w:tc>
          <w:tcPr>
            <w:tcW w:type="dxa" w:w="3744"/>
          </w:tcPr>
          <w:p>
            <w:r/>
            <w:r>
              <w:rPr>
                <w:sz w:val="17"/>
              </w:rPr>
              <w:t>Full test suite</w:t>
            </w:r>
          </w:p>
        </w:tc>
        <w:tc>
          <w:tcPr>
            <w:tcW w:type="dxa" w:w="6048"/>
          </w:tcPr>
          <w:p>
            <w:r/>
            <w:r>
              <w:rPr>
                <w:sz w:val="17"/>
              </w:rPr>
              <w:t>724 passed, 4 skipped</w:t>
            </w:r>
          </w:p>
        </w:tc>
      </w:tr>
      <w:tr>
        <w:tc>
          <w:tcPr>
            <w:tcW w:type="dxa" w:w="3744"/>
          </w:tcPr>
          <w:p>
            <w:r/>
            <w:r>
              <w:rPr>
                <w:sz w:val="17"/>
              </w:rPr>
              <w:t>Lint</w:t>
            </w:r>
          </w:p>
        </w:tc>
        <w:tc>
          <w:tcPr>
            <w:tcW w:type="dxa" w:w="6048"/>
          </w:tcPr>
          <w:p>
            <w:r/>
            <w:r>
              <w:rPr>
                <w:sz w:val="17"/>
              </w:rPr>
              <w:t>ruff clean</w:t>
            </w:r>
          </w:p>
        </w:tc>
      </w:tr>
      <w:tr>
        <w:tc>
          <w:tcPr>
            <w:tcW w:type="dxa" w:w="3744"/>
          </w:tcPr>
          <w:p>
            <w:r/>
            <w:r>
              <w:rPr>
                <w:sz w:val="17"/>
              </w:rPr>
              <w:t>New regression tests</w:t>
            </w:r>
          </w:p>
        </w:tc>
        <w:tc>
          <w:tcPr>
            <w:tcW w:type="dxa" w:w="6048"/>
          </w:tcPr>
          <w:p>
            <w:r/>
            <w:r>
              <w:rPr>
                <w:sz w:val="17"/>
              </w:rPr>
              <w:t>10 (5 pattern-motif, 5 confidence)</w:t>
            </w:r>
          </w:p>
        </w:tc>
      </w:tr>
      <w:tr>
        <w:tc>
          <w:tcPr>
            <w:tcW w:type="dxa" w:w="3744"/>
          </w:tcPr>
          <w:p>
            <w:r/>
            <w:r>
              <w:rPr>
                <w:sz w:val="17"/>
              </w:rPr>
              <w:t>Gate invariant</w:t>
            </w:r>
          </w:p>
        </w:tc>
        <w:tc>
          <w:tcPr>
            <w:tcW w:type="dxa" w:w="6048"/>
          </w:tcPr>
          <w:p>
            <w:r/>
            <w:r>
              <w:rPr>
                <w:sz w:val="17"/>
              </w:rPr>
              <w:t>`g4watch score -p fmdv` still exits 3</w:t>
            </w:r>
          </w:p>
        </w:tc>
      </w:tr>
      <w:tr>
        <w:tc>
          <w:tcPr>
            <w:tcW w:type="dxa" w:w="3744"/>
          </w:tcPr>
          <w:p>
            <w:r/>
            <w:r>
              <w:rPr>
                <w:sz w:val="17"/>
              </w:rPr>
              <w:t>Pattern-motif positive control</w:t>
            </w:r>
          </w:p>
        </w:tc>
        <w:tc>
          <w:tcPr>
            <w:tcW w:type="dxa" w:w="6048"/>
          </w:tcPr>
          <w:p>
            <w:r/>
            <w:r>
              <w:rPr>
                <w:sz w:val="17"/>
              </w:rPr>
              <w:t>detects the canonical motif on both strands</w:t>
            </w:r>
          </w:p>
        </w:tc>
      </w:tr>
      <w:tr>
        <w:tc>
          <w:tcPr>
            <w:tcW w:type="dxa" w:w="3744"/>
          </w:tcPr>
          <w:p>
            <w:r/>
            <w:r>
              <w:rPr>
                <w:sz w:val="17"/>
              </w:rPr>
              <w:t>Coordinate mapping</w:t>
            </w:r>
          </w:p>
        </w:tc>
        <w:tc>
          <w:tcPr>
            <w:tcW w:type="dxa" w:w="6048"/>
          </w:tcPr>
          <w:p>
            <w:r/>
            <w:r>
              <w:rPr>
                <w:sz w:val="17"/>
              </w:rPr>
              <w:t>minus-strand hit at [4,19) on a 23 bp sequence maps to forward [4,19)</w:t>
            </w:r>
          </w:p>
        </w:tc>
      </w:tr>
    </w:tbl>
    <w:p>
      <w:pPr>
        <w:spacing w:after="4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