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2E51"/>
          <w:sz w:val="48"/>
        </w:rPr>
        <w:t>G4-WATCH</w:t>
      </w:r>
    </w:p>
    <w:p>
      <w:pPr>
        <w:jc w:val="center"/>
      </w:pPr>
      <w:r>
        <w:rPr>
          <w:color w:val="565C65"/>
          <w:sz w:val="30"/>
        </w:rPr>
        <w:t>Data Input Specification</w:t>
      </w:r>
    </w:p>
    <w:p>
      <w:pPr>
        <w:jc w:val="center"/>
      </w:pPr>
      <w:r>
        <w:rPr>
          <w:color w:val="565C65"/>
          <w:sz w:val="19"/>
        </w:rPr>
        <w:t>What you must supply to run an analysis</w:t>
        <w:br/>
        <w:t>ICAR-NIVEDI  ·  g4watch 1.0.0</w:t>
      </w:r>
    </w:p>
    <w:p>
      <w:r>
        <w:rPr>
          <w:i w:val="0"/>
          <w:sz w:val="21"/>
        </w:rPr>
      </w:r>
    </w:p>
    <w:p>
      <w:r>
        <w:rPr>
          <w:i/>
          <w:color w:val="565C65"/>
          <w:sz w:val="21"/>
        </w:rPr>
        <w:t>This document lists exactly what the software requires, in the formats it accepts. Every threshold quoted here is read directly from the code that enforces it, so this specification cannot drift from the running system.</w:t>
      </w:r>
    </w:p>
    <w:p>
      <w:pPr>
        <w:spacing w:before="120" w:after="100"/>
      </w:pPr>
      <w:r>
        <w:rPr>
          <w:b/>
          <w:color w:val="B50909"/>
          <w:sz w:val="28"/>
        </w:rPr>
        <w:t>Current status — read this first</w:t>
      </w:r>
    </w:p>
    <w:p>
      <w:r>
        <w:rPr>
          <w:b/>
          <w:i w:val="0"/>
          <w:sz w:val="21"/>
        </w:rPr>
        <w:t>The pipeline is ready to run on real data. One thing blocks it.</w:t>
      </w:r>
    </w:p>
    <w:tbl>
      <w:tblPr>
        <w:tblStyle w:val="TableGrid"/>
        <w:tblW w:type="auto" w:w="0"/>
        <w:tblLook w:firstColumn="1" w:firstRow="1" w:lastColumn="0" w:lastRow="0" w:noHBand="0" w:noVBand="1" w:val="04A0"/>
      </w:tblPr>
      <w:tblGrid>
        <w:gridCol w:w="3216"/>
        <w:gridCol w:w="3216"/>
        <w:gridCol w:w="3216"/>
      </w:tblGrid>
      <w:tr>
        <w:tc>
          <w:tcPr>
            <w:tcW w:type="dxa" w:w="3312"/>
            <w:shd w:val="clear" w:fill="162E51"/>
          </w:tcPr>
          <w:p>
            <w:r/>
            <w:r>
              <w:rPr>
                <w:b/>
                <w:color w:val="FFFFFF"/>
                <w:sz w:val="18"/>
              </w:rPr>
              <w:t>Minimum-data check</w:t>
            </w:r>
          </w:p>
        </w:tc>
        <w:tc>
          <w:tcPr>
            <w:tcW w:type="dxa" w:w="2736"/>
            <w:shd w:val="clear" w:fill="162E51"/>
          </w:tcPr>
          <w:p>
            <w:r/>
            <w:r>
              <w:rPr>
                <w:b/>
                <w:color w:val="FFFFFF"/>
                <w:sz w:val="18"/>
              </w:rPr>
              <w:t>Corpus value</w:t>
            </w:r>
          </w:p>
        </w:tc>
        <w:tc>
          <w:tcPr>
            <w:tcW w:type="dxa" w:w="3024"/>
            <w:shd w:val="clear" w:fill="162E51"/>
          </w:tcPr>
          <w:p>
            <w:r/>
            <w:r>
              <w:rPr>
                <w:b/>
                <w:color w:val="FFFFFF"/>
                <w:sz w:val="18"/>
              </w:rPr>
              <w:t>Result</w:t>
            </w:r>
          </w:p>
        </w:tc>
      </w:tr>
      <w:tr>
        <w:tc>
          <w:tcPr>
            <w:tcW w:type="dxa" w:w="3312"/>
          </w:tcPr>
          <w:p>
            <w:r/>
            <w:r>
              <w:rPr>
                <w:sz w:val="18"/>
              </w:rPr>
              <w:t>Sequences in the window</w:t>
            </w:r>
          </w:p>
        </w:tc>
        <w:tc>
          <w:tcPr>
            <w:tcW w:type="dxa" w:w="2736"/>
          </w:tcPr>
          <w:p>
            <w:r/>
            <w:r>
              <w:rPr>
                <w:rFonts w:ascii="Consolas" w:hAnsi="Consolas"/>
                <w:sz w:val="18"/>
              </w:rPr>
              <w:t>848</w:t>
            </w:r>
          </w:p>
        </w:tc>
        <w:tc>
          <w:tcPr>
            <w:tcW w:type="dxa" w:w="3024"/>
          </w:tcPr>
          <w:p>
            <w:r/>
            <w:r>
              <w:rPr>
                <w:color w:val="007017"/>
                <w:sz w:val="18"/>
              </w:rPr>
              <w:t>Pass</w:t>
            </w:r>
          </w:p>
        </w:tc>
      </w:tr>
      <w:tr>
        <w:tc>
          <w:tcPr>
            <w:tcW w:type="dxa" w:w="3312"/>
          </w:tcPr>
          <w:p>
            <w:r/>
            <w:r>
              <w:rPr>
                <w:b w:val="0"/>
                <w:color w:val="B50909"/>
                <w:sz w:val="18"/>
              </w:rPr>
              <w:t>Sequences per lineage</w:t>
            </w:r>
          </w:p>
        </w:tc>
        <w:tc>
          <w:tcPr>
            <w:tcW w:type="dxa" w:w="2736"/>
          </w:tcPr>
          <w:p>
            <w:r/>
            <w:r>
              <w:rPr>
                <w:rFonts w:ascii="Consolas" w:hAnsi="Consolas"/>
                <w:b w:val="0"/>
                <w:color w:val="B50909"/>
                <w:sz w:val="18"/>
              </w:rPr>
              <w:t>8   (serotype C)</w:t>
            </w:r>
          </w:p>
        </w:tc>
        <w:tc>
          <w:tcPr>
            <w:tcW w:type="dxa" w:w="3024"/>
          </w:tcPr>
          <w:p>
            <w:r/>
            <w:r>
              <w:rPr>
                <w:b/>
                <w:color w:val="B50909"/>
                <w:sz w:val="18"/>
              </w:rPr>
              <w:t>FAIL — floor is 20</w:t>
            </w:r>
          </w:p>
        </w:tc>
      </w:tr>
      <w:tr>
        <w:tc>
          <w:tcPr>
            <w:tcW w:type="dxa" w:w="3312"/>
          </w:tcPr>
          <w:p>
            <w:r/>
            <w:r>
              <w:rPr>
                <w:sz w:val="18"/>
              </w:rPr>
              <w:t>Distinct time points</w:t>
            </w:r>
          </w:p>
        </w:tc>
        <w:tc>
          <w:tcPr>
            <w:tcW w:type="dxa" w:w="2736"/>
          </w:tcPr>
          <w:p>
            <w:r/>
            <w:r>
              <w:rPr>
                <w:rFonts w:ascii="Consolas" w:hAnsi="Consolas"/>
                <w:sz w:val="18"/>
              </w:rPr>
              <w:t>64</w:t>
            </w:r>
          </w:p>
        </w:tc>
        <w:tc>
          <w:tcPr>
            <w:tcW w:type="dxa" w:w="3024"/>
          </w:tcPr>
          <w:p>
            <w:r/>
            <w:r>
              <w:rPr>
                <w:color w:val="007017"/>
                <w:sz w:val="18"/>
              </w:rPr>
              <w:t>Pass</w:t>
            </w:r>
          </w:p>
        </w:tc>
      </w:tr>
      <w:tr>
        <w:tc>
          <w:tcPr>
            <w:tcW w:type="dxa" w:w="3312"/>
          </w:tcPr>
          <w:p>
            <w:r/>
            <w:r>
              <w:rPr>
                <w:sz w:val="18"/>
              </w:rPr>
              <w:t>Metadata completeness</w:t>
            </w:r>
          </w:p>
        </w:tc>
        <w:tc>
          <w:tcPr>
            <w:tcW w:type="dxa" w:w="2736"/>
          </w:tcPr>
          <w:p>
            <w:r/>
            <w:r>
              <w:rPr>
                <w:rFonts w:ascii="Consolas" w:hAnsi="Consolas"/>
                <w:sz w:val="18"/>
              </w:rPr>
              <w:t>97.5%</w:t>
            </w:r>
          </w:p>
        </w:tc>
        <w:tc>
          <w:tcPr>
            <w:tcW w:type="dxa" w:w="3024"/>
          </w:tcPr>
          <w:p>
            <w:r/>
            <w:r>
              <w:rPr>
                <w:color w:val="007017"/>
                <w:sz w:val="18"/>
              </w:rPr>
              <w:t>Pass</w:t>
            </w:r>
          </w:p>
        </w:tc>
      </w:tr>
      <w:tr>
        <w:tc>
          <w:tcPr>
            <w:tcW w:type="dxa" w:w="3312"/>
          </w:tcPr>
          <w:p>
            <w:r/>
            <w:r>
              <w:rPr>
                <w:sz w:val="18"/>
              </w:rPr>
              <w:t>Alignment QC pass rate</w:t>
            </w:r>
          </w:p>
        </w:tc>
        <w:tc>
          <w:tcPr>
            <w:tcW w:type="dxa" w:w="2736"/>
          </w:tcPr>
          <w:p>
            <w:r/>
            <w:r>
              <w:rPr>
                <w:rFonts w:ascii="Consolas" w:hAnsi="Consolas"/>
                <w:sz w:val="18"/>
              </w:rPr>
              <w:t>76.6%</w:t>
            </w:r>
          </w:p>
        </w:tc>
        <w:tc>
          <w:tcPr>
            <w:tcW w:type="dxa" w:w="3024"/>
          </w:tcPr>
          <w:p>
            <w:r/>
            <w:r>
              <w:rPr>
                <w:color w:val="007017"/>
                <w:sz w:val="18"/>
              </w:rPr>
              <w:t>Pass</w:t>
            </w:r>
          </w:p>
        </w:tc>
      </w:tr>
    </w:tbl>
    <w:p>
      <w:r>
        <w:rPr>
          <w:sz w:val="21"/>
        </w:rPr>
        <w:t xml:space="preserve">Serotype C has had no confirmed outbreak since 2004 and is regarded as extinct. </w:t>
      </w:r>
      <w:r>
        <w:rPr>
          <w:b/>
          <w:color w:val="007017"/>
          <w:sz w:val="21"/>
        </w:rPr>
        <w:t>Excluding it leaves 839 genomes with SAT3 as the smallest lineage at 25, and every check passes.</w:t>
      </w:r>
    </w:p>
    <w:p>
      <w:r>
        <w:rPr>
          <w:b w:val="0"/>
          <w:i w:val="0"/>
          <w:color w:val="565C65"/>
          <w:sz w:val="19"/>
        </w:rPr>
        <w:t>That is a scope decision, not a workaround: a surveillance framework cannot provide early warning for a serotype that no longer circulates. It must be recorded in the configuration and stated in any write-up, and it narrows the claim to the six circulating serotypes.</w:t>
      </w:r>
    </w:p>
    <w:p>
      <w:r>
        <w:rPr>
          <w:b/>
          <w:i w:val="0"/>
          <w:sz w:val="21"/>
        </w:rPr>
        <w:t>Three routes, in order of preference:</w:t>
      </w:r>
    </w:p>
    <w:p>
      <w:r>
        <w:rPr>
          <w:b w:val="0"/>
          <w:i w:val="0"/>
          <w:sz w:val="20"/>
        </w:rPr>
        <w:t>1.  Exclude serotype C and run FMDV end to end today. No new data needed. See Section 11.</w:t>
      </w:r>
    </w:p>
    <w:p>
      <w:r>
        <w:rPr>
          <w:b w:val="0"/>
          <w:i w:val="0"/>
          <w:sz w:val="20"/>
        </w:rPr>
        <w:t>2.  Acquire a second pathogen — LSDV first. The objectives name five; one is provisioned. See Sections 12 to 14.</w:t>
      </w:r>
    </w:p>
    <w:p>
      <w:r>
        <w:rPr>
          <w:b w:val="0"/>
          <w:i w:val="0"/>
          <w:sz w:val="20"/>
        </w:rPr>
        <w:t>3.  Obtain 12 further complete serotype C genomes. Historical isolates only, and the weakest of the three options. See Section 16.</w:t>
      </w:r>
    </w:p>
    <w:p>
      <w:r>
        <w:rPr>
          <w:b w:val="0"/>
          <w:i/>
          <w:color w:val="565C65"/>
          <w:sz w:val="19"/>
        </w:rPr>
        <w:t>What follows: Sections 1 to 10 specify the file formats and thresholds. Sections 11 to 16 cover testing with real data, procuring a new corpus, and a complete worked example.</w:t>
      </w:r>
    </w:p>
    <w:p>
      <w:pPr>
        <w:pBdr>
          <w:bottom w:val="single" w:sz="12" w:color="162E51"/>
        </w:pBdr>
      </w:pPr>
    </w:p>
    <w:p>
      <w:pPr>
        <w:spacing w:before="280" w:after="100"/>
      </w:pPr>
      <w:r>
        <w:rPr>
          <w:b/>
          <w:color w:val="162E51"/>
          <w:sz w:val="30"/>
        </w:rPr>
        <w:t>1. Required files</w:t>
      </w:r>
    </w:p>
    <w:p>
      <w:r>
        <w:rPr>
          <w:i w:val="0"/>
          <w:sz w:val="21"/>
        </w:rPr>
        <w:t>Three files. The pipeline will not start without all three.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fill="162E51"/>
          </w:tcPr>
          <w:p>
            <w:r/>
            <w:r>
              <w:rPr>
                <w:b/>
                <w:color w:val="FFFFFF"/>
                <w:sz w:val="18"/>
              </w:rPr>
              <w:t>File</w:t>
            </w:r>
          </w:p>
        </w:tc>
        <w:tc>
          <w:tcPr>
            <w:tcW w:type="dxa" w:w="1152"/>
            <w:shd w:val="clear" w:fill="162E51"/>
          </w:tcPr>
          <w:p>
            <w:r/>
            <w:r>
              <w:rPr>
                <w:b/>
                <w:color w:val="FFFFFF"/>
                <w:sz w:val="18"/>
              </w:rPr>
              <w:t>Format</w:t>
            </w:r>
          </w:p>
        </w:tc>
        <w:tc>
          <w:tcPr>
            <w:tcW w:type="dxa" w:w="2448"/>
            <w:shd w:val="clear" w:fill="162E51"/>
          </w:tcPr>
          <w:p>
            <w:r/>
            <w:r>
              <w:rPr>
                <w:b/>
                <w:color w:val="FFFFFF"/>
                <w:sz w:val="18"/>
              </w:rPr>
              <w:t>Contents</w:t>
            </w:r>
          </w:p>
        </w:tc>
        <w:tc>
          <w:tcPr>
            <w:tcW w:type="dxa" w:w="4176"/>
            <w:shd w:val="clear" w:fill="162E51"/>
          </w:tcPr>
          <w:p>
            <w:r/>
            <w:r>
              <w:rPr>
                <w:b/>
                <w:color w:val="FFFFFF"/>
                <w:sz w:val="18"/>
              </w:rPr>
              <w:t>Why it is needed</w:t>
            </w:r>
          </w:p>
        </w:tc>
      </w:tr>
      <w:tr>
        <w:tc>
          <w:tcPr>
            <w:tcW w:type="dxa" w:w="2016"/>
          </w:tcPr>
          <w:p>
            <w:r/>
            <w:r>
              <w:rPr>
                <w:rFonts w:ascii="Consolas" w:hAnsi="Consolas"/>
                <w:sz w:val="18"/>
              </w:rPr>
              <w:t>Reference genome</w:t>
            </w:r>
          </w:p>
        </w:tc>
        <w:tc>
          <w:tcPr>
            <w:tcW w:type="dxa" w:w="1152"/>
          </w:tcPr>
          <w:p>
            <w:r/>
            <w:r>
              <w:rPr>
                <w:sz w:val="18"/>
              </w:rPr>
              <w:t>FASTA</w:t>
            </w:r>
          </w:p>
        </w:tc>
        <w:tc>
          <w:tcPr>
            <w:tcW w:type="dxa" w:w="2448"/>
          </w:tcPr>
          <w:p>
            <w:r/>
            <w:r>
              <w:rPr>
                <w:sz w:val="18"/>
              </w:rPr>
              <w:t>Exactly one record</w:t>
            </w:r>
          </w:p>
        </w:tc>
        <w:tc>
          <w:tcPr>
            <w:tcW w:type="dxa" w:w="4176"/>
          </w:tcPr>
          <w:p>
            <w:r/>
            <w:r>
              <w:rPr>
                <w:sz w:val="18"/>
              </w:rPr>
              <w:t>The coordinate system. Every locus position, alignment column and genome track is measured against it.</w:t>
            </w:r>
          </w:p>
        </w:tc>
      </w:tr>
      <w:tr>
        <w:tc>
          <w:tcPr>
            <w:tcW w:type="dxa" w:w="2016"/>
          </w:tcPr>
          <w:p>
            <w:r/>
            <w:r>
              <w:rPr>
                <w:rFonts w:ascii="Consolas" w:hAnsi="Consolas"/>
                <w:sz w:val="18"/>
              </w:rPr>
              <w:t>Corpus sequences</w:t>
            </w:r>
          </w:p>
        </w:tc>
        <w:tc>
          <w:tcPr>
            <w:tcW w:type="dxa" w:w="1152"/>
          </w:tcPr>
          <w:p>
            <w:r/>
            <w:r>
              <w:rPr>
                <w:sz w:val="18"/>
              </w:rPr>
              <w:t>FASTA</w:t>
            </w:r>
          </w:p>
        </w:tc>
        <w:tc>
          <w:tcPr>
            <w:tcW w:type="dxa" w:w="2448"/>
          </w:tcPr>
          <w:p>
            <w:r/>
            <w:r>
              <w:rPr>
                <w:sz w:val="18"/>
              </w:rPr>
              <w:t>Many records, one per genome</w:t>
            </w:r>
          </w:p>
        </w:tc>
        <w:tc>
          <w:tcPr>
            <w:tcW w:type="dxa" w:w="4176"/>
          </w:tcPr>
          <w:p>
            <w:r/>
            <w:r>
              <w:rPr>
                <w:sz w:val="18"/>
              </w:rPr>
              <w:t>The genomes to analyse.</w:t>
            </w:r>
          </w:p>
        </w:tc>
      </w:tr>
      <w:tr>
        <w:tc>
          <w:tcPr>
            <w:tcW w:type="dxa" w:w="2016"/>
          </w:tcPr>
          <w:p>
            <w:r/>
            <w:r>
              <w:rPr>
                <w:rFonts w:ascii="Consolas" w:hAnsi="Consolas"/>
                <w:sz w:val="18"/>
              </w:rPr>
              <w:t>Metadata table</w:t>
            </w:r>
          </w:p>
        </w:tc>
        <w:tc>
          <w:tcPr>
            <w:tcW w:type="dxa" w:w="1152"/>
          </w:tcPr>
          <w:p>
            <w:r/>
            <w:r>
              <w:rPr>
                <w:sz w:val="18"/>
              </w:rPr>
              <w:t>TSV</w:t>
            </w:r>
          </w:p>
        </w:tc>
        <w:tc>
          <w:tcPr>
            <w:tcW w:type="dxa" w:w="2448"/>
          </w:tcPr>
          <w:p>
            <w:r/>
            <w:r>
              <w:rPr>
                <w:sz w:val="18"/>
              </w:rPr>
              <w:t>One row per genome, plus a header row</w:t>
            </w:r>
          </w:p>
        </w:tc>
        <w:tc>
          <w:tcPr>
            <w:tcW w:type="dxa" w:w="4176"/>
          </w:tcPr>
          <w:p>
            <w:r/>
            <w:r>
              <w:rPr>
                <w:sz w:val="18"/>
              </w:rPr>
              <w:t>Lineage, date and place. Drives the per-lineage floor, the temporal views and the geography.</w:t>
            </w:r>
          </w:p>
        </w:tc>
      </w:tr>
    </w:tbl>
    <w:p>
      <w:pPr>
        <w:spacing w:after="40"/>
      </w:pPr>
    </w:p>
    <w:p>
      <w:pPr>
        <w:spacing w:before="280" w:after="100"/>
      </w:pPr>
      <w:r>
        <w:rPr>
          <w:b/>
          <w:color w:val="162E51"/>
          <w:sz w:val="30"/>
        </w:rPr>
        <w:t>2. Metadata columns</w:t>
      </w:r>
    </w:p>
    <w:p>
      <w:r>
        <w:rPr>
          <w:i w:val="0"/>
          <w:sz w:val="21"/>
        </w:rPr>
        <w:t>Column names are case-sensitive and must appear in the header row.</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val="clear" w:fill="162E51"/>
          </w:tcPr>
          <w:p>
            <w:r/>
            <w:r>
              <w:rPr>
                <w:b/>
                <w:color w:val="FFFFFF"/>
                <w:sz w:val="18"/>
              </w:rPr>
              <w:t>Column</w:t>
            </w:r>
          </w:p>
        </w:tc>
        <w:tc>
          <w:tcPr>
            <w:tcW w:type="dxa" w:w="1440"/>
            <w:shd w:val="clear" w:fill="162E51"/>
          </w:tcPr>
          <w:p>
            <w:r/>
            <w:r>
              <w:rPr>
                <w:b/>
                <w:color w:val="FFFFFF"/>
                <w:sz w:val="18"/>
              </w:rPr>
              <w:t>Required</w:t>
            </w:r>
          </w:p>
        </w:tc>
        <w:tc>
          <w:tcPr>
            <w:tcW w:type="dxa" w:w="4320"/>
            <w:shd w:val="clear" w:fill="162E51"/>
          </w:tcPr>
          <w:p>
            <w:r/>
            <w:r>
              <w:rPr>
                <w:b/>
                <w:color w:val="FFFFFF"/>
                <w:sz w:val="18"/>
              </w:rPr>
              <w:t>Purpose</w:t>
            </w:r>
          </w:p>
        </w:tc>
        <w:tc>
          <w:tcPr>
            <w:tcW w:type="dxa" w:w="2160"/>
            <w:shd w:val="clear" w:fill="162E51"/>
          </w:tcPr>
          <w:p>
            <w:r/>
            <w:r>
              <w:rPr>
                <w:b/>
                <w:color w:val="FFFFFF"/>
                <w:sz w:val="18"/>
              </w:rPr>
              <w:t>Example</w:t>
            </w:r>
          </w:p>
        </w:tc>
      </w:tr>
      <w:tr>
        <w:tc>
          <w:tcPr>
            <w:tcW w:type="dxa" w:w="1872"/>
          </w:tcPr>
          <w:p>
            <w:r/>
            <w:r>
              <w:rPr>
                <w:rFonts w:ascii="Consolas" w:hAnsi="Consolas"/>
                <w:sz w:val="18"/>
              </w:rPr>
              <w:t>accession</w:t>
            </w:r>
          </w:p>
        </w:tc>
        <w:tc>
          <w:tcPr>
            <w:tcW w:type="dxa" w:w="1440"/>
          </w:tcPr>
          <w:p>
            <w:r/>
            <w:r>
              <w:rPr>
                <w:sz w:val="18"/>
              </w:rPr>
              <w:t>Yes</w:t>
            </w:r>
          </w:p>
        </w:tc>
        <w:tc>
          <w:tcPr>
            <w:tcW w:type="dxa" w:w="4320"/>
          </w:tcPr>
          <w:p>
            <w:r/>
            <w:r>
              <w:rPr>
                <w:sz w:val="18"/>
              </w:rPr>
              <w:t>Unique ID. Must match the FASTA header exactly.</w:t>
            </w:r>
          </w:p>
        </w:tc>
        <w:tc>
          <w:tcPr>
            <w:tcW w:type="dxa" w:w="2160"/>
          </w:tcPr>
          <w:p>
            <w:r/>
            <w:r>
              <w:rPr>
                <w:sz w:val="18"/>
              </w:rPr>
              <w:t>PQ587570.1</w:t>
            </w:r>
          </w:p>
        </w:tc>
      </w:tr>
      <w:tr>
        <w:tc>
          <w:tcPr>
            <w:tcW w:type="dxa" w:w="1872"/>
          </w:tcPr>
          <w:p>
            <w:r/>
            <w:r>
              <w:rPr>
                <w:rFonts w:ascii="Consolas" w:hAnsi="Consolas"/>
                <w:sz w:val="18"/>
              </w:rPr>
              <w:t>collection_date</w:t>
            </w:r>
          </w:p>
        </w:tc>
        <w:tc>
          <w:tcPr>
            <w:tcW w:type="dxa" w:w="1440"/>
          </w:tcPr>
          <w:p>
            <w:r/>
            <w:r>
              <w:rPr>
                <w:sz w:val="18"/>
              </w:rPr>
              <w:t>Recommended</w:t>
            </w:r>
          </w:p>
        </w:tc>
        <w:tc>
          <w:tcPr>
            <w:tcW w:type="dxa" w:w="4320"/>
          </w:tcPr>
          <w:p>
            <w:r/>
            <w:r>
              <w:rPr>
                <w:sz w:val="18"/>
              </w:rPr>
              <w:t>Sampling date. Counts toward metadata completeness.</w:t>
            </w:r>
          </w:p>
        </w:tc>
        <w:tc>
          <w:tcPr>
            <w:tcW w:type="dxa" w:w="2160"/>
          </w:tcPr>
          <w:p>
            <w:r/>
            <w:r>
              <w:rPr>
                <w:sz w:val="18"/>
              </w:rPr>
              <w:t>18-Jul-2024</w:t>
            </w:r>
          </w:p>
        </w:tc>
      </w:tr>
      <w:tr>
        <w:tc>
          <w:tcPr>
            <w:tcW w:type="dxa" w:w="1872"/>
          </w:tcPr>
          <w:p>
            <w:r/>
            <w:r>
              <w:rPr>
                <w:rFonts w:ascii="Consolas" w:hAnsi="Consolas"/>
                <w:sz w:val="18"/>
              </w:rPr>
              <w:t>country</w:t>
            </w:r>
          </w:p>
        </w:tc>
        <w:tc>
          <w:tcPr>
            <w:tcW w:type="dxa" w:w="1440"/>
          </w:tcPr>
          <w:p>
            <w:r/>
            <w:r>
              <w:rPr>
                <w:sz w:val="18"/>
              </w:rPr>
              <w:t>Recommended</w:t>
            </w:r>
          </w:p>
        </w:tc>
        <w:tc>
          <w:tcPr>
            <w:tcW w:type="dxa" w:w="4320"/>
          </w:tcPr>
          <w:p>
            <w:r/>
            <w:r>
              <w:rPr>
                <w:sz w:val="18"/>
              </w:rPr>
              <w:t>Sampling location. Counts toward completeness.</w:t>
            </w:r>
          </w:p>
        </w:tc>
        <w:tc>
          <w:tcPr>
            <w:tcW w:type="dxa" w:w="2160"/>
          </w:tcPr>
          <w:p>
            <w:r/>
            <w:r>
              <w:rPr>
                <w:sz w:val="18"/>
              </w:rPr>
              <w:t>India</w:t>
            </w:r>
          </w:p>
        </w:tc>
      </w:tr>
      <w:tr>
        <w:tc>
          <w:tcPr>
            <w:tcW w:type="dxa" w:w="1872"/>
          </w:tcPr>
          <w:p>
            <w:r/>
            <w:r>
              <w:rPr>
                <w:rFonts w:ascii="Consolas" w:hAnsi="Consolas"/>
                <w:sz w:val="18"/>
              </w:rPr>
              <w:t>host</w:t>
            </w:r>
          </w:p>
        </w:tc>
        <w:tc>
          <w:tcPr>
            <w:tcW w:type="dxa" w:w="1440"/>
          </w:tcPr>
          <w:p>
            <w:r/>
            <w:r>
              <w:rPr>
                <w:sz w:val="18"/>
              </w:rPr>
              <w:t>Recommended</w:t>
            </w:r>
          </w:p>
        </w:tc>
        <w:tc>
          <w:tcPr>
            <w:tcW w:type="dxa" w:w="4320"/>
          </w:tcPr>
          <w:p>
            <w:r/>
            <w:r>
              <w:rPr>
                <w:sz w:val="18"/>
              </w:rPr>
              <w:t>Host species. Counts toward completeness.</w:t>
            </w:r>
          </w:p>
        </w:tc>
        <w:tc>
          <w:tcPr>
            <w:tcW w:type="dxa" w:w="2160"/>
          </w:tcPr>
          <w:p>
            <w:r/>
            <w:r>
              <w:rPr>
                <w:sz w:val="18"/>
              </w:rPr>
              <w:t>cattle</w:t>
            </w:r>
          </w:p>
        </w:tc>
      </w:tr>
      <w:tr>
        <w:tc>
          <w:tcPr>
            <w:tcW w:type="dxa" w:w="1872"/>
          </w:tcPr>
          <w:p>
            <w:r/>
            <w:r>
              <w:rPr>
                <w:rFonts w:ascii="Consolas" w:hAnsi="Consolas"/>
                <w:sz w:val="18"/>
              </w:rPr>
              <w:t>serotype</w:t>
            </w:r>
          </w:p>
        </w:tc>
        <w:tc>
          <w:tcPr>
            <w:tcW w:type="dxa" w:w="1440"/>
          </w:tcPr>
          <w:p>
            <w:r/>
            <w:r>
              <w:rPr>
                <w:sz w:val="18"/>
              </w:rPr>
              <w:t>Recommended</w:t>
            </w:r>
          </w:p>
        </w:tc>
        <w:tc>
          <w:tcPr>
            <w:tcW w:type="dxa" w:w="4320"/>
          </w:tcPr>
          <w:p>
            <w:r/>
            <w:r>
              <w:rPr>
                <w:sz w:val="18"/>
              </w:rPr>
              <w:t>The lineage field. Drives the per-lineage floor.</w:t>
            </w:r>
          </w:p>
        </w:tc>
        <w:tc>
          <w:tcPr>
            <w:tcW w:type="dxa" w:w="2160"/>
          </w:tcPr>
          <w:p>
            <w:r/>
            <w:r>
              <w:rPr>
                <w:sz w:val="18"/>
              </w:rPr>
              <w:t>O</w:t>
            </w:r>
          </w:p>
        </w:tc>
      </w:tr>
      <w:tr>
        <w:tc>
          <w:tcPr>
            <w:tcW w:type="dxa" w:w="1872"/>
          </w:tcPr>
          <w:p>
            <w:r/>
            <w:r>
              <w:rPr>
                <w:rFonts w:ascii="Consolas" w:hAnsi="Consolas"/>
                <w:sz w:val="18"/>
              </w:rPr>
              <w:t>organism</w:t>
            </w:r>
          </w:p>
        </w:tc>
        <w:tc>
          <w:tcPr>
            <w:tcW w:type="dxa" w:w="1440"/>
          </w:tcPr>
          <w:p>
            <w:r/>
            <w:r>
              <w:rPr>
                <w:sz w:val="18"/>
              </w:rPr>
              <w:t>Optional</w:t>
            </w:r>
          </w:p>
        </w:tc>
        <w:tc>
          <w:tcPr>
            <w:tcW w:type="dxa" w:w="4320"/>
          </w:tcPr>
          <w:p>
            <w:r/>
            <w:r>
              <w:rPr>
                <w:sz w:val="18"/>
              </w:rPr>
              <w:t>Fallback when the lineage field is blank.</w:t>
            </w:r>
          </w:p>
        </w:tc>
        <w:tc>
          <w:tcPr>
            <w:tcW w:type="dxa" w:w="2160"/>
          </w:tcPr>
          <w:p>
            <w:r/>
            <w:r>
              <w:rPr>
                <w:sz w:val="18"/>
              </w:rPr>
              <w:t>FMDV - type O</w:t>
            </w:r>
          </w:p>
        </w:tc>
      </w:tr>
      <w:tr>
        <w:tc>
          <w:tcPr>
            <w:tcW w:type="dxa" w:w="1872"/>
          </w:tcPr>
          <w:p>
            <w:r/>
            <w:r>
              <w:rPr>
                <w:rFonts w:ascii="Consolas" w:hAnsi="Consolas"/>
                <w:sz w:val="18"/>
              </w:rPr>
              <w:t>isolate</w:t>
            </w:r>
          </w:p>
        </w:tc>
        <w:tc>
          <w:tcPr>
            <w:tcW w:type="dxa" w:w="1440"/>
          </w:tcPr>
          <w:p>
            <w:r/>
            <w:r>
              <w:rPr>
                <w:sz w:val="18"/>
              </w:rPr>
              <w:t>Optional</w:t>
            </w:r>
          </w:p>
        </w:tc>
        <w:tc>
          <w:tcPr>
            <w:tcW w:type="dxa" w:w="4320"/>
          </w:tcPr>
          <w:p>
            <w:r/>
            <w:r>
              <w:rPr>
                <w:sz w:val="18"/>
              </w:rPr>
              <w:t>Second fallback for lineage.</w:t>
            </w:r>
          </w:p>
        </w:tc>
        <w:tc>
          <w:tcPr>
            <w:tcW w:type="dxa" w:w="2160"/>
          </w:tcPr>
          <w:p>
            <w:r/>
            <w:r>
              <w:rPr>
                <w:sz w:val="18"/>
              </w:rPr>
              <w:t>O/IND/53/2024</w:t>
            </w:r>
          </w:p>
        </w:tc>
      </w:tr>
      <w:tr>
        <w:tc>
          <w:tcPr>
            <w:tcW w:type="dxa" w:w="1872"/>
          </w:tcPr>
          <w:p>
            <w:r/>
            <w:r>
              <w:rPr>
                <w:rFonts w:ascii="Consolas" w:hAnsi="Consolas"/>
                <w:sz w:val="18"/>
              </w:rPr>
              <w:t>strain</w:t>
            </w:r>
          </w:p>
        </w:tc>
        <w:tc>
          <w:tcPr>
            <w:tcW w:type="dxa" w:w="1440"/>
          </w:tcPr>
          <w:p>
            <w:r/>
            <w:r>
              <w:rPr>
                <w:sz w:val="18"/>
              </w:rPr>
              <w:t>Optional</w:t>
            </w:r>
          </w:p>
        </w:tc>
        <w:tc>
          <w:tcPr>
            <w:tcW w:type="dxa" w:w="4320"/>
          </w:tcPr>
          <w:p>
            <w:r/>
            <w:r>
              <w:rPr>
                <w:sz w:val="18"/>
              </w:rPr>
              <w:t>Third fallback for lineage.</w:t>
            </w:r>
          </w:p>
        </w:tc>
        <w:tc>
          <w:tcPr>
            <w:tcW w:type="dxa" w:w="2160"/>
          </w:tcPr>
          <w:p>
            <w:r/>
            <w:r>
              <w:rPr>
                <w:sz w:val="18"/>
              </w:rPr>
              <w:t>PanAsia-2</w:t>
            </w:r>
          </w:p>
        </w:tc>
      </w:tr>
      <w:tr>
        <w:tc>
          <w:tcPr>
            <w:tcW w:type="dxa" w:w="1872"/>
          </w:tcPr>
          <w:p>
            <w:r/>
            <w:r>
              <w:rPr>
                <w:rFonts w:ascii="Consolas" w:hAnsi="Consolas"/>
                <w:sz w:val="18"/>
              </w:rPr>
              <w:t>length</w:t>
            </w:r>
          </w:p>
        </w:tc>
        <w:tc>
          <w:tcPr>
            <w:tcW w:type="dxa" w:w="1440"/>
          </w:tcPr>
          <w:p>
            <w:r/>
            <w:r>
              <w:rPr>
                <w:sz w:val="18"/>
              </w:rPr>
              <w:t>Optional</w:t>
            </w:r>
          </w:p>
        </w:tc>
        <w:tc>
          <w:tcPr>
            <w:tcW w:type="dxa" w:w="4320"/>
          </w:tcPr>
          <w:p>
            <w:r/>
            <w:r>
              <w:rPr>
                <w:sz w:val="18"/>
              </w:rPr>
              <w:t>Sequence length, if known.</w:t>
            </w:r>
          </w:p>
        </w:tc>
        <w:tc>
          <w:tcPr>
            <w:tcW w:type="dxa" w:w="2160"/>
          </w:tcPr>
          <w:p>
            <w:r/>
            <w:r>
              <w:rPr>
                <w:sz w:val="18"/>
              </w:rPr>
              <w:t>8201</w:t>
            </w:r>
          </w:p>
        </w:tc>
      </w:tr>
    </w:tbl>
    <w:p>
      <w:pPr>
        <w:spacing w:after="40"/>
      </w:pPr>
    </w:p>
    <w:p>
      <w:r>
        <w:rPr>
          <w:i w:val="0"/>
          <w:color w:val="565C65"/>
          <w:sz w:val="19"/>
        </w:rPr>
        <w:t>Accepted date formats: 18-Jul-2024, 2024-07-18, 18-Jul-2024/21-Jul-2024, or a bare year (2024). A four-digit year is extracted from any of these.</w:t>
      </w:r>
    </w:p>
    <w:p>
      <w:pPr>
        <w:spacing w:before="280" w:after="100"/>
      </w:pPr>
      <w:r>
        <w:rPr>
          <w:b/>
          <w:color w:val="162E51"/>
          <w:sz w:val="30"/>
        </w:rPr>
        <w:t>3. File format examples</w:t>
      </w:r>
    </w:p>
    <w:p>
      <w:r>
        <w:rPr>
          <w:i w:val="0"/>
          <w:sz w:val="21"/>
        </w:rPr>
        <w:t>Reference genome and corpus sequences (FASTA):</w:t>
      </w:r>
    </w:p>
    <w:p>
      <w:pPr>
        <w:spacing w:after="160"/>
        <w:ind w:left="360"/>
      </w:pPr>
      <w:r>
        <w:rPr>
          <w:rFonts w:ascii="Consolas" w:hAnsi="Consolas"/>
          <w:sz w:val="18"/>
        </w:rPr>
        <w:t>&gt;AY593823.1 Foot-and-mouth disease virus</w:t>
        <w:br/>
        <w:t>GTTGAAAGGGGGCGCTAGGGTCTCACCCCTAGCGTTGGC…</w:t>
        <w:br/>
        <w:t>&gt;PQ587570.1</w:t>
        <w:br/>
        <w:t>GTTGAAAGGGGGCGCTAGGGTCTCACCCCTAGCGTTGGC…</w:t>
      </w:r>
    </w:p>
    <w:p>
      <w:r>
        <w:rPr>
          <w:i w:val="0"/>
          <w:sz w:val="21"/>
        </w:rPr>
        <w:t>Metadata table (TSV — tab-separated, not spaces):</w:t>
      </w:r>
    </w:p>
    <w:p>
      <w:pPr>
        <w:spacing w:after="160"/>
        <w:ind w:left="360"/>
      </w:pPr>
      <w:r>
        <w:rPr>
          <w:rFonts w:ascii="Consolas" w:hAnsi="Consolas"/>
          <w:sz w:val="18"/>
        </w:rPr>
        <w:t>accession</w:t>
        <w:tab/>
        <w:t>collection_date</w:t>
        <w:tab/>
        <w:t>country</w:t>
        <w:tab/>
        <w:t>host</w:t>
        <w:tab/>
        <w:t>serotype</w:t>
        <w:br/>
        <w:t>PQ587570.1</w:t>
        <w:tab/>
        <w:t>18-Jul-2024</w:t>
        <w:tab/>
        <w:t>India</w:t>
        <w:tab/>
        <w:t>cattle</w:t>
        <w:tab/>
        <w:t>O</w:t>
        <w:br/>
        <w:t>PQ587565.1</w:t>
        <w:tab/>
        <w:t>25-Jul-2024</w:t>
        <w:tab/>
        <w:t>India</w:t>
        <w:tab/>
        <w:t>buffalo</w:t>
        <w:tab/>
        <w:t>A</w:t>
      </w:r>
    </w:p>
    <w:p>
      <w:pPr>
        <w:spacing w:before="280" w:after="100"/>
      </w:pPr>
      <w:r>
        <w:rPr>
          <w:b/>
          <w:color w:val="B50909"/>
          <w:sz w:val="30"/>
        </w:rPr>
        <w:t>4. The rule that most often breaks a run</w:t>
      </w:r>
    </w:p>
    <w:p>
      <w:r>
        <w:rPr>
          <w:i w:val="0"/>
          <w:sz w:val="21"/>
        </w:rPr>
        <w:t>The FASTA header ID and the metadata accession must match exactly.</w:t>
      </w:r>
    </w:p>
    <w:p>
      <w:r>
        <w:rPr>
          <w:i w:val="0"/>
          <w:sz w:val="21"/>
        </w:rPr>
        <w:t>G4-WATCH takes the first whitespace-delimited token of the header, so "&gt;AY593823.1 Foot-and-mouth disease virus" matches the accession "AY593823.1". If they disagree, the alignment and the metadata are describing different corpora and the run stops with that message rather than analysing a mismatched set.</w:t>
      </w:r>
    </w:p>
    <w:p>
      <w:pPr>
        <w:spacing w:before="280" w:after="100"/>
      </w:pPr>
      <w:r>
        <w:rPr>
          <w:b/>
          <w:color w:val="162E51"/>
          <w:sz w:val="30"/>
        </w:rPr>
        <w:t>5. Optional files</w:t>
      </w:r>
    </w:p>
    <w:p>
      <w:r>
        <w:rPr>
          <w:i w:val="0"/>
          <w:sz w:val="21"/>
        </w:rPr>
        <w:t>Supplying one of these skips the stage that would otherwise produce it. Useful when the external tool for that stage is not installed.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fill="162E51"/>
          </w:tcPr>
          <w:p>
            <w:r/>
            <w:r>
              <w:rPr>
                <w:b/>
                <w:color w:val="FFFFFF"/>
                <w:sz w:val="18"/>
              </w:rPr>
              <w:t>File</w:t>
            </w:r>
          </w:p>
        </w:tc>
        <w:tc>
          <w:tcPr>
            <w:tcW w:type="dxa" w:w="1296"/>
            <w:shd w:val="clear" w:fill="162E51"/>
          </w:tcPr>
          <w:p>
            <w:r/>
            <w:r>
              <w:rPr>
                <w:b/>
                <w:color w:val="FFFFFF"/>
                <w:sz w:val="18"/>
              </w:rPr>
              <w:t>Format</w:t>
            </w:r>
          </w:p>
        </w:tc>
        <w:tc>
          <w:tcPr>
            <w:tcW w:type="dxa" w:w="3456"/>
            <w:shd w:val="clear" w:fill="162E51"/>
          </w:tcPr>
          <w:p>
            <w:r/>
            <w:r>
              <w:rPr>
                <w:b/>
                <w:color w:val="FFFFFF"/>
                <w:sz w:val="18"/>
              </w:rPr>
              <w:t>Skips</w:t>
            </w:r>
          </w:p>
        </w:tc>
        <w:tc>
          <w:tcPr>
            <w:tcW w:type="dxa" w:w="2880"/>
            <w:shd w:val="clear" w:fill="162E51"/>
          </w:tcPr>
          <w:p>
            <w:r/>
            <w:r>
              <w:rPr>
                <w:b/>
                <w:color w:val="FFFFFF"/>
                <w:sz w:val="18"/>
              </w:rPr>
              <w:t>Requirement</w:t>
            </w:r>
          </w:p>
        </w:tc>
      </w:tr>
      <w:tr>
        <w:tc>
          <w:tcPr>
            <w:tcW w:type="dxa" w:w="2160"/>
          </w:tcPr>
          <w:p>
            <w:r/>
            <w:r>
              <w:rPr>
                <w:rFonts w:ascii="Consolas" w:hAnsi="Consolas"/>
                <w:sz w:val="18"/>
              </w:rPr>
              <w:t>Aligned FASTA</w:t>
            </w:r>
          </w:p>
        </w:tc>
        <w:tc>
          <w:tcPr>
            <w:tcW w:type="dxa" w:w="1296"/>
          </w:tcPr>
          <w:p>
            <w:r/>
            <w:r>
              <w:rPr>
                <w:sz w:val="18"/>
              </w:rPr>
              <w:t>FASTA</w:t>
            </w:r>
          </w:p>
        </w:tc>
        <w:tc>
          <w:tcPr>
            <w:tcW w:type="dxa" w:w="3456"/>
          </w:tcPr>
          <w:p>
            <w:r/>
            <w:r>
              <w:rPr>
                <w:sz w:val="18"/>
              </w:rPr>
              <w:t>Stage 04 Preprocessing (MAFFT)</w:t>
            </w:r>
          </w:p>
        </w:tc>
        <w:tc>
          <w:tcPr>
            <w:tcW w:type="dxa" w:w="2880"/>
          </w:tcPr>
          <w:p>
            <w:r/>
            <w:r>
              <w:rPr>
                <w:sz w:val="18"/>
              </w:rPr>
              <w:t>Reference-anchored; every record the same length.</w:t>
            </w:r>
          </w:p>
        </w:tc>
      </w:tr>
      <w:tr>
        <w:tc>
          <w:tcPr>
            <w:tcW w:type="dxa" w:w="2160"/>
          </w:tcPr>
          <w:p>
            <w:r/>
            <w:r>
              <w:rPr>
                <w:rFonts w:ascii="Consolas" w:hAnsi="Consolas"/>
                <w:sz w:val="18"/>
              </w:rPr>
              <w:t>Rooted tree</w:t>
            </w:r>
          </w:p>
        </w:tc>
        <w:tc>
          <w:tcPr>
            <w:tcW w:type="dxa" w:w="1296"/>
          </w:tcPr>
          <w:p>
            <w:r/>
            <w:r>
              <w:rPr>
                <w:sz w:val="18"/>
              </w:rPr>
              <w:t>Newick</w:t>
            </w:r>
          </w:p>
        </w:tc>
        <w:tc>
          <w:tcPr>
            <w:tcW w:type="dxa" w:w="3456"/>
          </w:tcPr>
          <w:p>
            <w:r/>
            <w:r>
              <w:rPr>
                <w:sz w:val="18"/>
              </w:rPr>
              <w:t>Stage 06 Phylogenetics (IQ-TREE)</w:t>
            </w:r>
          </w:p>
        </w:tc>
        <w:tc>
          <w:tcPr>
            <w:tcW w:type="dxa" w:w="2880"/>
          </w:tcPr>
          <w:p>
            <w:r/>
            <w:r>
              <w:rPr>
                <w:sz w:val="18"/>
              </w:rPr>
              <w:t>Tip labels must be the accessions.</w:t>
            </w:r>
          </w:p>
        </w:tc>
      </w:tr>
      <w:tr>
        <w:tc>
          <w:tcPr>
            <w:tcW w:type="dxa" w:w="2160"/>
          </w:tcPr>
          <w:p>
            <w:r/>
            <w:r>
              <w:rPr>
                <w:rFonts w:ascii="Consolas" w:hAnsi="Consolas"/>
                <w:sz w:val="18"/>
              </w:rPr>
              <w:t>G4 Reference Atlas</w:t>
            </w:r>
          </w:p>
        </w:tc>
        <w:tc>
          <w:tcPr>
            <w:tcW w:type="dxa" w:w="1296"/>
          </w:tcPr>
          <w:p>
            <w:r/>
            <w:r>
              <w:rPr>
                <w:sz w:val="18"/>
              </w:rPr>
              <w:t>TSV</w:t>
            </w:r>
          </w:p>
        </w:tc>
        <w:tc>
          <w:tcPr>
            <w:tcW w:type="dxa" w:w="3456"/>
          </w:tcPr>
          <w:p>
            <w:r/>
            <w:r>
              <w:rPr>
                <w:sz w:val="18"/>
              </w:rPr>
              <w:t>Stage 05 Genomic</w:t>
            </w:r>
          </w:p>
        </w:tc>
        <w:tc>
          <w:tcPr>
            <w:tcW w:type="dxa" w:w="2880"/>
          </w:tcPr>
          <w:p>
            <w:r/>
            <w:r>
              <w:rPr>
                <w:sz w:val="18"/>
              </w:rPr>
              <w:t>A previously built Atlas for this reference.</w:t>
            </w:r>
          </w:p>
        </w:tc>
      </w:tr>
    </w:tbl>
    <w:p>
      <w:pPr>
        <w:spacing w:after="40"/>
      </w:pPr>
    </w:p>
    <w:p>
      <w:pPr>
        <w:spacing w:before="280" w:after="100"/>
      </w:pPr>
      <w:r>
        <w:rPr>
          <w:b/>
          <w:color w:val="162E51"/>
          <w:sz w:val="30"/>
        </w:rPr>
        <w:t>6. Per-sequence quality thresholds</w:t>
      </w:r>
    </w:p>
    <w:p>
      <w:r>
        <w:rPr>
          <w:i w:val="0"/>
          <w:sz w:val="21"/>
        </w:rPr>
        <w:t>Applied to every genome at Stage 01. Sequences that fail are excluded from the analysis and reported in the QC table.</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fill="162E51"/>
          </w:tcPr>
          <w:p>
            <w:r/>
            <w:r>
              <w:rPr>
                <w:b/>
                <w:color w:val="FFFFFF"/>
                <w:sz w:val="18"/>
              </w:rPr>
              <w:t>Check</w:t>
            </w:r>
          </w:p>
        </w:tc>
        <w:tc>
          <w:tcPr>
            <w:tcW w:type="dxa" w:w="3024"/>
            <w:shd w:val="clear" w:fill="162E51"/>
          </w:tcPr>
          <w:p>
            <w:r/>
            <w:r>
              <w:rPr>
                <w:b/>
                <w:color w:val="FFFFFF"/>
                <w:sz w:val="18"/>
              </w:rPr>
              <w:t>Threshold</w:t>
            </w:r>
          </w:p>
        </w:tc>
        <w:tc>
          <w:tcPr>
            <w:tcW w:type="dxa" w:w="4320"/>
            <w:shd w:val="clear" w:fill="162E51"/>
          </w:tcPr>
          <w:p>
            <w:r/>
            <w:r>
              <w:rPr>
                <w:b/>
                <w:color w:val="FFFFFF"/>
                <w:sz w:val="18"/>
              </w:rPr>
              <w:t>Meaning</w:t>
            </w:r>
          </w:p>
        </w:tc>
      </w:tr>
      <w:tr>
        <w:tc>
          <w:tcPr>
            <w:tcW w:type="dxa" w:w="2448"/>
          </w:tcPr>
          <w:p>
            <w:r/>
            <w:r>
              <w:rPr>
                <w:rFonts w:ascii="Consolas" w:hAnsi="Consolas"/>
                <w:sz w:val="18"/>
              </w:rPr>
              <w:t>Genome completeness</w:t>
            </w:r>
          </w:p>
        </w:tc>
        <w:tc>
          <w:tcPr>
            <w:tcW w:type="dxa" w:w="3024"/>
          </w:tcPr>
          <w:p>
            <w:r/>
            <w:r>
              <w:rPr>
                <w:sz w:val="18"/>
              </w:rPr>
              <w:t>≥ 90% of reference length</w:t>
            </w:r>
          </w:p>
        </w:tc>
        <w:tc>
          <w:tcPr>
            <w:tcW w:type="dxa" w:w="4320"/>
          </w:tcPr>
          <w:p>
            <w:r/>
            <w:r>
              <w:rPr>
                <w:sz w:val="18"/>
              </w:rPr>
              <w:t>Short or partial genomes distort alignment columns.</w:t>
            </w:r>
          </w:p>
        </w:tc>
      </w:tr>
      <w:tr>
        <w:tc>
          <w:tcPr>
            <w:tcW w:type="dxa" w:w="2448"/>
          </w:tcPr>
          <w:p>
            <w:r/>
            <w:r>
              <w:rPr>
                <w:rFonts w:ascii="Consolas" w:hAnsi="Consolas"/>
                <w:sz w:val="18"/>
              </w:rPr>
              <w:t>Ambiguous bases (N)</w:t>
            </w:r>
          </w:p>
        </w:tc>
        <w:tc>
          <w:tcPr>
            <w:tcW w:type="dxa" w:w="3024"/>
          </w:tcPr>
          <w:p>
            <w:r/>
            <w:r>
              <w:rPr>
                <w:sz w:val="18"/>
              </w:rPr>
              <w:t>≤ 5% of the sequence</w:t>
            </w:r>
          </w:p>
        </w:tc>
        <w:tc>
          <w:tcPr>
            <w:tcW w:type="dxa" w:w="4320"/>
          </w:tcPr>
          <w:p>
            <w:r/>
            <w:r>
              <w:rPr>
                <w:sz w:val="18"/>
              </w:rPr>
              <w:t>High N content makes a locus call unreliable.</w:t>
            </w:r>
          </w:p>
        </w:tc>
      </w:tr>
      <w:tr>
        <w:tc>
          <w:tcPr>
            <w:tcW w:type="dxa" w:w="2448"/>
          </w:tcPr>
          <w:p>
            <w:r/>
            <w:r>
              <w:rPr>
                <w:rFonts w:ascii="Consolas" w:hAnsi="Consolas"/>
                <w:sz w:val="18"/>
              </w:rPr>
              <w:t>Date precision</w:t>
            </w:r>
          </w:p>
        </w:tc>
        <w:tc>
          <w:tcPr>
            <w:tcW w:type="dxa" w:w="3024"/>
          </w:tcPr>
          <w:p>
            <w:r/>
            <w:r>
              <w:rPr>
                <w:sz w:val="18"/>
              </w:rPr>
              <w:t>Year required</w:t>
            </w:r>
          </w:p>
        </w:tc>
        <w:tc>
          <w:tcPr>
            <w:tcW w:type="dxa" w:w="4320"/>
          </w:tcPr>
          <w:p>
            <w:r/>
            <w:r>
              <w:rPr>
                <w:sz w:val="18"/>
              </w:rPr>
              <w:t>Undated genomes cannot enter any temporal analysis.</w:t>
            </w:r>
          </w:p>
        </w:tc>
      </w:tr>
    </w:tbl>
    <w:p>
      <w:pPr>
        <w:spacing w:after="40"/>
      </w:pPr>
    </w:p>
    <w:p>
      <w:pPr>
        <w:spacing w:before="280" w:after="100"/>
      </w:pPr>
      <w:r>
        <w:rPr>
          <w:b/>
          <w:color w:val="162E51"/>
          <w:sz w:val="30"/>
        </w:rPr>
        <w:t>7. Minimum dataset — the Appendix C floor</w:t>
      </w:r>
    </w:p>
    <w:p>
      <w:r>
        <w:rPr>
          <w:i w:val="0"/>
          <w:sz w:val="21"/>
        </w:rPr>
        <w:t>These nine checks run before any hypothesis test. They all run unconditionally, so every reason a dataset is insufficient is reported at once rather than one at a time. If any check fails, the analysis stops and reports INSUFFICIENT_DATA — which is a result, not an error.</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162E51"/>
          </w:tcPr>
          <w:p>
            <w:r/>
            <w:r>
              <w:rPr>
                <w:b/>
                <w:color w:val="FFFFFF"/>
                <w:sz w:val="18"/>
              </w:rPr>
              <w:t>Requirement</w:t>
            </w:r>
          </w:p>
        </w:tc>
        <w:tc>
          <w:tcPr>
            <w:tcW w:type="dxa" w:w="1728"/>
            <w:shd w:val="clear" w:fill="162E51"/>
          </w:tcPr>
          <w:p>
            <w:r/>
            <w:r>
              <w:rPr>
                <w:b/>
                <w:color w:val="FFFFFF"/>
                <w:sz w:val="18"/>
              </w:rPr>
              <w:t>Minimum</w:t>
            </w:r>
          </w:p>
        </w:tc>
        <w:tc>
          <w:tcPr>
            <w:tcW w:type="dxa" w:w="5328"/>
            <w:shd w:val="clear" w:fill="162E51"/>
          </w:tcPr>
          <w:p>
            <w:r/>
            <w:r>
              <w:rPr>
                <w:b/>
                <w:color w:val="FFFFFF"/>
                <w:sz w:val="18"/>
              </w:rPr>
              <w:t>Why</w:t>
            </w:r>
          </w:p>
        </w:tc>
      </w:tr>
      <w:tr>
        <w:tc>
          <w:tcPr>
            <w:tcW w:type="dxa" w:w="2736"/>
          </w:tcPr>
          <w:p>
            <w:r/>
            <w:r>
              <w:rPr>
                <w:rFonts w:ascii="Consolas" w:hAnsi="Consolas"/>
                <w:sz w:val="18"/>
              </w:rPr>
              <w:t>Sequences in the window</w:t>
            </w:r>
          </w:p>
        </w:tc>
        <w:tc>
          <w:tcPr>
            <w:tcW w:type="dxa" w:w="1728"/>
          </w:tcPr>
          <w:p>
            <w:r/>
            <w:r>
              <w:rPr>
                <w:sz w:val="18"/>
              </w:rPr>
              <w:t>≥ 30</w:t>
            </w:r>
          </w:p>
        </w:tc>
        <w:tc>
          <w:tcPr>
            <w:tcW w:type="dxa" w:w="5328"/>
          </w:tcPr>
          <w:p>
            <w:r/>
            <w:r>
              <w:rPr>
                <w:sz w:val="18"/>
              </w:rPr>
              <w:t>Any estimate needs a corpus.</w:t>
            </w:r>
          </w:p>
        </w:tc>
      </w:tr>
      <w:tr>
        <w:tc>
          <w:tcPr>
            <w:tcW w:type="dxa" w:w="2736"/>
          </w:tcPr>
          <w:p>
            <w:r/>
            <w:r>
              <w:rPr>
                <w:rFonts w:ascii="Consolas" w:hAnsi="Consolas"/>
                <w:sz w:val="18"/>
              </w:rPr>
              <w:t>Sequences per lineage</w:t>
            </w:r>
          </w:p>
        </w:tc>
        <w:tc>
          <w:tcPr>
            <w:tcW w:type="dxa" w:w="1728"/>
          </w:tcPr>
          <w:p>
            <w:r/>
            <w:r>
              <w:rPr>
                <w:sz w:val="18"/>
              </w:rPr>
              <w:t>≥ 20</w:t>
            </w:r>
          </w:p>
        </w:tc>
        <w:tc>
          <w:tcPr>
            <w:tcW w:type="dxa" w:w="5328"/>
          </w:tcPr>
          <w:p>
            <w:r/>
            <w:r>
              <w:rPr>
                <w:sz w:val="18"/>
              </w:rPr>
              <w:t>Corpus size cannot compensate for one thin lineage. This is the most common blocker.</w:t>
            </w:r>
          </w:p>
        </w:tc>
      </w:tr>
      <w:tr>
        <w:tc>
          <w:tcPr>
            <w:tcW w:type="dxa" w:w="2736"/>
          </w:tcPr>
          <w:p>
            <w:r/>
            <w:r>
              <w:rPr>
                <w:rFonts w:ascii="Consolas" w:hAnsi="Consolas"/>
                <w:sz w:val="18"/>
              </w:rPr>
              <w:t>Distinct time points</w:t>
            </w:r>
          </w:p>
        </w:tc>
        <w:tc>
          <w:tcPr>
            <w:tcW w:type="dxa" w:w="1728"/>
          </w:tcPr>
          <w:p>
            <w:r/>
            <w:r>
              <w:rPr>
                <w:sz w:val="18"/>
              </w:rPr>
              <w:t>≥ 3</w:t>
            </w:r>
          </w:p>
        </w:tc>
        <w:tc>
          <w:tcPr>
            <w:tcW w:type="dxa" w:w="5328"/>
          </w:tcPr>
          <w:p>
            <w:r/>
            <w:r>
              <w:rPr>
                <w:sz w:val="18"/>
              </w:rPr>
              <w:t>Temporal analysis needs more than one date.</w:t>
            </w:r>
          </w:p>
        </w:tc>
      </w:tr>
      <w:tr>
        <w:tc>
          <w:tcPr>
            <w:tcW w:type="dxa" w:w="2736"/>
          </w:tcPr>
          <w:p>
            <w:r/>
            <w:r>
              <w:rPr>
                <w:rFonts w:ascii="Consolas" w:hAnsi="Consolas"/>
                <w:sz w:val="18"/>
              </w:rPr>
              <w:t>Metadata completeness</w:t>
            </w:r>
          </w:p>
        </w:tc>
        <w:tc>
          <w:tcPr>
            <w:tcW w:type="dxa" w:w="1728"/>
          </w:tcPr>
          <w:p>
            <w:r/>
            <w:r>
              <w:rPr>
                <w:sz w:val="18"/>
              </w:rPr>
              <w:t>≥ 90%</w:t>
            </w:r>
          </w:p>
        </w:tc>
        <w:tc>
          <w:tcPr>
            <w:tcW w:type="dxa" w:w="5328"/>
          </w:tcPr>
          <w:p>
            <w:r/>
            <w:r>
              <w:rPr>
                <w:sz w:val="18"/>
              </w:rPr>
              <w:t>Fraction of genomes with date, country and host.</w:t>
            </w:r>
          </w:p>
        </w:tc>
      </w:tr>
      <w:tr>
        <w:tc>
          <w:tcPr>
            <w:tcW w:type="dxa" w:w="2736"/>
          </w:tcPr>
          <w:p>
            <w:r/>
            <w:r>
              <w:rPr>
                <w:rFonts w:ascii="Consolas" w:hAnsi="Consolas"/>
                <w:sz w:val="18"/>
              </w:rPr>
              <w:t>Alignment QC pass rate</w:t>
            </w:r>
          </w:p>
        </w:tc>
        <w:tc>
          <w:tcPr>
            <w:tcW w:type="dxa" w:w="1728"/>
          </w:tcPr>
          <w:p>
            <w:r/>
            <w:r>
              <w:rPr>
                <w:sz w:val="18"/>
              </w:rPr>
              <w:t>≥ 50%</w:t>
            </w:r>
          </w:p>
        </w:tc>
        <w:tc>
          <w:tcPr>
            <w:tcW w:type="dxa" w:w="5328"/>
          </w:tcPr>
          <w:p>
            <w:r/>
            <w:r>
              <w:rPr>
                <w:sz w:val="18"/>
              </w:rPr>
              <w:t>Guards against a corpus destroyed by quality filtering.</w:t>
            </w:r>
          </w:p>
        </w:tc>
      </w:tr>
      <w:tr>
        <w:tc>
          <w:tcPr>
            <w:tcW w:type="dxa" w:w="2736"/>
          </w:tcPr>
          <w:p>
            <w:r/>
            <w:r>
              <w:rPr>
                <w:rFonts w:ascii="Consolas" w:hAnsi="Consolas"/>
                <w:sz w:val="18"/>
              </w:rPr>
              <w:t>Informative clades, locus</w:t>
            </w:r>
          </w:p>
        </w:tc>
        <w:tc>
          <w:tcPr>
            <w:tcW w:type="dxa" w:w="1728"/>
          </w:tcPr>
          <w:p>
            <w:r/>
            <w:r>
              <w:rPr>
                <w:sz w:val="18"/>
              </w:rPr>
              <w:t>≥ 3</w:t>
            </w:r>
          </w:p>
        </w:tc>
        <w:tc>
          <w:tcPr>
            <w:tcW w:type="dxa" w:w="5328"/>
          </w:tcPr>
          <w:p>
            <w:r/>
            <w:r>
              <w:rPr>
                <w:sz w:val="18"/>
              </w:rPr>
              <w:t>The test needs replicates.</w:t>
            </w:r>
          </w:p>
        </w:tc>
      </w:tr>
      <w:tr>
        <w:tc>
          <w:tcPr>
            <w:tcW w:type="dxa" w:w="2736"/>
          </w:tcPr>
          <w:p>
            <w:r/>
            <w:r>
              <w:rPr>
                <w:rFonts w:ascii="Consolas" w:hAnsi="Consolas"/>
                <w:sz w:val="18"/>
              </w:rPr>
              <w:t>Informative clades, control</w:t>
            </w:r>
          </w:p>
        </w:tc>
        <w:tc>
          <w:tcPr>
            <w:tcW w:type="dxa" w:w="1728"/>
          </w:tcPr>
          <w:p>
            <w:r/>
            <w:r>
              <w:rPr>
                <w:sz w:val="18"/>
              </w:rPr>
              <w:t>≥ 3</w:t>
            </w:r>
          </w:p>
        </w:tc>
        <w:tc>
          <w:tcPr>
            <w:tcW w:type="dxa" w:w="5328"/>
          </w:tcPr>
          <w:p>
            <w:r/>
            <w:r>
              <w:rPr>
                <w:sz w:val="18"/>
              </w:rPr>
              <w:t>Same, for the matched control region.</w:t>
            </w:r>
          </w:p>
        </w:tc>
      </w:tr>
      <w:tr>
        <w:tc>
          <w:tcPr>
            <w:tcW w:type="dxa" w:w="2736"/>
          </w:tcPr>
          <w:p>
            <w:r/>
            <w:r>
              <w:rPr>
                <w:rFonts w:ascii="Consolas" w:hAnsi="Consolas"/>
                <w:sz w:val="18"/>
              </w:rPr>
              <w:t>Matched control region</w:t>
            </w:r>
          </w:p>
        </w:tc>
        <w:tc>
          <w:tcPr>
            <w:tcW w:type="dxa" w:w="1728"/>
          </w:tcPr>
          <w:p>
            <w:r/>
            <w:r>
              <w:rPr>
                <w:sz w:val="18"/>
              </w:rPr>
              <w:t>Must be found</w:t>
            </w:r>
          </w:p>
        </w:tc>
        <w:tc>
          <w:tcPr>
            <w:tcW w:type="dxa" w:w="5328"/>
          </w:tcPr>
          <w:p>
            <w:r/>
            <w:r>
              <w:rPr>
                <w:sz w:val="18"/>
              </w:rPr>
              <w:t>No control, no comparison.</w:t>
            </w:r>
          </w:p>
        </w:tc>
      </w:tr>
      <w:tr>
        <w:tc>
          <w:tcPr>
            <w:tcW w:type="dxa" w:w="2736"/>
          </w:tcPr>
          <w:p>
            <w:r/>
            <w:r>
              <w:rPr>
                <w:rFonts w:ascii="Consolas" w:hAnsi="Consolas"/>
                <w:sz w:val="18"/>
              </w:rPr>
              <w:t>Recombination screen</w:t>
            </w:r>
          </w:p>
        </w:tc>
        <w:tc>
          <w:tcPr>
            <w:tcW w:type="dxa" w:w="1728"/>
          </w:tcPr>
          <w:p>
            <w:r/>
            <w:r>
              <w:rPr>
                <w:sz w:val="18"/>
              </w:rPr>
              <w:t>Must have run</w:t>
            </w:r>
          </w:p>
        </w:tc>
        <w:tc>
          <w:tcPr>
            <w:tcW w:type="dxa" w:w="5328"/>
          </w:tcPr>
          <w:p>
            <w:r/>
            <w:r>
              <w:rPr>
                <w:sz w:val="18"/>
              </w:rPr>
              <w:t>Recombination mimics the signal being tested.</w:t>
            </w:r>
          </w:p>
        </w:tc>
      </w:tr>
    </w:tbl>
    <w:p>
      <w:pPr>
        <w:spacing w:after="40"/>
      </w:pPr>
    </w:p>
    <w:p>
      <w:r>
        <w:rPr>
          <w:i/>
          <w:color w:val="565C65"/>
          <w:sz w:val="19"/>
        </w:rPr>
        <w:t>Note: clearing this floor permits the test to run. It does not imply the dataset is adequately powered, which is assessed separately.</w:t>
      </w:r>
    </w:p>
    <w:p>
      <w:pPr>
        <w:spacing w:before="280" w:after="100"/>
      </w:pPr>
      <w:r>
        <w:rPr>
          <w:b/>
          <w:color w:val="162E51"/>
          <w:sz w:val="30"/>
        </w:rPr>
        <w:t>8. Worked example — the current FMDV corpus</w:t>
      </w:r>
    </w:p>
    <w:p>
      <w:r>
        <w:rPr>
          <w:i w:val="0"/>
          <w:sz w:val="21"/>
        </w:rPr>
        <w:t>Measured from the live dataset, to show how the floor behaves in practice.</w:t>
      </w:r>
    </w:p>
    <w:tbl>
      <w:tblPr>
        <w:tblStyle w:val="TableGrid"/>
        <w:tblW w:type="auto" w:w="0"/>
        <w:jc w:val="center"/>
        <w:tblLook w:firstColumn="1" w:firstRow="1" w:lastColumn="0" w:lastRow="0" w:noHBand="0" w:noVBand="1" w:val="04A0"/>
      </w:tblPr>
      <w:tblGrid>
        <w:gridCol w:w="3216"/>
        <w:gridCol w:w="3216"/>
        <w:gridCol w:w="3216"/>
      </w:tblGrid>
      <w:tr>
        <w:tc>
          <w:tcPr>
            <w:tcW w:type="dxa" w:w="3312"/>
            <w:shd w:val="clear" w:fill="162E51"/>
          </w:tcPr>
          <w:p>
            <w:r/>
            <w:r>
              <w:rPr>
                <w:b/>
                <w:color w:val="FFFFFF"/>
                <w:sz w:val="18"/>
              </w:rPr>
              <w:t>Requirement</w:t>
            </w:r>
          </w:p>
        </w:tc>
        <w:tc>
          <w:tcPr>
            <w:tcW w:type="dxa" w:w="2880"/>
            <w:shd w:val="clear" w:fill="162E51"/>
          </w:tcPr>
          <w:p>
            <w:r/>
            <w:r>
              <w:rPr>
                <w:b/>
                <w:color w:val="FFFFFF"/>
                <w:sz w:val="18"/>
              </w:rPr>
              <w:t>Actual</w:t>
            </w:r>
          </w:p>
        </w:tc>
        <w:tc>
          <w:tcPr>
            <w:tcW w:type="dxa" w:w="3600"/>
            <w:shd w:val="clear" w:fill="162E51"/>
          </w:tcPr>
          <w:p>
            <w:r/>
            <w:r>
              <w:rPr>
                <w:b/>
                <w:color w:val="FFFFFF"/>
                <w:sz w:val="18"/>
              </w:rPr>
              <w:t>Result</w:t>
            </w:r>
          </w:p>
        </w:tc>
      </w:tr>
      <w:tr>
        <w:tc>
          <w:tcPr>
            <w:tcW w:type="dxa" w:w="3312"/>
          </w:tcPr>
          <w:p>
            <w:r/>
            <w:r>
              <w:rPr>
                <w:rFonts w:ascii="Consolas" w:hAnsi="Consolas"/>
                <w:sz w:val="18"/>
              </w:rPr>
              <w:t>Sequences in the window</w:t>
            </w:r>
          </w:p>
        </w:tc>
        <w:tc>
          <w:tcPr>
            <w:tcW w:type="dxa" w:w="2880"/>
          </w:tcPr>
          <w:p>
            <w:r/>
            <w:r>
              <w:rPr>
                <w:sz w:val="18"/>
              </w:rPr>
              <w:t>848</w:t>
            </w:r>
          </w:p>
        </w:tc>
        <w:tc>
          <w:tcPr>
            <w:tcW w:type="dxa" w:w="3600"/>
          </w:tcPr>
          <w:p>
            <w:r/>
            <w:r>
              <w:rPr>
                <w:sz w:val="18"/>
              </w:rPr>
              <w:t>Pass</w:t>
            </w:r>
          </w:p>
        </w:tc>
      </w:tr>
      <w:tr>
        <w:tc>
          <w:tcPr>
            <w:tcW w:type="dxa" w:w="3312"/>
          </w:tcPr>
          <w:p>
            <w:r/>
            <w:r>
              <w:rPr>
                <w:rFonts w:ascii="Consolas" w:hAnsi="Consolas"/>
                <w:sz w:val="18"/>
              </w:rPr>
              <w:t>Sequences per lineage</w:t>
            </w:r>
          </w:p>
        </w:tc>
        <w:tc>
          <w:tcPr>
            <w:tcW w:type="dxa" w:w="2880"/>
          </w:tcPr>
          <w:p>
            <w:r/>
            <w:r>
              <w:rPr>
                <w:sz w:val="18"/>
              </w:rPr>
              <w:t>8  (serotype C)</w:t>
            </w:r>
          </w:p>
        </w:tc>
        <w:tc>
          <w:tcPr>
            <w:tcW w:type="dxa" w:w="3600"/>
          </w:tcPr>
          <w:p>
            <w:r/>
            <w:r>
              <w:rPr>
                <w:sz w:val="18"/>
              </w:rPr>
              <w:t>FAIL — floor is 20</w:t>
            </w:r>
          </w:p>
        </w:tc>
      </w:tr>
      <w:tr>
        <w:tc>
          <w:tcPr>
            <w:tcW w:type="dxa" w:w="3312"/>
          </w:tcPr>
          <w:p>
            <w:r/>
            <w:r>
              <w:rPr>
                <w:rFonts w:ascii="Consolas" w:hAnsi="Consolas"/>
                <w:sz w:val="18"/>
              </w:rPr>
              <w:t>Distinct time points</w:t>
            </w:r>
          </w:p>
        </w:tc>
        <w:tc>
          <w:tcPr>
            <w:tcW w:type="dxa" w:w="2880"/>
          </w:tcPr>
          <w:p>
            <w:r/>
            <w:r>
              <w:rPr>
                <w:sz w:val="18"/>
              </w:rPr>
              <w:t>64</w:t>
            </w:r>
          </w:p>
        </w:tc>
        <w:tc>
          <w:tcPr>
            <w:tcW w:type="dxa" w:w="3600"/>
          </w:tcPr>
          <w:p>
            <w:r/>
            <w:r>
              <w:rPr>
                <w:sz w:val="18"/>
              </w:rPr>
              <w:t>Pass</w:t>
            </w:r>
          </w:p>
        </w:tc>
      </w:tr>
      <w:tr>
        <w:tc>
          <w:tcPr>
            <w:tcW w:type="dxa" w:w="3312"/>
          </w:tcPr>
          <w:p>
            <w:r/>
            <w:r>
              <w:rPr>
                <w:rFonts w:ascii="Consolas" w:hAnsi="Consolas"/>
                <w:sz w:val="18"/>
              </w:rPr>
              <w:t>Metadata completeness</w:t>
            </w:r>
          </w:p>
        </w:tc>
        <w:tc>
          <w:tcPr>
            <w:tcW w:type="dxa" w:w="2880"/>
          </w:tcPr>
          <w:p>
            <w:r/>
            <w:r>
              <w:rPr>
                <w:sz w:val="18"/>
              </w:rPr>
              <w:t>97.5%</w:t>
            </w:r>
          </w:p>
        </w:tc>
        <w:tc>
          <w:tcPr>
            <w:tcW w:type="dxa" w:w="3600"/>
          </w:tcPr>
          <w:p>
            <w:r/>
            <w:r>
              <w:rPr>
                <w:sz w:val="18"/>
              </w:rPr>
              <w:t>Pass</w:t>
            </w:r>
          </w:p>
        </w:tc>
      </w:tr>
      <w:tr>
        <w:tc>
          <w:tcPr>
            <w:tcW w:type="dxa" w:w="3312"/>
          </w:tcPr>
          <w:p>
            <w:r/>
            <w:r>
              <w:rPr>
                <w:rFonts w:ascii="Consolas" w:hAnsi="Consolas"/>
                <w:sz w:val="18"/>
              </w:rPr>
              <w:t>Alignment QC pass rate</w:t>
            </w:r>
          </w:p>
        </w:tc>
        <w:tc>
          <w:tcPr>
            <w:tcW w:type="dxa" w:w="2880"/>
          </w:tcPr>
          <w:p>
            <w:r/>
            <w:r>
              <w:rPr>
                <w:sz w:val="18"/>
              </w:rPr>
              <w:t>76.6%</w:t>
            </w:r>
          </w:p>
        </w:tc>
        <w:tc>
          <w:tcPr>
            <w:tcW w:type="dxa" w:w="3600"/>
          </w:tcPr>
          <w:p>
            <w:r/>
            <w:r>
              <w:rPr>
                <w:sz w:val="18"/>
              </w:rPr>
              <w:t>Pass</w:t>
            </w:r>
          </w:p>
        </w:tc>
      </w:tr>
    </w:tbl>
    <w:p>
      <w:pPr>
        <w:spacing w:after="40"/>
      </w:pPr>
    </w:p>
    <w:p>
      <w:r>
        <w:rPr>
          <w:i w:val="0"/>
          <w:color w:val="565C65"/>
          <w:sz w:val="19"/>
        </w:rPr>
        <w:t>One lineage below the floor blocks the entire analysis. Roughly twelve further quality-passing serotype C genomes would clear it. No change to the software substitutes for that data.</w:t>
      </w:r>
    </w:p>
    <w:p>
      <w:pPr>
        <w:spacing w:before="280" w:after="100"/>
      </w:pPr>
      <w:r>
        <w:rPr>
          <w:b/>
          <w:color w:val="162E51"/>
          <w:sz w:val="30"/>
        </w:rPr>
        <w:t>9. How to load the data</w:t>
      </w:r>
    </w:p>
    <w:p>
      <w:r>
        <w:rPr>
          <w:i w:val="0"/>
          <w:sz w:val="21"/>
        </w:rPr>
        <w:t>The interface reads files from inside the project directory. A web page cannot write to your disk, so there is no upload button.</w:t>
      </w:r>
    </w:p>
    <w:p>
      <w:pPr>
        <w:spacing w:after="160"/>
        <w:ind w:left="360"/>
      </w:pPr>
      <w:r>
        <w:rPr>
          <w:rFonts w:ascii="Consolas" w:hAnsi="Consolas"/>
          <w:sz w:val="18"/>
        </w:rPr>
        <w:t>1.  cp yourfiles.*  /home/ubantu/ICAR_miniProjects/G4_WATCH/data/</w:t>
        <w:br/>
        <w:t>2.  Open the workstation, go to  01 Data</w:t>
        <w:br/>
        <w:t>3.  Press  Rescan folder</w:t>
        <w:br/>
        <w:t>4.  Press  Validate  next to each file</w:t>
        <w:br/>
        <w:t>5.  Review  02 Validation, then run  04 Run</w:t>
      </w:r>
    </w:p>
    <w:p>
      <w:r>
        <w:rPr>
          <w:i w:val="0"/>
          <w:sz w:val="21"/>
        </w:rPr>
        <w:t>For a new pathogen, copy config/fmdv.yaml, point reference.fasta, corpus.metadata_tsv and corpus.sequences_fasta at your files, set lineage_field, and save it as config/&lt;name&gt;.yaml. It then appears in the pathogen list.</w:t>
      </w:r>
    </w:p>
    <w:p>
      <w:pPr>
        <w:spacing w:before="280" w:after="100"/>
      </w:pPr>
      <w:r>
        <w:rPr>
          <w:b/>
          <w:color w:val="162E51"/>
          <w:sz w:val="30"/>
        </w:rPr>
        <w:t>10. All accepted file formats</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fill="162E51"/>
          </w:tcPr>
          <w:p>
            <w:r/>
            <w:r>
              <w:rPr>
                <w:b/>
                <w:color w:val="FFFFFF"/>
                <w:sz w:val="18"/>
              </w:rPr>
              <w:t>Category</w:t>
            </w:r>
          </w:p>
        </w:tc>
        <w:tc>
          <w:tcPr>
            <w:tcW w:type="dxa" w:w="3024"/>
            <w:shd w:val="clear" w:fill="162E51"/>
          </w:tcPr>
          <w:p>
            <w:r/>
            <w:r>
              <w:rPr>
                <w:b/>
                <w:color w:val="FFFFFF"/>
                <w:sz w:val="18"/>
              </w:rPr>
              <w:t>Extensions</w:t>
            </w:r>
          </w:p>
        </w:tc>
        <w:tc>
          <w:tcPr>
            <w:tcW w:type="dxa" w:w="4896"/>
            <w:shd w:val="clear" w:fill="162E51"/>
          </w:tcPr>
          <w:p>
            <w:r/>
            <w:r>
              <w:rPr>
                <w:b/>
                <w:color w:val="FFFFFF"/>
                <w:sz w:val="18"/>
              </w:rPr>
              <w:t>Validation performed</w:t>
            </w:r>
          </w:p>
        </w:tc>
      </w:tr>
      <w:tr>
        <w:tc>
          <w:tcPr>
            <w:tcW w:type="dxa" w:w="1872"/>
          </w:tcPr>
          <w:p>
            <w:r/>
            <w:r>
              <w:rPr>
                <w:rFonts w:ascii="Consolas" w:hAnsi="Consolas"/>
                <w:sz w:val="18"/>
              </w:rPr>
              <w:t>Sequences</w:t>
            </w:r>
          </w:p>
        </w:tc>
        <w:tc>
          <w:tcPr>
            <w:tcW w:type="dxa" w:w="3024"/>
          </w:tcPr>
          <w:p>
            <w:r/>
            <w:r>
              <w:rPr>
                <w:sz w:val="18"/>
              </w:rPr>
              <w:t>.fasta .fa .fna .fas</w:t>
            </w:r>
          </w:p>
        </w:tc>
        <w:tc>
          <w:tcPr>
            <w:tcW w:type="dxa" w:w="4896"/>
          </w:tcPr>
          <w:p>
            <w:r/>
            <w:r>
              <w:rPr>
                <w:sz w:val="18"/>
              </w:rPr>
              <w:t>Record count, lengths, alphabet, duplicate IDs, empty records</w:t>
            </w:r>
          </w:p>
        </w:tc>
      </w:tr>
      <w:tr>
        <w:tc>
          <w:tcPr>
            <w:tcW w:type="dxa" w:w="1872"/>
          </w:tcPr>
          <w:p>
            <w:r/>
            <w:r>
              <w:rPr>
                <w:rFonts w:ascii="Consolas" w:hAnsi="Consolas"/>
                <w:sz w:val="18"/>
              </w:rPr>
              <w:t>Reads</w:t>
            </w:r>
          </w:p>
        </w:tc>
        <w:tc>
          <w:tcPr>
            <w:tcW w:type="dxa" w:w="3024"/>
          </w:tcPr>
          <w:p>
            <w:r/>
            <w:r>
              <w:rPr>
                <w:sz w:val="18"/>
              </w:rPr>
              <w:t>.fastq .fq</w:t>
            </w:r>
          </w:p>
        </w:tc>
        <w:tc>
          <w:tcPr>
            <w:tcW w:type="dxa" w:w="4896"/>
          </w:tcPr>
          <w:p>
            <w:r/>
            <w:r>
              <w:rPr>
                <w:sz w:val="18"/>
              </w:rPr>
              <w:t>Record structure, quality/sequence length agreement</w:t>
            </w:r>
          </w:p>
        </w:tc>
      </w:tr>
      <w:tr>
        <w:tc>
          <w:tcPr>
            <w:tcW w:type="dxa" w:w="1872"/>
          </w:tcPr>
          <w:p>
            <w:r/>
            <w:r>
              <w:rPr>
                <w:rFonts w:ascii="Consolas" w:hAnsi="Consolas"/>
                <w:sz w:val="18"/>
              </w:rPr>
              <w:t>Tables</w:t>
            </w:r>
          </w:p>
        </w:tc>
        <w:tc>
          <w:tcPr>
            <w:tcW w:type="dxa" w:w="3024"/>
          </w:tcPr>
          <w:p>
            <w:r/>
            <w:r>
              <w:rPr>
                <w:sz w:val="18"/>
              </w:rPr>
              <w:t>.tsv .csv .txt</w:t>
            </w:r>
          </w:p>
        </w:tc>
        <w:tc>
          <w:tcPr>
            <w:tcW w:type="dxa" w:w="4896"/>
          </w:tcPr>
          <w:p>
            <w:r/>
            <w:r>
              <w:rPr>
                <w:sz w:val="18"/>
              </w:rPr>
              <w:t>Header, row count, ragged rows, missing metadata, duplicate accessions</w:t>
            </w:r>
          </w:p>
        </w:tc>
      </w:tr>
      <w:tr>
        <w:tc>
          <w:tcPr>
            <w:tcW w:type="dxa" w:w="1872"/>
          </w:tcPr>
          <w:p>
            <w:r/>
            <w:r>
              <w:rPr>
                <w:rFonts w:ascii="Consolas" w:hAnsi="Consolas"/>
                <w:sz w:val="18"/>
              </w:rPr>
              <w:t>Trees</w:t>
            </w:r>
          </w:p>
        </w:tc>
        <w:tc>
          <w:tcPr>
            <w:tcW w:type="dxa" w:w="3024"/>
          </w:tcPr>
          <w:p>
            <w:r/>
            <w:r>
              <w:rPr>
                <w:sz w:val="18"/>
              </w:rPr>
              <w:t>.nwk .newick .tree .treefile</w:t>
            </w:r>
          </w:p>
        </w:tc>
        <w:tc>
          <w:tcPr>
            <w:tcW w:type="dxa" w:w="4896"/>
          </w:tcPr>
          <w:p>
            <w:r/>
            <w:r>
              <w:rPr>
                <w:sz w:val="18"/>
              </w:rPr>
              <w:t>Parentheses balance, tip count, branch lengths present</w:t>
            </w:r>
          </w:p>
        </w:tc>
      </w:tr>
      <w:tr>
        <w:tc>
          <w:tcPr>
            <w:tcW w:type="dxa" w:w="1872"/>
          </w:tcPr>
          <w:p>
            <w:r/>
            <w:r>
              <w:rPr>
                <w:rFonts w:ascii="Consolas" w:hAnsi="Consolas"/>
                <w:sz w:val="18"/>
              </w:rPr>
              <w:t>Variants</w:t>
            </w:r>
          </w:p>
        </w:tc>
        <w:tc>
          <w:tcPr>
            <w:tcW w:type="dxa" w:w="3024"/>
          </w:tcPr>
          <w:p>
            <w:r/>
            <w:r>
              <w:rPr>
                <w:sz w:val="18"/>
              </w:rPr>
              <w:t>.vcf</w:t>
            </w:r>
          </w:p>
        </w:tc>
        <w:tc>
          <w:tcPr>
            <w:tcW w:type="dxa" w:w="4896"/>
          </w:tcPr>
          <w:p>
            <w:r/>
            <w:r>
              <w:rPr>
                <w:sz w:val="18"/>
              </w:rPr>
              <w:t>Header line, record count, sample columns</w:t>
            </w:r>
          </w:p>
        </w:tc>
      </w:tr>
      <w:tr>
        <w:tc>
          <w:tcPr>
            <w:tcW w:type="dxa" w:w="1872"/>
          </w:tcPr>
          <w:p>
            <w:r/>
            <w:r>
              <w:rPr>
                <w:rFonts w:ascii="Consolas" w:hAnsi="Consolas"/>
                <w:sz w:val="18"/>
              </w:rPr>
              <w:t>Alignments</w:t>
            </w:r>
          </w:p>
        </w:tc>
        <w:tc>
          <w:tcPr>
            <w:tcW w:type="dxa" w:w="3024"/>
          </w:tcPr>
          <w:p>
            <w:r/>
            <w:r>
              <w:rPr>
                <w:sz w:val="18"/>
              </w:rPr>
              <w:t>.bam .sam .cram</w:t>
            </w:r>
          </w:p>
        </w:tc>
        <w:tc>
          <w:tcPr>
            <w:tcW w:type="dxa" w:w="4896"/>
          </w:tcPr>
          <w:p>
            <w:r/>
            <w:r>
              <w:rPr>
                <w:sz w:val="18"/>
              </w:rPr>
              <w:t>Container header only — record parsing needs pysam</w:t>
            </w:r>
          </w:p>
        </w:tc>
      </w:tr>
      <w:tr>
        <w:tc>
          <w:tcPr>
            <w:tcW w:type="dxa" w:w="1872"/>
          </w:tcPr>
          <w:p>
            <w:r/>
            <w:r>
              <w:rPr>
                <w:rFonts w:ascii="Consolas" w:hAnsi="Consolas"/>
                <w:sz w:val="18"/>
              </w:rPr>
              <w:t>Spreadsheets</w:t>
            </w:r>
          </w:p>
        </w:tc>
        <w:tc>
          <w:tcPr>
            <w:tcW w:type="dxa" w:w="3024"/>
          </w:tcPr>
          <w:p>
            <w:r/>
            <w:r>
              <w:rPr>
                <w:sz w:val="18"/>
              </w:rPr>
              <w:t>.xlsx .xls</w:t>
            </w:r>
          </w:p>
        </w:tc>
        <w:tc>
          <w:tcPr>
            <w:tcW w:type="dxa" w:w="4896"/>
          </w:tcPr>
          <w:p>
            <w:r/>
            <w:r>
              <w:rPr>
                <w:sz w:val="18"/>
              </w:rPr>
              <w:t>Container header only — record parsing needs openpyxl</w:t>
            </w:r>
          </w:p>
        </w:tc>
      </w:tr>
      <w:tr>
        <w:tc>
          <w:tcPr>
            <w:tcW w:type="dxa" w:w="1872"/>
          </w:tcPr>
          <w:p>
            <w:r/>
            <w:r>
              <w:rPr>
                <w:rFonts w:ascii="Consolas" w:hAnsi="Consolas"/>
                <w:sz w:val="18"/>
              </w:rPr>
              <w:t>Annotation</w:t>
            </w:r>
          </w:p>
        </w:tc>
        <w:tc>
          <w:tcPr>
            <w:tcW w:type="dxa" w:w="3024"/>
          </w:tcPr>
          <w:p>
            <w:r/>
            <w:r>
              <w:rPr>
                <w:sz w:val="18"/>
              </w:rPr>
              <w:t>.gff .gff3 .gtf .bed</w:t>
            </w:r>
          </w:p>
        </w:tc>
        <w:tc>
          <w:tcPr>
            <w:tcW w:type="dxa" w:w="4896"/>
          </w:tcPr>
          <w:p>
            <w:r/>
            <w:r>
              <w:rPr>
                <w:sz w:val="18"/>
              </w:rPr>
              <w:t>Delimited-table checks</w:t>
            </w:r>
          </w:p>
        </w:tc>
      </w:tr>
      <w:tr>
        <w:tc>
          <w:tcPr>
            <w:tcW w:type="dxa" w:w="1872"/>
          </w:tcPr>
          <w:p>
            <w:r/>
            <w:r>
              <w:rPr>
                <w:rFonts w:ascii="Consolas" w:hAnsi="Consolas"/>
                <w:sz w:val="18"/>
              </w:rPr>
              <w:t>Other</w:t>
            </w:r>
          </w:p>
        </w:tc>
        <w:tc>
          <w:tcPr>
            <w:tcW w:type="dxa" w:w="3024"/>
          </w:tcPr>
          <w:p>
            <w:r/>
            <w:r>
              <w:rPr>
                <w:sz w:val="18"/>
              </w:rPr>
              <w:t>.nex .nexus .gb .gbk .json .yaml</w:t>
            </w:r>
          </w:p>
        </w:tc>
        <w:tc>
          <w:tcPr>
            <w:tcW w:type="dxa" w:w="4896"/>
          </w:tcPr>
          <w:p>
            <w:r/>
            <w:r>
              <w:rPr>
                <w:sz w:val="18"/>
              </w:rPr>
              <w:t>Format identified; no structural validator yet</w:t>
            </w:r>
          </w:p>
        </w:tc>
      </w:tr>
    </w:tbl>
    <w:p>
      <w:pPr>
        <w:spacing w:after="40"/>
      </w:pPr>
    </w:p>
    <w:p>
      <w:r>
        <w:rPr>
          <w:i/>
          <w:color w:val="565C65"/>
          <w:sz w:val="19"/>
        </w:rPr>
        <w:t>Where a validator cannot parse a file it reports that and declines to state a record count, rather than guessing one.</w:t>
      </w:r>
    </w:p>
    <w:p>
      <w:r>
        <w:br w:type="page"/>
      </w:r>
    </w:p>
    <w:p>
      <w:pPr>
        <w:spacing w:before="320" w:after="100"/>
      </w:pPr>
      <w:r>
        <w:rPr>
          <w:b/>
          <w:color w:val="007017"/>
          <w:sz w:val="30"/>
        </w:rPr>
        <w:t>11. Testing with real data — start here</w:t>
      </w:r>
    </w:p>
    <w:p>
      <w:r>
        <w:rPr>
          <w:b/>
          <w:i w:val="0"/>
          <w:sz w:val="21"/>
        </w:rPr>
        <w:t>Before procuring anything, note that the existing FMDV corpus already contains a dataset that clears the minimum-data floor.</w:t>
      </w:r>
    </w:p>
    <w:p>
      <w:r>
        <w:rPr>
          <w:b w:val="0"/>
          <w:i w:val="0"/>
          <w:sz w:val="21"/>
        </w:rPr>
        <w:t>The corpus fails on one lineage only:</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fill="162E51"/>
          </w:tcPr>
          <w:p>
            <w:r/>
            <w:r>
              <w:rPr>
                <w:b/>
                <w:color w:val="FFFFFF"/>
                <w:sz w:val="18"/>
              </w:rPr>
              <w:t>Serotype</w:t>
            </w:r>
          </w:p>
        </w:tc>
        <w:tc>
          <w:tcPr>
            <w:tcW w:type="dxa" w:w="2016"/>
            <w:shd w:val="clear" w:fill="162E51"/>
          </w:tcPr>
          <w:p>
            <w:r/>
            <w:r>
              <w:rPr>
                <w:b/>
                <w:color w:val="FFFFFF"/>
                <w:sz w:val="18"/>
              </w:rPr>
              <w:t>Genomes</w:t>
            </w:r>
          </w:p>
        </w:tc>
        <w:tc>
          <w:tcPr>
            <w:tcW w:type="dxa" w:w="5040"/>
            <w:shd w:val="clear" w:fill="162E51"/>
          </w:tcPr>
          <w:p>
            <w:r/>
            <w:r>
              <w:rPr>
                <w:b/>
                <w:color w:val="FFFFFF"/>
                <w:sz w:val="18"/>
              </w:rPr>
              <w:t>Against the floor of 20</w:t>
            </w:r>
          </w:p>
        </w:tc>
      </w:tr>
      <w:tr>
        <w:tc>
          <w:tcPr>
            <w:tcW w:type="dxa" w:w="2016"/>
          </w:tcPr>
          <w:p>
            <w:r/>
            <w:r>
              <w:rPr>
                <w:rFonts w:ascii="Consolas" w:hAnsi="Consolas"/>
                <w:sz w:val="18"/>
              </w:rPr>
              <w:t>O</w:t>
            </w:r>
          </w:p>
        </w:tc>
        <w:tc>
          <w:tcPr>
            <w:tcW w:type="dxa" w:w="2016"/>
          </w:tcPr>
          <w:p>
            <w:r/>
            <w:r>
              <w:rPr>
                <w:sz w:val="18"/>
              </w:rPr>
              <w:t>380</w:t>
            </w:r>
          </w:p>
        </w:tc>
        <w:tc>
          <w:tcPr>
            <w:tcW w:type="dxa" w:w="5040"/>
          </w:tcPr>
          <w:p>
            <w:r/>
            <w:r>
              <w:rPr>
                <w:sz w:val="18"/>
              </w:rPr>
              <w:t>Pass</w:t>
            </w:r>
          </w:p>
        </w:tc>
      </w:tr>
      <w:tr>
        <w:tc>
          <w:tcPr>
            <w:tcW w:type="dxa" w:w="2016"/>
          </w:tcPr>
          <w:p>
            <w:r/>
            <w:r>
              <w:rPr>
                <w:rFonts w:ascii="Consolas" w:hAnsi="Consolas"/>
                <w:sz w:val="18"/>
              </w:rPr>
              <w:t>A</w:t>
            </w:r>
          </w:p>
        </w:tc>
        <w:tc>
          <w:tcPr>
            <w:tcW w:type="dxa" w:w="2016"/>
          </w:tcPr>
          <w:p>
            <w:r/>
            <w:r>
              <w:rPr>
                <w:sz w:val="18"/>
              </w:rPr>
              <w:t>204</w:t>
            </w:r>
          </w:p>
        </w:tc>
        <w:tc>
          <w:tcPr>
            <w:tcW w:type="dxa" w:w="5040"/>
          </w:tcPr>
          <w:p>
            <w:r/>
            <w:r>
              <w:rPr>
                <w:sz w:val="18"/>
              </w:rPr>
              <w:t>Pass</w:t>
            </w:r>
          </w:p>
        </w:tc>
      </w:tr>
      <w:tr>
        <w:tc>
          <w:tcPr>
            <w:tcW w:type="dxa" w:w="2016"/>
          </w:tcPr>
          <w:p>
            <w:r/>
            <w:r>
              <w:rPr>
                <w:rFonts w:ascii="Consolas" w:hAnsi="Consolas"/>
                <w:sz w:val="18"/>
              </w:rPr>
              <w:t>ASIA1</w:t>
            </w:r>
          </w:p>
        </w:tc>
        <w:tc>
          <w:tcPr>
            <w:tcW w:type="dxa" w:w="2016"/>
          </w:tcPr>
          <w:p>
            <w:r/>
            <w:r>
              <w:rPr>
                <w:sz w:val="18"/>
              </w:rPr>
              <w:t>106</w:t>
            </w:r>
          </w:p>
        </w:tc>
        <w:tc>
          <w:tcPr>
            <w:tcW w:type="dxa" w:w="5040"/>
          </w:tcPr>
          <w:p>
            <w:r/>
            <w:r>
              <w:rPr>
                <w:sz w:val="18"/>
              </w:rPr>
              <w:t>Pass</w:t>
            </w:r>
          </w:p>
        </w:tc>
      </w:tr>
      <w:tr>
        <w:tc>
          <w:tcPr>
            <w:tcW w:type="dxa" w:w="2016"/>
          </w:tcPr>
          <w:p>
            <w:r/>
            <w:r>
              <w:rPr>
                <w:rFonts w:ascii="Consolas" w:hAnsi="Consolas"/>
                <w:sz w:val="18"/>
              </w:rPr>
              <w:t>SAT2</w:t>
            </w:r>
          </w:p>
        </w:tc>
        <w:tc>
          <w:tcPr>
            <w:tcW w:type="dxa" w:w="2016"/>
          </w:tcPr>
          <w:p>
            <w:r/>
            <w:r>
              <w:rPr>
                <w:sz w:val="18"/>
              </w:rPr>
              <w:t>73</w:t>
            </w:r>
          </w:p>
        </w:tc>
        <w:tc>
          <w:tcPr>
            <w:tcW w:type="dxa" w:w="5040"/>
          </w:tcPr>
          <w:p>
            <w:r/>
            <w:r>
              <w:rPr>
                <w:sz w:val="18"/>
              </w:rPr>
              <w:t>Pass</w:t>
            </w:r>
          </w:p>
        </w:tc>
      </w:tr>
      <w:tr>
        <w:tc>
          <w:tcPr>
            <w:tcW w:type="dxa" w:w="2016"/>
          </w:tcPr>
          <w:p>
            <w:r/>
            <w:r>
              <w:rPr>
                <w:rFonts w:ascii="Consolas" w:hAnsi="Consolas"/>
                <w:sz w:val="18"/>
              </w:rPr>
              <w:t>SAT1</w:t>
            </w:r>
          </w:p>
        </w:tc>
        <w:tc>
          <w:tcPr>
            <w:tcW w:type="dxa" w:w="2016"/>
          </w:tcPr>
          <w:p>
            <w:r/>
            <w:r>
              <w:rPr>
                <w:sz w:val="18"/>
              </w:rPr>
              <w:t>51</w:t>
            </w:r>
          </w:p>
        </w:tc>
        <w:tc>
          <w:tcPr>
            <w:tcW w:type="dxa" w:w="5040"/>
          </w:tcPr>
          <w:p>
            <w:r/>
            <w:r>
              <w:rPr>
                <w:sz w:val="18"/>
              </w:rPr>
              <w:t>Pass</w:t>
            </w:r>
          </w:p>
        </w:tc>
      </w:tr>
      <w:tr>
        <w:tc>
          <w:tcPr>
            <w:tcW w:type="dxa" w:w="2016"/>
          </w:tcPr>
          <w:p>
            <w:r/>
            <w:r>
              <w:rPr>
                <w:rFonts w:ascii="Consolas" w:hAnsi="Consolas"/>
                <w:sz w:val="18"/>
              </w:rPr>
              <w:t>SAT3</w:t>
            </w:r>
          </w:p>
        </w:tc>
        <w:tc>
          <w:tcPr>
            <w:tcW w:type="dxa" w:w="2016"/>
          </w:tcPr>
          <w:p>
            <w:r/>
            <w:r>
              <w:rPr>
                <w:sz w:val="18"/>
              </w:rPr>
              <w:t>25</w:t>
            </w:r>
          </w:p>
        </w:tc>
        <w:tc>
          <w:tcPr>
            <w:tcW w:type="dxa" w:w="5040"/>
          </w:tcPr>
          <w:p>
            <w:r/>
            <w:r>
              <w:rPr>
                <w:sz w:val="18"/>
              </w:rPr>
              <w:t>Pass</w:t>
            </w:r>
          </w:p>
        </w:tc>
      </w:tr>
      <w:tr>
        <w:tc>
          <w:tcPr>
            <w:tcW w:type="dxa" w:w="2016"/>
          </w:tcPr>
          <w:p>
            <w:r/>
            <w:r>
              <w:rPr>
                <w:rFonts w:ascii="Consolas" w:hAnsi="Consolas"/>
                <w:sz w:val="18"/>
              </w:rPr>
              <w:t>C</w:t>
            </w:r>
          </w:p>
        </w:tc>
        <w:tc>
          <w:tcPr>
            <w:tcW w:type="dxa" w:w="2016"/>
          </w:tcPr>
          <w:p>
            <w:r/>
            <w:r>
              <w:rPr>
                <w:sz w:val="18"/>
              </w:rPr>
              <w:t>8</w:t>
            </w:r>
          </w:p>
        </w:tc>
        <w:tc>
          <w:tcPr>
            <w:tcW w:type="dxa" w:w="5040"/>
          </w:tcPr>
          <w:p>
            <w:r/>
            <w:r>
              <w:rPr>
                <w:sz w:val="18"/>
              </w:rPr>
              <w:t>FAIL — the only blocker</w:t>
            </w:r>
          </w:p>
        </w:tc>
      </w:tr>
    </w:tbl>
    <w:p>
      <w:pPr>
        <w:spacing w:after="40"/>
      </w:pPr>
    </w:p>
    <w:p>
      <w:r>
        <w:rPr>
          <w:b w:val="0"/>
          <w:i w:val="0"/>
          <w:sz w:val="21"/>
        </w:rPr>
        <w:t>Serotype C has had no confirmed outbreak anywhere since 2004 and is generally regarded as extinct. Excluding it is a scope decision rather than a workaround: a surveillance framework cannot provide early warning for a serotype that no longer circulates.</w:t>
      </w:r>
    </w:p>
    <w:p>
      <w:r>
        <w:rPr>
          <w:b/>
          <w:i w:val="0"/>
          <w:color w:val="007017"/>
          <w:sz w:val="21"/>
        </w:rPr>
        <w:t>Excluding serotype C leaves 839 genomes with SAT3 as the smallest lineage at 25, and the floor passes. The pipeline can then be run end to end on real data with no acquisition at all.</w:t>
      </w:r>
    </w:p>
    <w:p>
      <w:r>
        <w:rPr>
          <w:b w:val="0"/>
          <w:i/>
          <w:color w:val="565C65"/>
          <w:sz w:val="19"/>
        </w:rPr>
        <w:t>The exclusion must be recorded in the pathogen configuration and stated in any write-up, and it narrows the claim from "FMDV" to "the six circulating FMDV serotypes". That is a smaller claim, but a true one.</w:t>
      </w:r>
    </w:p>
    <w:p>
      <w:pPr>
        <w:spacing w:before="320" w:after="100"/>
      </w:pPr>
      <w:r>
        <w:rPr>
          <w:b/>
          <w:color w:val="162E51"/>
          <w:sz w:val="30"/>
        </w:rPr>
        <w:t>12. Procuring data for a second pathogen</w:t>
      </w:r>
    </w:p>
    <w:p>
      <w:r>
        <w:rPr>
          <w:b w:val="0"/>
          <w:i w:val="0"/>
          <w:sz w:val="21"/>
        </w:rPr>
        <w:t>The research objectives name five priority pathogens; one is currently provisioned. A second pathogen is what makes any cross-pathogen comparison possible, and it exercises the pipeline on a genuinely different genome architecture.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80"/>
            <w:shd w:val="clear" w:fill="162E51"/>
          </w:tcPr>
          <w:p>
            <w:r/>
            <w:r>
              <w:rPr>
                <w:b/>
                <w:color w:val="FFFFFF"/>
                <w:sz w:val="18"/>
              </w:rPr>
              <w:t>Pathogen</w:t>
            </w:r>
          </w:p>
        </w:tc>
        <w:tc>
          <w:tcPr>
            <w:tcW w:type="dxa" w:w="1224"/>
            <w:shd w:val="clear" w:fill="162E51"/>
          </w:tcPr>
          <w:p>
            <w:r/>
            <w:r>
              <w:rPr>
                <w:b/>
                <w:color w:val="FFFFFF"/>
                <w:sz w:val="18"/>
              </w:rPr>
              <w:t>NCBI taxid</w:t>
            </w:r>
          </w:p>
        </w:tc>
        <w:tc>
          <w:tcPr>
            <w:tcW w:type="dxa" w:w="1440"/>
            <w:shd w:val="clear" w:fill="162E51"/>
          </w:tcPr>
          <w:p>
            <w:r/>
            <w:r>
              <w:rPr>
                <w:b/>
                <w:color w:val="FFFFFF"/>
                <w:sz w:val="18"/>
              </w:rPr>
              <w:t>Genome type</w:t>
            </w:r>
          </w:p>
        </w:tc>
        <w:tc>
          <w:tcPr>
            <w:tcW w:type="dxa" w:w="1368"/>
            <w:shd w:val="clear" w:fill="162E51"/>
          </w:tcPr>
          <w:p>
            <w:r/>
            <w:r>
              <w:rPr>
                <w:b/>
                <w:color w:val="FFFFFF"/>
                <w:sz w:val="18"/>
              </w:rPr>
              <w:t>Genome size</w:t>
            </w:r>
          </w:p>
        </w:tc>
        <w:tc>
          <w:tcPr>
            <w:tcW w:type="dxa" w:w="1224"/>
            <w:shd w:val="clear" w:fill="162E51"/>
          </w:tcPr>
          <w:p>
            <w:r/>
            <w:r>
              <w:rPr>
                <w:b/>
                <w:color w:val="FFFFFF"/>
                <w:sz w:val="18"/>
              </w:rPr>
              <w:t>Lineage field</w:t>
            </w:r>
          </w:p>
        </w:tc>
        <w:tc>
          <w:tcPr>
            <w:tcW w:type="dxa" w:w="1152"/>
            <w:shd w:val="clear" w:fill="162E51"/>
          </w:tcPr>
          <w:p>
            <w:r/>
            <w:r>
              <w:rPr>
                <w:b/>
                <w:color w:val="FFFFFF"/>
                <w:sz w:val="18"/>
              </w:rPr>
              <w:t>Target genomes</w:t>
            </w:r>
          </w:p>
        </w:tc>
        <w:tc>
          <w:tcPr>
            <w:tcW w:type="dxa" w:w="2880"/>
            <w:shd w:val="clear" w:fill="162E51"/>
          </w:tcPr>
          <w:p>
            <w:r/>
            <w:r>
              <w:rPr>
                <w:b/>
                <w:color w:val="FFFFFF"/>
                <w:sz w:val="18"/>
              </w:rPr>
              <w:t>Notes</w:t>
            </w:r>
          </w:p>
        </w:tc>
      </w:tr>
      <w:tr>
        <w:tc>
          <w:tcPr>
            <w:tcW w:type="dxa" w:w="1080"/>
          </w:tcPr>
          <w:p>
            <w:r/>
            <w:r>
              <w:rPr>
                <w:sz w:val="18"/>
              </w:rPr>
              <w:t>LSDV</w:t>
            </w:r>
          </w:p>
        </w:tc>
        <w:tc>
          <w:tcPr>
            <w:tcW w:type="dxa" w:w="1224"/>
          </w:tcPr>
          <w:p>
            <w:r/>
            <w:r>
              <w:rPr>
                <w:sz w:val="18"/>
              </w:rPr>
              <w:t>txid59509</w:t>
            </w:r>
          </w:p>
        </w:tc>
        <w:tc>
          <w:tcPr>
            <w:tcW w:type="dxa" w:w="1440"/>
          </w:tcPr>
          <w:p>
            <w:r/>
            <w:r>
              <w:rPr>
                <w:sz w:val="18"/>
              </w:rPr>
              <w:t>dsDNA</w:t>
            </w:r>
          </w:p>
        </w:tc>
        <w:tc>
          <w:tcPr>
            <w:tcW w:type="dxa" w:w="1368"/>
          </w:tcPr>
          <w:p>
            <w:r/>
            <w:r>
              <w:rPr>
                <w:sz w:val="18"/>
              </w:rPr>
              <w:t>~150,000 bp</w:t>
            </w:r>
          </w:p>
        </w:tc>
        <w:tc>
          <w:tcPr>
            <w:tcW w:type="dxa" w:w="1224"/>
          </w:tcPr>
          <w:p>
            <w:r/>
            <w:r>
              <w:rPr>
                <w:sz w:val="18"/>
              </w:rPr>
              <w:t>clade</w:t>
            </w:r>
          </w:p>
        </w:tc>
        <w:tc>
          <w:tcPr>
            <w:tcW w:type="dxa" w:w="1152"/>
          </w:tcPr>
          <w:p>
            <w:r/>
            <w:r>
              <w:rPr>
                <w:sz w:val="18"/>
              </w:rPr>
              <w:t>≥ 60</w:t>
            </w:r>
          </w:p>
        </w:tc>
        <w:tc>
          <w:tcPr>
            <w:tcW w:type="dxa" w:w="2880"/>
          </w:tcPr>
          <w:p>
            <w:r/>
            <w:r>
              <w:rPr>
                <w:sz w:val="18"/>
              </w:rPr>
              <w:t>Tier 1 in the proposal. Large dsDNA genome, the richest G4 landscape of the five.</w:t>
            </w:r>
          </w:p>
        </w:tc>
      </w:tr>
      <w:tr>
        <w:tc>
          <w:tcPr>
            <w:tcW w:type="dxa" w:w="1080"/>
          </w:tcPr>
          <w:p>
            <w:r/>
            <w:r>
              <w:rPr>
                <w:sz w:val="18"/>
              </w:rPr>
              <w:t>PPRV</w:t>
            </w:r>
          </w:p>
        </w:tc>
        <w:tc>
          <w:tcPr>
            <w:tcW w:type="dxa" w:w="1224"/>
          </w:tcPr>
          <w:p>
            <w:r/>
            <w:r>
              <w:rPr>
                <w:sz w:val="18"/>
              </w:rPr>
              <w:t>txid3052343</w:t>
            </w:r>
          </w:p>
        </w:tc>
        <w:tc>
          <w:tcPr>
            <w:tcW w:type="dxa" w:w="1440"/>
          </w:tcPr>
          <w:p>
            <w:r/>
            <w:r>
              <w:rPr>
                <w:sz w:val="18"/>
              </w:rPr>
              <w:t>ssRNA_negative</w:t>
            </w:r>
          </w:p>
        </w:tc>
        <w:tc>
          <w:tcPr>
            <w:tcW w:type="dxa" w:w="1368"/>
          </w:tcPr>
          <w:p>
            <w:r/>
            <w:r>
              <w:rPr>
                <w:sz w:val="18"/>
              </w:rPr>
              <w:t>~15,900 bp</w:t>
            </w:r>
          </w:p>
        </w:tc>
        <w:tc>
          <w:tcPr>
            <w:tcW w:type="dxa" w:w="1224"/>
          </w:tcPr>
          <w:p>
            <w:r/>
            <w:r>
              <w:rPr>
                <w:sz w:val="18"/>
              </w:rPr>
              <w:t>lineage</w:t>
            </w:r>
          </w:p>
        </w:tc>
        <w:tc>
          <w:tcPr>
            <w:tcW w:type="dxa" w:w="1152"/>
          </w:tcPr>
          <w:p>
            <w:r/>
            <w:r>
              <w:rPr>
                <w:sz w:val="18"/>
              </w:rPr>
              <w:t>≥ 80</w:t>
            </w:r>
          </w:p>
        </w:tc>
        <w:tc>
          <w:tcPr>
            <w:tcW w:type="dxa" w:w="2880"/>
          </w:tcPr>
          <w:p>
            <w:r/>
            <w:r>
              <w:rPr>
                <w:sz w:val="18"/>
              </w:rPr>
              <w:t>Tier 2. Good Indian sequence coverage; closest in size to FMDV.</w:t>
            </w:r>
          </w:p>
        </w:tc>
      </w:tr>
      <w:tr>
        <w:tc>
          <w:tcPr>
            <w:tcW w:type="dxa" w:w="1080"/>
          </w:tcPr>
          <w:p>
            <w:r/>
            <w:r>
              <w:rPr>
                <w:sz w:val="18"/>
              </w:rPr>
              <w:t>NDV</w:t>
            </w:r>
          </w:p>
        </w:tc>
        <w:tc>
          <w:tcPr>
            <w:tcW w:type="dxa" w:w="1224"/>
          </w:tcPr>
          <w:p>
            <w:r/>
            <w:r>
              <w:rPr>
                <w:sz w:val="18"/>
              </w:rPr>
              <w:t>txid2560319</w:t>
            </w:r>
          </w:p>
        </w:tc>
        <w:tc>
          <w:tcPr>
            <w:tcW w:type="dxa" w:w="1440"/>
          </w:tcPr>
          <w:p>
            <w:r/>
            <w:r>
              <w:rPr>
                <w:sz w:val="18"/>
              </w:rPr>
              <w:t>ssRNA_negative</w:t>
            </w:r>
          </w:p>
        </w:tc>
        <w:tc>
          <w:tcPr>
            <w:tcW w:type="dxa" w:w="1368"/>
          </w:tcPr>
          <w:p>
            <w:r/>
            <w:r>
              <w:rPr>
                <w:sz w:val="18"/>
              </w:rPr>
              <w:t>~15,200 bp</w:t>
            </w:r>
          </w:p>
        </w:tc>
        <w:tc>
          <w:tcPr>
            <w:tcW w:type="dxa" w:w="1224"/>
          </w:tcPr>
          <w:p>
            <w:r/>
            <w:r>
              <w:rPr>
                <w:sz w:val="18"/>
              </w:rPr>
              <w:t>genotype</w:t>
            </w:r>
          </w:p>
        </w:tc>
        <w:tc>
          <w:tcPr>
            <w:tcW w:type="dxa" w:w="1152"/>
          </w:tcPr>
          <w:p>
            <w:r/>
            <w:r>
              <w:rPr>
                <w:sz w:val="18"/>
              </w:rPr>
              <w:t>≥ 80</w:t>
            </w:r>
          </w:p>
        </w:tc>
        <w:tc>
          <w:tcPr>
            <w:tcW w:type="dxa" w:w="2880"/>
          </w:tcPr>
          <w:p>
            <w:r/>
            <w:r>
              <w:rPr>
                <w:sz w:val="18"/>
              </w:rPr>
              <w:t>Tier 2. Very large public corpus, many genotypes.</w:t>
            </w:r>
          </w:p>
        </w:tc>
      </w:tr>
      <w:tr>
        <w:tc>
          <w:tcPr>
            <w:tcW w:type="dxa" w:w="1080"/>
          </w:tcPr>
          <w:p>
            <w:r/>
            <w:r>
              <w:rPr>
                <w:sz w:val="18"/>
              </w:rPr>
              <w:t>CSFV</w:t>
            </w:r>
          </w:p>
        </w:tc>
        <w:tc>
          <w:tcPr>
            <w:tcW w:type="dxa" w:w="1224"/>
          </w:tcPr>
          <w:p>
            <w:r/>
            <w:r>
              <w:rPr>
                <w:sz w:val="18"/>
              </w:rPr>
              <w:t>txid11096</w:t>
            </w:r>
          </w:p>
        </w:tc>
        <w:tc>
          <w:tcPr>
            <w:tcW w:type="dxa" w:w="1440"/>
          </w:tcPr>
          <w:p>
            <w:r/>
            <w:r>
              <w:rPr>
                <w:sz w:val="18"/>
              </w:rPr>
              <w:t>ssRNA_positive</w:t>
            </w:r>
          </w:p>
        </w:tc>
        <w:tc>
          <w:tcPr>
            <w:tcW w:type="dxa" w:w="1368"/>
          </w:tcPr>
          <w:p>
            <w:r/>
            <w:r>
              <w:rPr>
                <w:sz w:val="18"/>
              </w:rPr>
              <w:t>~12,300 bp</w:t>
            </w:r>
          </w:p>
        </w:tc>
        <w:tc>
          <w:tcPr>
            <w:tcW w:type="dxa" w:w="1224"/>
          </w:tcPr>
          <w:p>
            <w:r/>
            <w:r>
              <w:rPr>
                <w:sz w:val="18"/>
              </w:rPr>
              <w:t>genotype</w:t>
            </w:r>
          </w:p>
        </w:tc>
        <w:tc>
          <w:tcPr>
            <w:tcW w:type="dxa" w:w="1152"/>
          </w:tcPr>
          <w:p>
            <w:r/>
            <w:r>
              <w:rPr>
                <w:sz w:val="18"/>
              </w:rPr>
              <w:t>≥ 60</w:t>
            </w:r>
          </w:p>
        </w:tc>
        <w:tc>
          <w:tcPr>
            <w:tcW w:type="dxa" w:w="2880"/>
          </w:tcPr>
          <w:p>
            <w:r/>
            <w:r>
              <w:rPr>
                <w:sz w:val="18"/>
              </w:rPr>
              <w:t>Tier 3. Limited Indian data; hardest to reach the per-lineage floor.</w:t>
            </w:r>
          </w:p>
        </w:tc>
      </w:tr>
    </w:tbl>
    <w:p>
      <w:pPr>
        <w:spacing w:after="40"/>
      </w:pPr>
    </w:p>
    <w:p>
      <w:r>
        <w:rPr>
          <w:b w:val="0"/>
          <w:i w:val="0"/>
          <w:color w:val="565C65"/>
          <w:sz w:val="19"/>
        </w:rPr>
        <w:t>Target counts are the practical minimum. The binding constraint is never the total — it is the smallest lineage, which must reach 20 genomes. Aim for a corpus where at least three or four lineages each clear that, and discard the rest rather than carrying lineages that will block the run.</w:t>
      </w:r>
    </w:p>
    <w:p>
      <w:pPr>
        <w:spacing w:before="320" w:after="100"/>
      </w:pPr>
      <w:r>
        <w:rPr>
          <w:b/>
          <w:color w:val="162E51"/>
          <w:sz w:val="30"/>
        </w:rPr>
        <w:t>13. How to procure it from NCBI</w:t>
      </w:r>
    </w:p>
    <w:p>
      <w:r>
        <w:rPr>
          <w:b w:val="0"/>
          <w:i w:val="0"/>
          <w:sz w:val="21"/>
        </w:rPr>
        <w:t>Complete genomes only. Partial sequences will fail the completeness check at Stage 01 and waste acquisition effort.</w:t>
      </w:r>
    </w:p>
    <w:p>
      <w:r>
        <w:rPr>
          <w:b w:val="0"/>
          <w:i w:val="0"/>
          <w:sz w:val="21"/>
        </w:rPr>
        <w:t>A. Search NCBI Nucleotide with a query of this shape:</w:t>
      </w:r>
    </w:p>
    <w:p>
      <w:pPr>
        <w:spacing w:after="180"/>
        <w:ind w:left="317"/>
      </w:pPr>
      <w:r>
        <w:rPr>
          <w:rFonts w:ascii="Consolas" w:hAnsi="Consolas"/>
          <w:sz w:val="17"/>
        </w:rPr>
        <w:t>txid59509[Organism:exp] AND 140000:160000[SLEN] AND "complete genome"[Title]</w:t>
        <w:br/>
        <w:t xml:space="preserve">   — replace the taxid and the length window for your pathogen</w:t>
        <w:br/>
        <w:t xml:space="preserve">   — the length window should be roughly ±10% of the expected genome size</w:t>
      </w:r>
    </w:p>
    <w:p>
      <w:r>
        <w:rPr>
          <w:b w:val="0"/>
          <w:i w:val="0"/>
          <w:sz w:val="21"/>
        </w:rPr>
        <w:t>B. Send the results to file twice:</w:t>
      </w:r>
    </w:p>
    <w:p>
      <w:pPr>
        <w:spacing w:after="180"/>
        <w:ind w:left="317"/>
      </w:pPr>
      <w:r>
        <w:rPr>
          <w:rFonts w:ascii="Consolas" w:hAnsi="Consolas"/>
          <w:sz w:val="17"/>
        </w:rPr>
        <w:t>Send to  -&gt;  File  -&gt;  Format: FASTA    -&gt;  yourvirus_corpus_sequences.fasta</w:t>
        <w:br/>
        <w:t>Send to  -&gt;  File  -&gt;  Format: GenBank  -&gt;  yourvirus_records.gb</w:t>
      </w:r>
    </w:p>
    <w:p>
      <w:r>
        <w:rPr>
          <w:b w:val="0"/>
          <w:i w:val="0"/>
          <w:sz w:val="21"/>
        </w:rPr>
        <w:t>C. Build the metadata table from the GenBank file. Each record's source qualifiers carry what you need: /collection_date, /country, /host, /serotype or /strain or /isolate.</w:t>
      </w:r>
    </w:p>
    <w:p>
      <w:r>
        <w:rPr>
          <w:b w:val="0"/>
          <w:i w:val="0"/>
          <w:sz w:val="21"/>
        </w:rPr>
        <w:t>D. Pick one high-quality complete genome as the reference and save it on its own as yourvirus_reference.fasta. It should be a well-annotated RefSeq entry where one exists.</w:t>
      </w:r>
    </w:p>
    <w:p>
      <w:r>
        <w:rPr>
          <w:b w:val="0"/>
          <w:i w:val="0"/>
          <w:color w:val="565C65"/>
          <w:sz w:val="19"/>
        </w:rPr>
        <w:t>Practical note: the /country qualifier is often "India: Tamil Nadu". G4-WATCH takes the part before the colon, so no cleaning is needed. Dates appear in several formats and all are handled; see Section 2.</w:t>
      </w:r>
    </w:p>
    <w:p>
      <w:pPr>
        <w:spacing w:before="320" w:after="100"/>
      </w:pPr>
      <w:r>
        <w:rPr>
          <w:b/>
          <w:color w:val="162E51"/>
          <w:sz w:val="30"/>
        </w:rPr>
        <w:t>14. Complete worked example — a new pathogen</w:t>
      </w:r>
    </w:p>
    <w:p>
      <w:r>
        <w:rPr>
          <w:b w:val="0"/>
          <w:i w:val="0"/>
          <w:sz w:val="21"/>
        </w:rPr>
        <w:t>Everything below is the full set of files for a hypothetical PPRV corpus. Copy the shapes exactly; only the values change.</w:t>
      </w:r>
    </w:p>
    <w:p>
      <w:r>
        <w:rPr>
          <w:b/>
          <w:i w:val="0"/>
          <w:sz w:val="20"/>
        </w:rPr>
        <w:t>File 1 — pprv_reference.fasta   (one record)</w:t>
      </w:r>
    </w:p>
    <w:p>
      <w:pPr>
        <w:spacing w:after="180"/>
        <w:ind w:left="317"/>
      </w:pPr>
      <w:r>
        <w:rPr>
          <w:rFonts w:ascii="Consolas" w:hAnsi="Consolas"/>
          <w:sz w:val="17"/>
        </w:rPr>
        <w:t>&gt;KJ867541.1 Peste-des-petits-ruminants virus isolate Nigeria 75/1, complete genome</w:t>
        <w:br/>
        <w:t>ACCAAACAAAGTTGGGTAAGGATAGTTCAATCAATGATCATCTTGTAGTGCACAAATTAG</w:t>
        <w:br/>
        <w:t>AAGGTGATCCAGGCACAAGCTCAAGGCAGGTCCTATCTGAAGCTGTAGGCAAAGCAGTAG</w:t>
        <w:br/>
        <w:t>…  (continues for the whole genome, wrapped at 60 or 70 columns)</w:t>
      </w:r>
    </w:p>
    <w:p>
      <w:r>
        <w:rPr>
          <w:b/>
          <w:i w:val="0"/>
          <w:sz w:val="20"/>
        </w:rPr>
        <w:t>File 2 — pprv_corpus_sequences.fasta   (many records)</w:t>
      </w:r>
    </w:p>
    <w:p>
      <w:pPr>
        <w:spacing w:after="180"/>
        <w:ind w:left="317"/>
      </w:pPr>
      <w:r>
        <w:rPr>
          <w:rFonts w:ascii="Consolas" w:hAnsi="Consolas"/>
          <w:sz w:val="17"/>
        </w:rPr>
        <w:t>&gt;KJ867541.1</w:t>
        <w:br/>
        <w:t>ACCAAACAAAGTTGGGTAAGGATAGTTCAATCAATGATCATCTTGTAGTGCACAAATTAG</w:t>
        <w:br/>
        <w:t>…</w:t>
        <w:br/>
        <w:t>&gt;MN267786.1</w:t>
        <w:br/>
        <w:t>ACCAAACAAAGTTGGGTAAGGATAGTTCAATCAATGATCATCTTGTAGTGCACAAATTAG</w:t>
        <w:br/>
        <w:t>…</w:t>
        <w:br/>
        <w:t>&gt;MG757549.1</w:t>
        <w:br/>
        <w:t>ACCAAACAAAGTTGGGTAAGGATAGTTCAATCAATGATCATCTTGTAGTGCACAAATTAG</w:t>
        <w:br/>
        <w:t>…</w:t>
      </w:r>
    </w:p>
    <w:p>
      <w:r>
        <w:rPr>
          <w:b/>
          <w:i w:val="0"/>
          <w:sz w:val="20"/>
        </w:rPr>
        <w:t>File 3 — pprv_corpus_metadata.tsv   (tab-separated; the header row is required)</w:t>
      </w:r>
    </w:p>
    <w:p>
      <w:pPr>
        <w:spacing w:after="180"/>
        <w:ind w:left="317"/>
      </w:pPr>
      <w:r>
        <w:rPr>
          <w:rFonts w:ascii="Consolas" w:hAnsi="Consolas"/>
          <w:sz w:val="17"/>
        </w:rPr>
        <w:t>accession</w:t>
        <w:tab/>
        <w:t>collection_date</w:t>
        <w:tab/>
        <w:t>country</w:t>
        <w:tab/>
        <w:t>host</w:t>
        <w:tab/>
        <w:t>lineage</w:t>
        <w:tab/>
        <w:t>strain</w:t>
        <w:tab/>
        <w:t>length</w:t>
        <w:br/>
        <w:t>KJ867541.1</w:t>
        <w:tab/>
        <w:t>1975</w:t>
        <w:tab/>
        <w:t>Nigeria</w:t>
        <w:tab/>
        <w:t>goat</w:t>
        <w:tab/>
        <w:t>II</w:t>
        <w:tab/>
        <w:t>Nigeria 75/1</w:t>
        <w:tab/>
        <w:t>15948</w:t>
        <w:br/>
        <w:t>MN267786.1</w:t>
        <w:tab/>
        <w:t>12-Mar-2018</w:t>
        <w:tab/>
        <w:t>India</w:t>
        <w:tab/>
        <w:t>goat</w:t>
        <w:tab/>
        <w:t>IV</w:t>
        <w:tab/>
        <w:t>Izatnagar/94</w:t>
        <w:tab/>
        <w:t>15954</w:t>
        <w:br/>
        <w:t>MG757549.1</w:t>
        <w:tab/>
        <w:t>2016-08-04</w:t>
        <w:tab/>
        <w:t>India: Tamil Nadu</w:t>
        <w:tab/>
        <w:t>sheep</w:t>
        <w:tab/>
        <w:t>IV</w:t>
        <w:tab/>
        <w:t>TN/2016</w:t>
        <w:tab/>
        <w:t>15948</w:t>
        <w:br/>
        <w:t>MK895897.1</w:t>
        <w:tab/>
        <w:t>22-Nov-2019</w:t>
        <w:tab/>
        <w:t>Bangladesh</w:t>
        <w:tab/>
        <w:t>goat</w:t>
        <w:tab/>
        <w:t>IV</w:t>
        <w:tab/>
        <w:t>BD/2019</w:t>
        <w:tab/>
        <w:t>15951</w:t>
      </w:r>
    </w:p>
    <w:p>
      <w:r>
        <w:rPr>
          <w:b w:val="0"/>
          <w:i w:val="0"/>
          <w:color w:val="565C65"/>
          <w:sz w:val="19"/>
        </w:rPr>
        <w:t>Note the lineage column is named "lineage" for PPRV, not "serotype". Each pathogen declares its own lineage field; see the table in Section 12 and set it in the config below.</w:t>
      </w:r>
    </w:p>
    <w:p>
      <w:r>
        <w:rPr>
          <w:b/>
          <w:i w:val="0"/>
          <w:sz w:val="20"/>
        </w:rPr>
        <w:t>File 4 — config/pprv.yaml   (already scaffolded; fill in the marked lines)</w:t>
      </w:r>
    </w:p>
    <w:p>
      <w:pPr>
        <w:spacing w:after="180"/>
        <w:ind w:left="317"/>
      </w:pPr>
      <w:r>
        <w:rPr>
          <w:rFonts w:ascii="Consolas" w:hAnsi="Consolas"/>
          <w:sz w:val="17"/>
        </w:rPr>
        <w:t>pathogen: PPRV</w:t>
        <w:br/>
        <w:t>display_name: "Peste des Petits Ruminants Virus"</w:t>
        <w:br/>
        <w:t>genome_type: ssRNA_negative</w:t>
        <w:br/>
        <w:t>taxonomy_id: 3052343</w:t>
        <w:br/>
        <w:t>provisioned: true                      # &lt;- change from false</w:t>
        <w:br/>
        <w:t>operational_mode: false</w:t>
        <w:br/>
        <w:br/>
        <w:t>reference:</w:t>
        <w:br/>
        <w:t xml:space="preserve">  accession: KJ867541.1                 # &lt;- your reference</w:t>
        <w:br/>
        <w:t xml:space="preserve">  fasta: data/reference_genomes/pprv/pprv_reference.fasta</w:t>
        <w:br/>
        <w:t xml:space="preserve">  genome_length: 15948                  # &lt;- exact length of that record</w:t>
        <w:br/>
        <w:t xml:space="preserve">  cds_start: 108                        # &lt;- from the GenBank CDS feature</w:t>
        <w:br/>
        <w:t xml:space="preserve">  cds_end: 15776</w:t>
        <w:br/>
        <w:br/>
        <w:t>corpus:</w:t>
        <w:br/>
        <w:t xml:space="preserve">  metadata_tsv: data/reference_genomes/pprv/corpus/pprv_corpus_metadata.tsv</w:t>
        <w:br/>
        <w:t xml:space="preserve">  sequences_fasta: data/reference_genomes/pprv/corpus/pprv_corpus_sequences.fasta</w:t>
        <w:br/>
        <w:t xml:space="preserve">  lineage_field: lineage                # &lt;- the metadata column to group by</w:t>
        <w:br/>
        <w:br/>
        <w:t>qc:</w:t>
        <w:br/>
        <w:t xml:space="preserve">  min_completeness_fraction: 0.90</w:t>
        <w:br/>
        <w:t xml:space="preserve">  max_n_content_fraction: 0.05</w:t>
        <w:br/>
        <w:t xml:space="preserve">  require_year_precision_date: true</w:t>
      </w:r>
    </w:p>
    <w:p>
      <w:r>
        <w:rPr>
          <w:b/>
          <w:i w:val="0"/>
          <w:sz w:val="20"/>
        </w:rPr>
        <w:t>Where to put the files:</w:t>
      </w:r>
    </w:p>
    <w:p>
      <w:pPr>
        <w:spacing w:after="180"/>
        <w:ind w:left="317"/>
      </w:pPr>
      <w:r>
        <w:rPr>
          <w:rFonts w:ascii="Consolas" w:hAnsi="Consolas"/>
          <w:sz w:val="17"/>
        </w:rPr>
        <w:t>data/reference_genomes/pprv/pprv_reference.fasta</w:t>
        <w:br/>
        <w:t>data/reference_genomes/pprv/corpus/pprv_corpus_sequences.fasta</w:t>
        <w:br/>
        <w:t>data/reference_genomes/pprv/corpus/pprv_corpus_metadata.tsv</w:t>
        <w:br/>
        <w:t>config/pprv.yaml</w:t>
      </w:r>
    </w:p>
    <w:p>
      <w:pPr>
        <w:spacing w:before="320" w:after="100"/>
      </w:pPr>
      <w:r>
        <w:rPr>
          <w:b/>
          <w:color w:val="162E51"/>
          <w:sz w:val="30"/>
        </w:rPr>
        <w:t>15. Checking a new corpus before you commit to it</w:t>
      </w:r>
    </w:p>
    <w:p>
      <w:r>
        <w:rPr>
          <w:b w:val="0"/>
          <w:i w:val="0"/>
          <w:sz w:val="21"/>
        </w:rPr>
        <w:t>Run these before spending time on alignment and phylogenetics. Each answers a question that can stop the analysis later.</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62E51"/>
          </w:tcPr>
          <w:p>
            <w:r/>
            <w:r>
              <w:rPr>
                <w:b/>
                <w:color w:val="FFFFFF"/>
                <w:sz w:val="18"/>
              </w:rPr>
              <w:t>Question</w:t>
            </w:r>
          </w:p>
        </w:tc>
        <w:tc>
          <w:tcPr>
            <w:tcW w:type="dxa" w:w="3744"/>
            <w:shd w:val="clear" w:fill="162E51"/>
          </w:tcPr>
          <w:p>
            <w:r/>
            <w:r>
              <w:rPr>
                <w:b/>
                <w:color w:val="FFFFFF"/>
                <w:sz w:val="18"/>
              </w:rPr>
              <w:t>How to check</w:t>
            </w:r>
          </w:p>
        </w:tc>
        <w:tc>
          <w:tcPr>
            <w:tcW w:type="dxa" w:w="2880"/>
            <w:shd w:val="clear" w:fill="162E51"/>
          </w:tcPr>
          <w:p>
            <w:r/>
            <w:r>
              <w:rPr>
                <w:b/>
                <w:color w:val="FFFFFF"/>
                <w:sz w:val="18"/>
              </w:rPr>
              <w:t>Required</w:t>
            </w:r>
          </w:p>
        </w:tc>
      </w:tr>
      <w:tr>
        <w:tc>
          <w:tcPr>
            <w:tcW w:type="dxa" w:w="3168"/>
          </w:tcPr>
          <w:p>
            <w:r/>
            <w:r>
              <w:rPr>
                <w:sz w:val="18"/>
              </w:rPr>
              <w:t>Do the FASTA IDs match the metadata?</w:t>
            </w:r>
          </w:p>
        </w:tc>
        <w:tc>
          <w:tcPr>
            <w:tcW w:type="dxa" w:w="3744"/>
          </w:tcPr>
          <w:p>
            <w:r/>
            <w:r>
              <w:rPr>
                <w:sz w:val="18"/>
              </w:rPr>
              <w:t>Compare the first token of each header against the accession column</w:t>
            </w:r>
          </w:p>
        </w:tc>
        <w:tc>
          <w:tcPr>
            <w:tcW w:type="dxa" w:w="2880"/>
          </w:tcPr>
          <w:p>
            <w:r/>
            <w:r>
              <w:rPr>
                <w:sz w:val="18"/>
              </w:rPr>
              <w:t>Exact match for every genome</w:t>
            </w:r>
          </w:p>
        </w:tc>
      </w:tr>
      <w:tr>
        <w:tc>
          <w:tcPr>
            <w:tcW w:type="dxa" w:w="3168"/>
          </w:tcPr>
          <w:p>
            <w:r/>
            <w:r>
              <w:rPr>
                <w:sz w:val="18"/>
              </w:rPr>
              <w:t>Is any lineage below the floor?</w:t>
            </w:r>
          </w:p>
        </w:tc>
        <w:tc>
          <w:tcPr>
            <w:tcW w:type="dxa" w:w="3744"/>
          </w:tcPr>
          <w:p>
            <w:r/>
            <w:r>
              <w:rPr>
                <w:sz w:val="18"/>
              </w:rPr>
              <w:t>Count rows per lineage in the metadata</w:t>
            </w:r>
          </w:p>
        </w:tc>
        <w:tc>
          <w:tcPr>
            <w:tcW w:type="dxa" w:w="2880"/>
          </w:tcPr>
          <w:p>
            <w:r/>
            <w:r>
              <w:rPr>
                <w:sz w:val="18"/>
              </w:rPr>
              <w:t>≥ 20 for the smallest lineage you intend to keep</w:t>
            </w:r>
          </w:p>
        </w:tc>
      </w:tr>
      <w:tr>
        <w:tc>
          <w:tcPr>
            <w:tcW w:type="dxa" w:w="3168"/>
          </w:tcPr>
          <w:p>
            <w:r/>
            <w:r>
              <w:rPr>
                <w:sz w:val="18"/>
              </w:rPr>
              <w:t>Are there enough genomes overall?</w:t>
            </w:r>
          </w:p>
        </w:tc>
        <w:tc>
          <w:tcPr>
            <w:tcW w:type="dxa" w:w="3744"/>
          </w:tcPr>
          <w:p>
            <w:r/>
            <w:r>
              <w:rPr>
                <w:sz w:val="18"/>
              </w:rPr>
              <w:t>Count rows</w:t>
            </w:r>
          </w:p>
        </w:tc>
        <w:tc>
          <w:tcPr>
            <w:tcW w:type="dxa" w:w="2880"/>
          </w:tcPr>
          <w:p>
            <w:r/>
            <w:r>
              <w:rPr>
                <w:sz w:val="18"/>
              </w:rPr>
              <w:t>≥ 30</w:t>
            </w:r>
          </w:p>
        </w:tc>
      </w:tr>
      <w:tr>
        <w:tc>
          <w:tcPr>
            <w:tcW w:type="dxa" w:w="3168"/>
          </w:tcPr>
          <w:p>
            <w:r/>
            <w:r>
              <w:rPr>
                <w:sz w:val="18"/>
              </w:rPr>
              <w:t>Enough distinct years?</w:t>
            </w:r>
          </w:p>
        </w:tc>
        <w:tc>
          <w:tcPr>
            <w:tcW w:type="dxa" w:w="3744"/>
          </w:tcPr>
          <w:p>
            <w:r/>
            <w:r>
              <w:rPr>
                <w:sz w:val="18"/>
              </w:rPr>
              <w:t>Count unique collection years</w:t>
            </w:r>
          </w:p>
        </w:tc>
        <w:tc>
          <w:tcPr>
            <w:tcW w:type="dxa" w:w="2880"/>
          </w:tcPr>
          <w:p>
            <w:r/>
            <w:r>
              <w:rPr>
                <w:sz w:val="18"/>
              </w:rPr>
              <w:t>≥ 3</w:t>
            </w:r>
          </w:p>
        </w:tc>
      </w:tr>
      <w:tr>
        <w:tc>
          <w:tcPr>
            <w:tcW w:type="dxa" w:w="3168"/>
          </w:tcPr>
          <w:p>
            <w:r/>
            <w:r>
              <w:rPr>
                <w:sz w:val="18"/>
              </w:rPr>
              <w:t>Is the metadata complete enough?</w:t>
            </w:r>
          </w:p>
        </w:tc>
        <w:tc>
          <w:tcPr>
            <w:tcW w:type="dxa" w:w="3744"/>
          </w:tcPr>
          <w:p>
            <w:r/>
            <w:r>
              <w:rPr>
                <w:sz w:val="18"/>
              </w:rPr>
              <w:t>Fraction of rows with date AND country AND host</w:t>
            </w:r>
          </w:p>
        </w:tc>
        <w:tc>
          <w:tcPr>
            <w:tcW w:type="dxa" w:w="2880"/>
          </w:tcPr>
          <w:p>
            <w:r/>
            <w:r>
              <w:rPr>
                <w:sz w:val="18"/>
              </w:rPr>
              <w:t>≥ 90%</w:t>
            </w:r>
          </w:p>
        </w:tc>
      </w:tr>
      <w:tr>
        <w:tc>
          <w:tcPr>
            <w:tcW w:type="dxa" w:w="3168"/>
          </w:tcPr>
          <w:p>
            <w:r/>
            <w:r>
              <w:rPr>
                <w:sz w:val="18"/>
              </w:rPr>
              <w:t>Are the sequences complete genomes?</w:t>
            </w:r>
          </w:p>
        </w:tc>
        <w:tc>
          <w:tcPr>
            <w:tcW w:type="dxa" w:w="3744"/>
          </w:tcPr>
          <w:p>
            <w:r/>
            <w:r>
              <w:rPr>
                <w:sz w:val="18"/>
              </w:rPr>
              <w:t>Compare each length against the reference</w:t>
            </w:r>
          </w:p>
        </w:tc>
        <w:tc>
          <w:tcPr>
            <w:tcW w:type="dxa" w:w="2880"/>
          </w:tcPr>
          <w:p>
            <w:r/>
            <w:r>
              <w:rPr>
                <w:sz w:val="18"/>
              </w:rPr>
              <w:t>≥ 90% of reference length</w:t>
            </w:r>
          </w:p>
        </w:tc>
      </w:tr>
    </w:tbl>
    <w:p>
      <w:pPr>
        <w:spacing w:after="40"/>
      </w:pPr>
    </w:p>
    <w:p>
      <w:r>
        <w:rPr>
          <w:b w:val="0"/>
          <w:i w:val="0"/>
          <w:sz w:val="21"/>
        </w:rPr>
        <w:t>The interface performs all of these for you: place the files in data/, open 01 Data, press Rescan folder, then Validate on each file. Section 02 Validation reports exactly which rows fail and why.</w:t>
      </w:r>
    </w:p>
    <w:p>
      <w:pPr>
        <w:spacing w:before="320" w:after="100"/>
      </w:pPr>
      <w:r>
        <w:rPr>
          <w:b/>
          <w:color w:val="007017"/>
          <w:sz w:val="30"/>
        </w:rPr>
        <w:t>16. Recommended order of work</w:t>
      </w:r>
    </w:p>
    <w:tbl>
      <w:tblPr>
        <w:tblStyle w:val="TableGrid"/>
        <w:tblW w:type="auto" w:w="0"/>
        <w:jc w:val="center"/>
        <w:tblLook w:firstColumn="1" w:firstRow="1" w:lastColumn="0" w:lastRow="0" w:noHBand="0" w:noVBand="1" w:val="04A0"/>
      </w:tblPr>
      <w:tblGrid>
        <w:gridCol w:w="3216"/>
        <w:gridCol w:w="3216"/>
        <w:gridCol w:w="3216"/>
      </w:tblGrid>
      <w:tr>
        <w:tc>
          <w:tcPr>
            <w:tcW w:type="dxa" w:w="720"/>
            <w:shd w:val="clear" w:fill="162E51"/>
          </w:tcPr>
          <w:p>
            <w:r/>
            <w:r>
              <w:rPr>
                <w:b/>
                <w:color w:val="FFFFFF"/>
                <w:sz w:val="18"/>
              </w:rPr>
              <w:t>Step</w:t>
            </w:r>
          </w:p>
        </w:tc>
        <w:tc>
          <w:tcPr>
            <w:tcW w:type="dxa" w:w="3744"/>
            <w:shd w:val="clear" w:fill="162E51"/>
          </w:tcPr>
          <w:p>
            <w:r/>
            <w:r>
              <w:rPr>
                <w:b/>
                <w:color w:val="FFFFFF"/>
                <w:sz w:val="18"/>
              </w:rPr>
              <w:t>Action</w:t>
            </w:r>
          </w:p>
        </w:tc>
        <w:tc>
          <w:tcPr>
            <w:tcW w:type="dxa" w:w="5328"/>
            <w:shd w:val="clear" w:fill="162E51"/>
          </w:tcPr>
          <w:p>
            <w:r/>
            <w:r>
              <w:rPr>
                <w:b/>
                <w:color w:val="FFFFFF"/>
                <w:sz w:val="18"/>
              </w:rPr>
              <w:t>Why</w:t>
            </w:r>
          </w:p>
        </w:tc>
      </w:tr>
      <w:tr>
        <w:tc>
          <w:tcPr>
            <w:tcW w:type="dxa" w:w="720"/>
          </w:tcPr>
          <w:p>
            <w:r/>
            <w:r>
              <w:rPr>
                <w:sz w:val="18"/>
              </w:rPr>
              <w:t>1</w:t>
            </w:r>
          </w:p>
        </w:tc>
        <w:tc>
          <w:tcPr>
            <w:tcW w:type="dxa" w:w="3744"/>
          </w:tcPr>
          <w:p>
            <w:r/>
            <w:r>
              <w:rPr>
                <w:sz w:val="18"/>
              </w:rPr>
              <w:t>Exclude serotype C and run FMDV end to end</w:t>
            </w:r>
          </w:p>
        </w:tc>
        <w:tc>
          <w:tcPr>
            <w:tcW w:type="dxa" w:w="5328"/>
          </w:tcPr>
          <w:p>
            <w:r/>
            <w:r>
              <w:rPr>
                <w:sz w:val="18"/>
              </w:rPr>
              <w:t>Needs no new data. Produces a real D.H1 verdict today and exercises every stage on a genuine corpus.</w:t>
            </w:r>
          </w:p>
        </w:tc>
      </w:tr>
      <w:tr>
        <w:tc>
          <w:tcPr>
            <w:tcW w:type="dxa" w:w="720"/>
          </w:tcPr>
          <w:p>
            <w:r/>
            <w:r>
              <w:rPr>
                <w:sz w:val="18"/>
              </w:rPr>
              <w:t>2</w:t>
            </w:r>
          </w:p>
        </w:tc>
        <w:tc>
          <w:tcPr>
            <w:tcW w:type="dxa" w:w="3744"/>
          </w:tcPr>
          <w:p>
            <w:r/>
            <w:r>
              <w:rPr>
                <w:sz w:val="18"/>
              </w:rPr>
              <w:t>Acquire LSDV and provision it</w:t>
            </w:r>
          </w:p>
        </w:tc>
        <w:tc>
          <w:tcPr>
            <w:tcW w:type="dxa" w:w="5328"/>
          </w:tcPr>
          <w:p>
            <w:r/>
            <w:r>
              <w:rPr>
                <w:sz w:val="18"/>
              </w:rPr>
              <w:t>The objectives name five pathogens. A second one is the minimum for any cross-pathogen statement, and its large dsDNA genome is a genuinely different test of the pipeline.</w:t>
            </w:r>
          </w:p>
        </w:tc>
      </w:tr>
      <w:tr>
        <w:tc>
          <w:tcPr>
            <w:tcW w:type="dxa" w:w="720"/>
          </w:tcPr>
          <w:p>
            <w:r/>
            <w:r>
              <w:rPr>
                <w:sz w:val="18"/>
              </w:rPr>
              <w:t>3</w:t>
            </w:r>
          </w:p>
        </w:tc>
        <w:tc>
          <w:tcPr>
            <w:tcW w:type="dxa" w:w="3744"/>
          </w:tcPr>
          <w:p>
            <w:r/>
            <w:r>
              <w:rPr>
                <w:sz w:val="18"/>
              </w:rPr>
              <w:t>Acquire PPRV</w:t>
            </w:r>
          </w:p>
        </w:tc>
        <w:tc>
          <w:tcPr>
            <w:tcW w:type="dxa" w:w="5328"/>
          </w:tcPr>
          <w:p>
            <w:r/>
            <w:r>
              <w:rPr>
                <w:sz w:val="18"/>
              </w:rPr>
              <w:t>Third of the three pathogens named in Secondary Objective 1.</w:t>
            </w:r>
          </w:p>
        </w:tc>
      </w:tr>
      <w:tr>
        <w:tc>
          <w:tcPr>
            <w:tcW w:type="dxa" w:w="720"/>
          </w:tcPr>
          <w:p>
            <w:r/>
            <w:r>
              <w:rPr>
                <w:sz w:val="18"/>
              </w:rPr>
              <w:t>4</w:t>
            </w:r>
          </w:p>
        </w:tc>
        <w:tc>
          <w:tcPr>
            <w:tcW w:type="dxa" w:w="3744"/>
          </w:tcPr>
          <w:p>
            <w:r/>
            <w:r>
              <w:rPr>
                <w:sz w:val="18"/>
              </w:rPr>
              <w:t>Only if full serotype coverage is required: obtain 12 further complete serotype C genomes</w:t>
            </w:r>
          </w:p>
        </w:tc>
        <w:tc>
          <w:tcPr>
            <w:tcW w:type="dxa" w:w="5328"/>
          </w:tcPr>
          <w:p>
            <w:r/>
            <w:r>
              <w:rPr>
                <w:sz w:val="18"/>
              </w:rPr>
              <w:t>Historical isolates only, mostly 1960s–1990s Europe and South America. Padding an extinct serotype to satisfy a threshold is the weakest of the options here.</w:t>
            </w:r>
          </w:p>
        </w:tc>
      </w:tr>
    </w:tbl>
    <w:p>
      <w:pPr>
        <w:spacing w:after="40"/>
      </w:pPr>
    </w:p>
    <w:p>
      <w:pPr>
        <w:spacing w:before="280" w:after="100"/>
      </w:pPr>
      <w:r>
        <w:rPr>
          <w:b/>
          <w:color w:val="B50909"/>
          <w:sz w:val="24"/>
        </w:rPr>
        <w:t>A caution on interpreting the first real run</w:t>
      </w:r>
    </w:p>
    <w:p>
      <w:r>
        <w:rPr>
          <w:b w:val="0"/>
          <w:i w:val="0"/>
          <w:sz w:val="21"/>
        </w:rPr>
        <w:t>Clearing the minimum-data floor permits the test to run. It does not mean the result will be significant, and it does not mean the corpus is well powered. Sequencing in this field is outbreak-driven rather than systematic, and in the current FMDV tree 29% of internal nodes already reconstruct to an unknown serotype. Expect the first real verdict to be informative about the method before it is informative about the biology.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