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46356"/>
          <w:sz w:val="20"/>
        </w:rPr>
        <w:t>G4-WATCH · ICAR-NIVEDI · Revision 2 Architecture</w:t>
      </w:r>
    </w:p>
    <w:p>
      <w:pPr>
        <w:pStyle w:val="Title"/>
      </w:pPr>
      <w:r>
        <w:rPr>
          <w:color w:val="132420"/>
          <w:sz w:val="60"/>
        </w:rPr>
        <w:t>Pipeline Build Workflow</w:t>
      </w:r>
    </w:p>
    <w:p>
      <w:r>
        <w:rPr>
          <w:color w:val="55655C"/>
          <w:sz w:val="24"/>
        </w:rPr>
        <w:t>Where the G4-WATCH codebase actually stands today, the full tech stack the architecture calls for, and the concrete sequence of work to turn the current script-driven FMDV prototype into the orchestrated, multi-pathogen Nextflow pipeline the spec describes.</w:t>
      </w:r>
    </w:p>
    <w:p>
      <w:r>
        <w:rPr>
          <w:rFonts w:ascii="Consolas" w:hAnsi="Consolas"/>
          <w:color w:val="146356"/>
          <w:sz w:val="18"/>
        </w:rPr>
        <w:t xml:space="preserve">  Python ≥ 3.11 · R ≥ 4.3  </w:t>
      </w:r>
      <w:r>
        <w:rPr>
          <w:rFonts w:ascii="Consolas" w:hAnsi="Consolas"/>
          <w:color w:val="146356"/>
          <w:sz w:val="18"/>
        </w:rPr>
        <w:t xml:space="preserve">  Pathogen live: FMDV (Tier 1)  </w:t>
      </w:r>
      <w:r>
        <w:rPr>
          <w:rFonts w:ascii="Consolas" w:hAnsi="Consolas"/>
          <w:color w:val="146356"/>
          <w:sz w:val="18"/>
        </w:rPr>
        <w:t xml:space="preserve">  241 tests passing, 4 skipped  </w:t>
      </w:r>
      <w:r>
        <w:rPr>
          <w:rFonts w:ascii="Consolas" w:hAnsi="Consolas"/>
          <w:color w:val="146356"/>
          <w:sz w:val="18"/>
        </w:rPr>
        <w:t xml:space="preserve">  Source: G4_WATCH_Build_Architecture.md (Rev. 2)  </w:t>
      </w:r>
    </w:p>
    <w:p/>
    <w:p>
      <w:pPr>
        <w:pStyle w:val="Heading1"/>
      </w:pPr>
      <w:r>
        <w:t>01 — Current state, stage by stage</w:t>
      </w:r>
    </w:p>
    <w:p>
      <w:r>
        <w:rPr>
          <w:color w:val="55655C"/>
        </w:rPr>
        <w:t>The science has been prototyped bottom-up in standalone Python scripts against real FMDV data — well past what the sprint plan assumes exists at this point. The orchestration layer around it (Nextflow, containers, CI, config) has not been started. That inversion is the actual shape of the work ahead.</w:t>
      </w:r>
    </w:p>
    <w:tbl>
      <w:tblPr>
        <w:tblStyle w:val="LightGrid-Accent1"/>
        <w:tblW w:type="auto" w:w="0"/>
        <w:jc w:val="left"/>
        <w:tblLayout w:type="fixed"/>
        <w:tblLook w:firstColumn="1" w:firstRow="1" w:lastColumn="0" w:lastRow="0" w:noHBand="0" w:noVBand="1" w:val="04A0"/>
      </w:tblPr>
      <w:tblGrid>
        <w:gridCol w:w="2412"/>
        <w:gridCol w:w="2412"/>
        <w:gridCol w:w="2412"/>
        <w:gridCol w:w="2412"/>
      </w:tblGrid>
      <w:tr>
        <w:tc>
          <w:tcPr>
            <w:tcW w:type="dxa" w:w="720"/>
            <w:shd w:fill="EAEFEB"/>
          </w:tcPr>
          <w:p>
            <w:r/>
            <w:r>
              <w:rPr>
                <w:b/>
                <w:color w:val="55655C"/>
                <w:sz w:val="17"/>
              </w:rPr>
              <w:t>STAGE</w:t>
            </w:r>
          </w:p>
        </w:tc>
        <w:tc>
          <w:tcPr>
            <w:tcW w:type="dxa" w:w="2448"/>
            <w:shd w:fill="EAEFEB"/>
          </w:tcPr>
          <w:p>
            <w:r/>
            <w:r>
              <w:rPr>
                <w:b/>
                <w:color w:val="55655C"/>
                <w:sz w:val="17"/>
              </w:rPr>
              <w:t>COMPONENT</w:t>
            </w:r>
          </w:p>
        </w:tc>
        <w:tc>
          <w:tcPr>
            <w:tcW w:type="dxa" w:w="1872"/>
            <w:shd w:fill="EAEFEB"/>
          </w:tcPr>
          <w:p>
            <w:r/>
            <w:r>
              <w:rPr>
                <w:b/>
                <w:color w:val="55655C"/>
                <w:sz w:val="17"/>
              </w:rPr>
              <w:t>STATUS</w:t>
            </w:r>
          </w:p>
        </w:tc>
        <w:tc>
          <w:tcPr>
            <w:tcW w:type="dxa" w:w="4608"/>
            <w:shd w:fill="EAEFEB"/>
          </w:tcPr>
          <w:p>
            <w:r/>
            <w:r>
              <w:rPr>
                <w:b/>
                <w:color w:val="55655C"/>
                <w:sz w:val="17"/>
              </w:rPr>
              <w:t>EVIDENCE</w:t>
            </w:r>
          </w:p>
        </w:tc>
      </w:tr>
      <w:tr>
        <w:tc>
          <w:tcPr>
            <w:tcW w:type="dxa" w:w="720"/>
          </w:tcPr>
          <w:p>
            <w:r>
              <w:rPr>
                <w:rFonts w:ascii="Consolas" w:hAnsi="Consolas"/>
                <w:sz w:val="19"/>
              </w:rPr>
              <w:t>0</w:t>
            </w:r>
          </w:p>
        </w:tc>
        <w:tc>
          <w:tcPr>
            <w:tcW w:type="dxa" w:w="2448"/>
          </w:tcPr>
          <w:p>
            <w:r>
              <w:rPr>
                <w:b/>
                <w:sz w:val="19"/>
              </w:rPr>
              <w:t>Atlas construction</w:t>
            </w:r>
          </w:p>
        </w:tc>
        <w:tc>
          <w:tcPr>
            <w:tcW w:type="dxa" w:w="1872"/>
          </w:tcPr>
          <w:p>
            <w:r>
              <w:rPr>
                <w:b/>
                <w:color w:val="2E7D4F"/>
                <w:sz w:val="18"/>
              </w:rPr>
              <w:t>● Built &amp; run</w:t>
            </w:r>
          </w:p>
        </w:tc>
        <w:tc>
          <w:tcPr>
            <w:tcW w:type="dxa" w:w="4608"/>
          </w:tcPr>
          <w:p>
            <w:r>
              <w:rPr>
                <w:color w:val="55655C"/>
                <w:sz w:val="18"/>
              </w:rPr>
              <w:t>build_atlas_fmdv.py → real G4_Reference_Atlas_v0.1 and v1.0.fmdv.tsv on disk</w:t>
            </w:r>
          </w:p>
        </w:tc>
      </w:tr>
      <w:tr>
        <w:tc>
          <w:tcPr>
            <w:tcW w:type="dxa" w:w="720"/>
          </w:tcPr>
          <w:p>
            <w:r>
              <w:rPr>
                <w:rFonts w:ascii="Consolas" w:hAnsi="Consolas"/>
                <w:sz w:val="19"/>
              </w:rPr>
              <w:t>1</w:t>
            </w:r>
          </w:p>
        </w:tc>
        <w:tc>
          <w:tcPr>
            <w:tcW w:type="dxa" w:w="2448"/>
          </w:tcPr>
          <w:p>
            <w:r>
              <w:rPr>
                <w:b/>
                <w:sz w:val="19"/>
              </w:rPr>
              <w:t>Acquisition, QC, alignment</w:t>
            </w:r>
          </w:p>
        </w:tc>
        <w:tc>
          <w:tcPr>
            <w:tcW w:type="dxa" w:w="1872"/>
          </w:tcPr>
          <w:p>
            <w:r>
              <w:rPr>
                <w:b/>
                <w:color w:val="2E7D4F"/>
                <w:sz w:val="18"/>
              </w:rPr>
              <w:t>● Built &amp; run</w:t>
            </w:r>
          </w:p>
        </w:tc>
        <w:tc>
          <w:tcPr>
            <w:tcW w:type="dxa" w:w="4608"/>
          </w:tcPr>
          <w:p>
            <w:r>
              <w:rPr>
                <w:color w:val="55655C"/>
                <w:sz w:val="18"/>
              </w:rPr>
              <w:t>parse_fmdv_corpus_metadata.py, qc_fmdv_corpus.py; MAFFT invoked externally, not containerized</w:t>
            </w:r>
          </w:p>
        </w:tc>
      </w:tr>
      <w:tr>
        <w:tc>
          <w:tcPr>
            <w:tcW w:type="dxa" w:w="720"/>
          </w:tcPr>
          <w:p>
            <w:r>
              <w:rPr>
                <w:rFonts w:ascii="Consolas" w:hAnsi="Consolas"/>
                <w:sz w:val="19"/>
              </w:rPr>
              <w:t>1.5</w:t>
            </w:r>
          </w:p>
        </w:tc>
        <w:tc>
          <w:tcPr>
            <w:tcW w:type="dxa" w:w="2448"/>
          </w:tcPr>
          <w:p>
            <w:r>
              <w:rPr>
                <w:b/>
                <w:sz w:val="19"/>
              </w:rPr>
              <w:t>Recombination screening</w:t>
            </w:r>
          </w:p>
        </w:tc>
        <w:tc>
          <w:tcPr>
            <w:tcW w:type="dxa" w:w="1872"/>
          </w:tcPr>
          <w:p>
            <w:r>
              <w:rPr>
                <w:b/>
                <w:color w:val="9C6A18"/>
                <w:sz w:val="18"/>
              </w:rPr>
              <w:t>● Module only</w:t>
            </w:r>
          </w:p>
        </w:tc>
        <w:tc>
          <w:tcPr>
            <w:tcW w:type="dxa" w:w="4608"/>
          </w:tcPr>
          <w:p>
            <w:r>
              <w:rPr>
                <w:color w:val="55655C"/>
                <w:sz w:val="18"/>
              </w:rPr>
              <w:t>phylo/recombination_screen.py + vendor/phipack present; no FMDV driver script yet — not gating anything today</w:t>
            </w:r>
          </w:p>
        </w:tc>
      </w:tr>
      <w:tr>
        <w:tc>
          <w:tcPr>
            <w:tcW w:type="dxa" w:w="720"/>
          </w:tcPr>
          <w:p>
            <w:r>
              <w:rPr>
                <w:rFonts w:ascii="Consolas" w:hAnsi="Consolas"/>
                <w:sz w:val="19"/>
              </w:rPr>
              <w:t>2</w:t>
            </w:r>
          </w:p>
        </w:tc>
        <w:tc>
          <w:tcPr>
            <w:tcW w:type="dxa" w:w="2448"/>
          </w:tcPr>
          <w:p>
            <w:r>
              <w:rPr>
                <w:b/>
                <w:sz w:val="19"/>
              </w:rPr>
              <w:t>Phylogenomics + ancestral states</w:t>
            </w:r>
          </w:p>
        </w:tc>
        <w:tc>
          <w:tcPr>
            <w:tcW w:type="dxa" w:w="1872"/>
          </w:tcPr>
          <w:p>
            <w:r>
              <w:rPr>
                <w:b/>
                <w:color w:val="2E7D4F"/>
                <w:sz w:val="18"/>
              </w:rPr>
              <w:t>● Built &amp; run</w:t>
            </w:r>
          </w:p>
        </w:tc>
        <w:tc>
          <w:tcPr>
            <w:tcW w:type="dxa" w:w="4608"/>
          </w:tcPr>
          <w:p>
            <w:r>
              <w:rPr>
                <w:color w:val="55655C"/>
                <w:sz w:val="18"/>
              </w:rPr>
              <w:t>run_treetime_fmdv.py, phylo/ancestral_states.py; IQ-TREE2 run externally</w:t>
            </w:r>
          </w:p>
        </w:tc>
      </w:tr>
      <w:tr>
        <w:tc>
          <w:tcPr>
            <w:tcW w:type="dxa" w:w="720"/>
          </w:tcPr>
          <w:p>
            <w:r>
              <w:rPr>
                <w:rFonts w:ascii="Consolas" w:hAnsi="Consolas"/>
                <w:sz w:val="19"/>
              </w:rPr>
              <w:t>3</w:t>
            </w:r>
          </w:p>
        </w:tc>
        <w:tc>
          <w:tcPr>
            <w:tcW w:type="dxa" w:w="2448"/>
          </w:tcPr>
          <w:p>
            <w:r>
              <w:rPr>
                <w:b/>
                <w:sz w:val="19"/>
              </w:rPr>
              <w:t>Variant analysis</w:t>
            </w:r>
          </w:p>
        </w:tc>
        <w:tc>
          <w:tcPr>
            <w:tcW w:type="dxa" w:w="1872"/>
          </w:tcPr>
          <w:p>
            <w:r>
              <w:rPr>
                <w:b/>
                <w:color w:val="9C6A18"/>
                <w:sz w:val="18"/>
              </w:rPr>
              <w:t>● Diverges from spec</w:t>
            </w:r>
          </w:p>
        </w:tc>
        <w:tc>
          <w:tcPr>
            <w:tcW w:type="dxa" w:w="4608"/>
          </w:tcPr>
          <w:p>
            <w:r>
              <w:rPr>
                <w:color w:val="55655C"/>
                <w:sz w:val="18"/>
              </w:rPr>
              <w:t>variants/alignment_variant_caller.py is a native caller — architecture Section 4 specifies snippy/SNPeff. Reconcile before containerizing.</w:t>
            </w:r>
          </w:p>
        </w:tc>
      </w:tr>
      <w:tr>
        <w:tc>
          <w:tcPr>
            <w:tcW w:type="dxa" w:w="720"/>
          </w:tcPr>
          <w:p>
            <w:r>
              <w:rPr>
                <w:rFonts w:ascii="Consolas" w:hAnsi="Consolas"/>
                <w:sz w:val="19"/>
              </w:rPr>
              <w:t>4</w:t>
            </w:r>
          </w:p>
        </w:tc>
        <w:tc>
          <w:tcPr>
            <w:tcW w:type="dxa" w:w="2448"/>
          </w:tcPr>
          <w:p>
            <w:r>
              <w:rPr>
                <w:b/>
                <w:sz w:val="19"/>
              </w:rPr>
              <w:t>Phylo-weighted G4C/G4D metrics</w:t>
            </w:r>
          </w:p>
        </w:tc>
        <w:tc>
          <w:tcPr>
            <w:tcW w:type="dxa" w:w="1872"/>
          </w:tcPr>
          <w:p>
            <w:r>
              <w:rPr>
                <w:b/>
                <w:color w:val="2E7D4F"/>
                <w:sz w:val="18"/>
              </w:rPr>
              <w:t>● Built &amp; run</w:t>
            </w:r>
          </w:p>
        </w:tc>
        <w:tc>
          <w:tcPr>
            <w:tcW w:type="dxa" w:w="4608"/>
          </w:tcPr>
          <w:p>
            <w:r>
              <w:rPr>
                <w:color w:val="55655C"/>
                <w:sz w:val="18"/>
              </w:rPr>
              <w:t>populate_conservation_fmdv.py → Atlas v1.0 with real conservation_pct_phylo, not null</w:t>
            </w:r>
          </w:p>
        </w:tc>
      </w:tr>
      <w:tr>
        <w:tc>
          <w:tcPr>
            <w:tcW w:type="dxa" w:w="720"/>
          </w:tcPr>
          <w:p>
            <w:r>
              <w:rPr>
                <w:rFonts w:ascii="Consolas" w:hAnsi="Consolas"/>
                <w:sz w:val="19"/>
              </w:rPr>
              <w:t>4.5</w:t>
            </w:r>
          </w:p>
        </w:tc>
        <w:tc>
          <w:tcPr>
            <w:tcW w:type="dxa" w:w="2448"/>
          </w:tcPr>
          <w:p>
            <w:r>
              <w:rPr>
                <w:b/>
                <w:sz w:val="19"/>
              </w:rPr>
              <w:t>GC-Confound Control Gate</w:t>
            </w:r>
          </w:p>
        </w:tc>
        <w:tc>
          <w:tcPr>
            <w:tcW w:type="dxa" w:w="1872"/>
          </w:tcPr>
          <w:p>
            <w:r>
              <w:rPr>
                <w:b/>
                <w:color w:val="2E7D4F"/>
                <w:sz w:val="18"/>
              </w:rPr>
              <w:t>● Built &amp; run</w:t>
            </w:r>
          </w:p>
        </w:tc>
        <w:tc>
          <w:tcPr>
            <w:tcW w:type="dxa" w:w="4608"/>
          </w:tcPr>
          <w:p>
            <w:r>
              <w:rPr>
                <w:color w:val="55655C"/>
                <w:sz w:val="18"/>
              </w:rPr>
              <w:t>validation/gc_confound_gate.py + control_regions.py, invoked from run_dh1_fmdv.py</w:t>
            </w:r>
          </w:p>
        </w:tc>
      </w:tr>
      <w:tr>
        <w:tc>
          <w:tcPr>
            <w:tcW w:type="dxa" w:w="720"/>
          </w:tcPr>
          <w:p>
            <w:r>
              <w:rPr>
                <w:rFonts w:ascii="Consolas" w:hAnsi="Consolas"/>
                <w:sz w:val="19"/>
              </w:rPr>
              <w:t>GATE</w:t>
            </w:r>
          </w:p>
        </w:tc>
        <w:tc>
          <w:tcPr>
            <w:tcW w:type="dxa" w:w="2448"/>
          </w:tcPr>
          <w:p>
            <w:r>
              <w:rPr>
                <w:b/>
                <w:sz w:val="19"/>
              </w:rPr>
              <w:t>D.H1 test</w:t>
            </w:r>
          </w:p>
        </w:tc>
        <w:tc>
          <w:tcPr>
            <w:tcW w:type="dxa" w:w="1872"/>
          </w:tcPr>
          <w:p>
            <w:r>
              <w:rPr>
                <w:b/>
                <w:color w:val="9C6A18"/>
                <w:sz w:val="18"/>
              </w:rPr>
              <w:t>● Executed, unrecorded</w:t>
            </w:r>
          </w:p>
        </w:tc>
        <w:tc>
          <w:tcPr>
            <w:tcW w:type="dxa" w:w="4608"/>
          </w:tcPr>
          <w:p>
            <w:r>
              <w:rPr>
                <w:color w:val="55655C"/>
                <w:sz w:val="18"/>
              </w:rPr>
              <w:t>run_dh1_fmdv.py produces a real Dh1GateResult, but it prints to stdout only — testing_ledger.tsv (Section 13.6) doesn't exist yet</w:t>
            </w:r>
          </w:p>
        </w:tc>
      </w:tr>
      <w:tr>
        <w:tc>
          <w:tcPr>
            <w:tcW w:type="dxa" w:w="720"/>
          </w:tcPr>
          <w:p>
            <w:r>
              <w:rPr>
                <w:rFonts w:ascii="Consolas" w:hAnsi="Consolas"/>
                <w:sz w:val="19"/>
              </w:rPr>
              <w:t>5</w:t>
            </w:r>
          </w:p>
        </w:tc>
        <w:tc>
          <w:tcPr>
            <w:tcW w:type="dxa" w:w="2448"/>
          </w:tcPr>
          <w:p>
            <w:r>
              <w:rPr>
                <w:b/>
                <w:sz w:val="19"/>
              </w:rPr>
              <w:t>G4-EWS-core / Integrated Score</w:t>
            </w:r>
          </w:p>
        </w:tc>
        <w:tc>
          <w:tcPr>
            <w:tcW w:type="dxa" w:w="1872"/>
          </w:tcPr>
          <w:p>
            <w:r>
              <w:rPr>
                <w:b/>
                <w:color w:val="6C776E"/>
                <w:sz w:val="18"/>
              </w:rPr>
              <w:t>● Correctly unwired</w:t>
            </w:r>
          </w:p>
        </w:tc>
        <w:tc>
          <w:tcPr>
            <w:tcW w:type="dxa" w:w="4608"/>
          </w:tcPr>
          <w:p>
            <w:r>
              <w:rPr>
                <w:color w:val="55655C"/>
                <w:sz w:val="18"/>
              </w:rPr>
              <w:t>scoring/g4_ews_core.py, integrated_score.py exist with ground-truth tests, but no driver touches real data — exactly what Section 2 requires pre-gate</w:t>
            </w:r>
          </w:p>
        </w:tc>
      </w:tr>
      <w:tr>
        <w:tc>
          <w:tcPr>
            <w:tcW w:type="dxa" w:w="720"/>
          </w:tcPr>
          <w:p>
            <w:r>
              <w:rPr>
                <w:rFonts w:ascii="Consolas" w:hAnsi="Consolas"/>
                <w:sz w:val="19"/>
              </w:rPr>
              <w:t>6</w:t>
            </w:r>
          </w:p>
        </w:tc>
        <w:tc>
          <w:tcPr>
            <w:tcW w:type="dxa" w:w="2448"/>
          </w:tcPr>
          <w:p>
            <w:r>
              <w:rPr>
                <w:b/>
                <w:sz w:val="19"/>
              </w:rPr>
              <w:t>Dashboard / web app</w:t>
            </w:r>
          </w:p>
        </w:tc>
        <w:tc>
          <w:tcPr>
            <w:tcW w:type="dxa" w:w="1872"/>
          </w:tcPr>
          <w:p>
            <w:r>
              <w:rPr>
                <w:b/>
                <w:color w:val="6C776E"/>
                <w:sz w:val="18"/>
              </w:rPr>
              <w:t>● Not started</w:t>
            </w:r>
          </w:p>
        </w:tc>
        <w:tc>
          <w:tcPr>
            <w:tcW w:type="dxa" w:w="4608"/>
          </w:tcPr>
          <w:p>
            <w:r>
              <w:rPr>
                <w:color w:val="55655C"/>
                <w:sz w:val="18"/>
              </w:rPr>
              <w:t>No web/ directory</w:t>
            </w:r>
          </w:p>
        </w:tc>
      </w:tr>
      <w:tr>
        <w:tc>
          <w:tcPr>
            <w:tcW w:type="dxa" w:w="720"/>
          </w:tcPr>
          <w:p>
            <w:r>
              <w:rPr>
                <w:rFonts w:ascii="Consolas" w:hAnsi="Consolas"/>
                <w:sz w:val="19"/>
              </w:rPr>
              <w:t>—</w:t>
            </w:r>
          </w:p>
        </w:tc>
        <w:tc>
          <w:tcPr>
            <w:tcW w:type="dxa" w:w="2448"/>
          </w:tcPr>
          <w:p>
            <w:r>
              <w:rPr>
                <w:b/>
                <w:sz w:val="19"/>
              </w:rPr>
              <w:t>Orchestration &amp; infra</w:t>
            </w:r>
          </w:p>
        </w:tc>
        <w:tc>
          <w:tcPr>
            <w:tcW w:type="dxa" w:w="1872"/>
          </w:tcPr>
          <w:p>
            <w:r>
              <w:rPr>
                <w:b/>
                <w:color w:val="6C776E"/>
                <w:sz w:val="18"/>
              </w:rPr>
              <w:t>● Not started</w:t>
            </w:r>
          </w:p>
        </w:tc>
        <w:tc>
          <w:tcPr>
            <w:tcW w:type="dxa" w:w="4608"/>
          </w:tcPr>
          <w:p>
            <w:r>
              <w:rPr>
                <w:color w:val="55655C"/>
                <w:sz w:val="18"/>
              </w:rPr>
              <w:t>No workflow/*.nf, no containers/, no CI, no config/*.yaml</w:t>
            </w:r>
          </w:p>
        </w:tc>
      </w:tr>
    </w:tbl>
    <w:p/>
    <w:p>
      <w:pPr>
        <w:ind w:left="216"/>
      </w:pPr>
      <w:r>
        <w:rPr>
          <w:b/>
          <w:color w:val="A5432E"/>
        </w:rPr>
        <w:t xml:space="preserve">No version control yet. </w:t>
      </w:r>
      <w:r>
        <w:rPr>
          <w:color w:val="132420"/>
          <w:sz w:val="19"/>
        </w:rPr>
        <w:t>The project directory is not a git repository — nothing above is committed, tagged, or diffable. This blocks CI, the import-lint rule, and the coverage gate the architecture treats as day-one requirements. It's the first item in Next Steps.</w:t>
      </w:r>
    </w:p>
    <w:p/>
    <w:p>
      <w:pPr>
        <w:pStyle w:val="Heading1"/>
      </w:pPr>
      <w:r>
        <w:t>02 — Tech stack</w:t>
      </w:r>
    </w:p>
    <w:p>
      <w:r>
        <w:rPr>
          <w:color w:val="55655C"/>
        </w:rPr>
        <w:t>Per Build Architecture Section 4: established external tools orchestrated by Python and R, not reimplemented. Two substitutions were forced during Sprint 2 (marked below); everything else is as specified.</w:t>
      </w:r>
    </w:p>
    <w:tbl>
      <w:tblPr>
        <w:tblStyle w:val="TableGrid"/>
        <w:tblW w:type="auto" w:w="0"/>
        <w:tblLayout w:type="fixed"/>
        <w:tblLook w:firstColumn="1" w:firstRow="1" w:lastColumn="0" w:lastRow="0" w:noHBand="0" w:noVBand="1" w:val="04A0"/>
      </w:tblPr>
      <w:tblGrid>
        <w:gridCol w:w="4824"/>
        <w:gridCol w:w="4824"/>
      </w:tblGrid>
      <w:tr>
        <w:tc>
          <w:tcPr>
            <w:tcW w:type="dxa" w:w="4824"/>
          </w:tcPr>
          <w:p>
            <w:r>
              <w:rPr>
                <w:b/>
                <w:color w:val="132420"/>
                <w:sz w:val="20"/>
              </w:rPr>
              <w:t>Core languages &amp; runtime</w:t>
            </w:r>
          </w:p>
          <w:p>
            <w:pPr>
              <w:spacing w:after="40"/>
            </w:pPr>
            <w:r>
              <w:rPr>
                <w:b/>
                <w:sz w:val="18"/>
              </w:rPr>
              <w:t>Python</w:t>
            </w:r>
            <w:r>
              <w:rPr>
                <w:color w:val="55655C"/>
                <w:sz w:val="17"/>
              </w:rPr>
              <w:t xml:space="preserve">  — ≥ 3.11, pipeline logic</w:t>
            </w:r>
          </w:p>
          <w:p>
            <w:pPr>
              <w:spacing w:after="40"/>
            </w:pPr>
            <w:r>
              <w:rPr>
                <w:b/>
                <w:sz w:val="18"/>
              </w:rPr>
              <w:t>R</w:t>
            </w:r>
            <w:r>
              <w:rPr>
                <w:color w:val="55655C"/>
                <w:sz w:val="17"/>
              </w:rPr>
              <w:t xml:space="preserve">  — ≥ 4.3, statistics &amp; phylo scripts</w:t>
            </w:r>
          </w:p>
          <w:p>
            <w:pPr>
              <w:spacing w:after="40"/>
            </w:pPr>
            <w:r>
              <w:rPr>
                <w:b/>
                <w:sz w:val="18"/>
              </w:rPr>
              <w:t>Nextflow (DSL2)</w:t>
            </w:r>
            <w:r>
              <w:rPr>
                <w:color w:val="55655C"/>
                <w:sz w:val="17"/>
              </w:rPr>
              <w:t xml:space="preserve">  — workflow orchestration — not yet started</w:t>
            </w:r>
          </w:p>
        </w:tc>
        <w:tc>
          <w:tcPr>
            <w:tcW w:type="dxa" w:w="4824"/>
          </w:tcPr>
          <w:p>
            <w:r>
              <w:rPr>
                <w:b/>
                <w:color w:val="132420"/>
                <w:sz w:val="20"/>
              </w:rPr>
              <w:t>Acquisition &amp; alignment</w:t>
            </w:r>
          </w:p>
          <w:p>
            <w:pPr>
              <w:spacing w:after="40"/>
            </w:pPr>
            <w:r>
              <w:rPr>
                <w:b/>
                <w:sz w:val="18"/>
              </w:rPr>
              <w:t>Entrez Direct</w:t>
            </w:r>
            <w:r>
              <w:rPr>
                <w:color w:val="55655C"/>
                <w:sz w:val="17"/>
              </w:rPr>
              <w:t xml:space="preserve">  — NCBI sequence pull</w:t>
            </w:r>
          </w:p>
          <w:p>
            <w:pPr>
              <w:spacing w:after="40"/>
            </w:pPr>
            <w:r>
              <w:rPr>
                <w:b/>
                <w:sz w:val="18"/>
              </w:rPr>
              <w:t>Biopython</w:t>
            </w:r>
            <w:r>
              <w:rPr>
                <w:color w:val="55655C"/>
                <w:sz w:val="17"/>
              </w:rPr>
              <w:t xml:space="preserve">  — Bio.SeqIO parsing</w:t>
            </w:r>
          </w:p>
          <w:p>
            <w:pPr>
              <w:spacing w:after="40"/>
            </w:pPr>
            <w:r>
              <w:rPr>
                <w:b/>
                <w:sz w:val="18"/>
              </w:rPr>
              <w:t>MAFFT</w:t>
            </w:r>
            <w:r>
              <w:rPr>
                <w:color w:val="55655C"/>
                <w:sz w:val="17"/>
              </w:rPr>
              <w:t xml:space="preserve">  — --add --keeplength to reference coords</w:t>
            </w:r>
          </w:p>
        </w:tc>
      </w:tr>
      <w:tr>
        <w:tc>
          <w:tcPr>
            <w:tcW w:type="dxa" w:w="4824"/>
          </w:tcPr>
          <w:p>
            <w:r>
              <w:rPr>
                <w:b/>
                <w:color w:val="132420"/>
                <w:sz w:val="20"/>
              </w:rPr>
              <w:t>G4 prediction</w:t>
            </w:r>
          </w:p>
          <w:p>
            <w:pPr>
              <w:spacing w:after="40"/>
            </w:pPr>
            <w:r>
              <w:rPr>
                <w:b/>
                <w:sz w:val="18"/>
              </w:rPr>
              <w:t>G4Hunter</w:t>
            </w:r>
            <w:r>
              <w:rPr>
                <w:color w:val="55655C"/>
                <w:sz w:val="17"/>
              </w:rPr>
              <w:t xml:space="preserve">  — native reimplementation</w:t>
            </w:r>
          </w:p>
          <w:p>
            <w:pPr>
              <w:spacing w:after="40"/>
            </w:pPr>
            <w:r>
              <w:rPr>
                <w:b/>
                <w:sz w:val="18"/>
              </w:rPr>
              <w:t>PQS pattern-motif matcher</w:t>
            </w:r>
            <w:r>
              <w:rPr>
                <w:color w:val="55655C"/>
                <w:sz w:val="17"/>
              </w:rPr>
              <w:t xml:space="preserve">  — substitutes G4RNA Screener*</w:t>
            </w:r>
          </w:p>
          <w:p>
            <w:pPr>
              <w:spacing w:after="40"/>
            </w:pPr>
            <w:r>
              <w:rPr>
                <w:b/>
                <w:sz w:val="18"/>
              </w:rPr>
              <w:t>pqsfinder</w:t>
            </w:r>
            <w:r>
              <w:rPr>
                <w:color w:val="55655C"/>
                <w:sz w:val="17"/>
              </w:rPr>
              <w:t xml:space="preserve">  — deferred — DNA-virus scope (LSDV)</w:t>
            </w:r>
          </w:p>
        </w:tc>
        <w:tc>
          <w:tcPr>
            <w:tcW w:type="dxa" w:w="4824"/>
          </w:tcPr>
          <w:p>
            <w:r>
              <w:rPr>
                <w:b/>
                <w:color w:val="132420"/>
                <w:sz w:val="20"/>
              </w:rPr>
              <w:t>Recombination &amp; phylogenetics</w:t>
            </w:r>
          </w:p>
          <w:p>
            <w:pPr>
              <w:spacing w:after="40"/>
            </w:pPr>
            <w:r>
              <w:rPr>
                <w:b/>
                <w:sz w:val="18"/>
              </w:rPr>
              <w:t>PhiPack / RDP5</w:t>
            </w:r>
            <w:r>
              <w:rPr>
                <w:color w:val="55655C"/>
                <w:sz w:val="17"/>
              </w:rPr>
              <w:t xml:space="preserve">  — PHI test, tiered by pathogen</w:t>
            </w:r>
          </w:p>
          <w:p>
            <w:pPr>
              <w:spacing w:after="40"/>
            </w:pPr>
            <w:r>
              <w:rPr>
                <w:b/>
                <w:sz w:val="18"/>
              </w:rPr>
              <w:t>IQ-TREE2</w:t>
            </w:r>
            <w:r>
              <w:rPr>
                <w:color w:val="55655C"/>
                <w:sz w:val="17"/>
              </w:rPr>
              <w:t xml:space="preserve">  — ML tree + ultrafast bootstrap</w:t>
            </w:r>
          </w:p>
          <w:p>
            <w:pPr>
              <w:spacing w:after="40"/>
            </w:pPr>
            <w:r>
              <w:rPr>
                <w:b/>
                <w:sz w:val="18"/>
              </w:rPr>
              <w:t>TreeTime</w:t>
            </w:r>
            <w:r>
              <w:rPr>
                <w:color w:val="55655C"/>
                <w:sz w:val="17"/>
              </w:rPr>
              <w:t xml:space="preserve">  — time-scaling</w:t>
            </w:r>
          </w:p>
          <w:p>
            <w:pPr>
              <w:spacing w:after="40"/>
            </w:pPr>
            <w:r>
              <w:rPr>
                <w:b/>
                <w:sz w:val="18"/>
              </w:rPr>
              <w:t>BEAST2</w:t>
            </w:r>
            <w:r>
              <w:rPr>
                <w:color w:val="55655C"/>
                <w:sz w:val="17"/>
              </w:rPr>
              <w:t xml:space="preserve">  — as needed</w:t>
            </w:r>
          </w:p>
          <w:p>
            <w:pPr>
              <w:spacing w:after="40"/>
            </w:pPr>
            <w:r>
              <w:rPr>
                <w:b/>
                <w:sz w:val="18"/>
              </w:rPr>
              <w:t>phytools (R)</w:t>
            </w:r>
            <w:r>
              <w:rPr>
                <w:color w:val="55655C"/>
                <w:sz w:val="17"/>
              </w:rPr>
              <w:t xml:space="preserve">  — ancestral stochastic mapping</w:t>
            </w:r>
          </w:p>
        </w:tc>
      </w:tr>
      <w:tr>
        <w:tc>
          <w:tcPr>
            <w:tcW w:type="dxa" w:w="4824"/>
          </w:tcPr>
          <w:p>
            <w:r>
              <w:rPr>
                <w:b/>
                <w:color w:val="132420"/>
                <w:sz w:val="20"/>
              </w:rPr>
              <w:t>Variants &amp; selection</w:t>
            </w:r>
          </w:p>
          <w:p>
            <w:pPr>
              <w:spacing w:after="40"/>
            </w:pPr>
            <w:r>
              <w:rPr>
                <w:b/>
                <w:sz w:val="18"/>
              </w:rPr>
              <w:t>snippy / SNPeff</w:t>
            </w:r>
            <w:r>
              <w:rPr>
                <w:color w:val="55655C"/>
                <w:sz w:val="17"/>
              </w:rPr>
              <w:t xml:space="preserve">  — spec'd — repo currently uses a native caller</w:t>
            </w:r>
          </w:p>
          <w:p>
            <w:pPr>
              <w:spacing w:after="40"/>
            </w:pPr>
            <w:r>
              <w:rPr>
                <w:b/>
                <w:sz w:val="18"/>
              </w:rPr>
              <w:t>HyPhy / PAML</w:t>
            </w:r>
            <w:r>
              <w:rPr>
                <w:color w:val="55655C"/>
                <w:sz w:val="17"/>
              </w:rPr>
              <w:t xml:space="preserve">  — dN/dS</w:t>
            </w:r>
          </w:p>
          <w:p>
            <w:pPr>
              <w:spacing w:after="40"/>
            </w:pPr>
            <w:r>
              <w:rPr>
                <w:b/>
                <w:sz w:val="18"/>
              </w:rPr>
              <w:t>PopGenome / DnaSP</w:t>
            </w:r>
            <w:r>
              <w:rPr>
                <w:color w:val="55655C"/>
                <w:sz w:val="17"/>
              </w:rPr>
              <w:t xml:space="preserve">  — population genetics</w:t>
            </w:r>
          </w:p>
        </w:tc>
        <w:tc>
          <w:tcPr>
            <w:tcW w:type="dxa" w:w="4824"/>
          </w:tcPr>
          <w:p>
            <w:r>
              <w:rPr>
                <w:b/>
                <w:color w:val="132420"/>
                <w:sz w:val="20"/>
              </w:rPr>
              <w:t>Statistics &amp; modeling</w:t>
            </w:r>
          </w:p>
          <w:p>
            <w:pPr>
              <w:spacing w:after="40"/>
            </w:pPr>
            <w:r>
              <w:rPr>
                <w:b/>
                <w:sz w:val="18"/>
              </w:rPr>
              <w:t>Stan / RStan / brms</w:t>
            </w:r>
            <w:r>
              <w:rPr>
                <w:color w:val="55655C"/>
                <w:sz w:val="17"/>
              </w:rPr>
              <w:t xml:space="preserve">  — Bayesian weight fitting</w:t>
            </w:r>
          </w:p>
          <w:p>
            <w:pPr>
              <w:spacing w:after="40"/>
            </w:pPr>
            <w:r>
              <w:rPr>
                <w:b/>
                <w:sz w:val="18"/>
              </w:rPr>
              <w:t>glmnet</w:t>
            </w:r>
            <w:r>
              <w:rPr>
                <w:color w:val="55655C"/>
                <w:sz w:val="17"/>
              </w:rPr>
              <w:t xml:space="preserve">  — elastic-net logistic fitting</w:t>
            </w:r>
          </w:p>
          <w:p>
            <w:pPr>
              <w:spacing w:after="40"/>
            </w:pPr>
            <w:r>
              <w:rPr>
                <w:b/>
                <w:sz w:val="18"/>
              </w:rPr>
              <w:t>numpy / scipy</w:t>
            </w:r>
            <w:r>
              <w:rPr>
                <w:color w:val="55655C"/>
                <w:sz w:val="17"/>
              </w:rPr>
              <w:t xml:space="preserve">  — Monte Carlo power analysis</w:t>
            </w:r>
          </w:p>
          <w:p>
            <w:pPr>
              <w:spacing w:after="40"/>
            </w:pPr>
            <w:r>
              <w:rPr>
                <w:b/>
                <w:sz w:val="18"/>
              </w:rPr>
              <w:t>R pwr</w:t>
            </w:r>
            <w:r>
              <w:rPr>
                <w:color w:val="55655C"/>
                <w:sz w:val="17"/>
              </w:rPr>
              <w:t xml:space="preserve">  — power analysis cross-check</w:t>
            </w:r>
          </w:p>
        </w:tc>
      </w:tr>
      <w:tr>
        <w:tc>
          <w:tcPr>
            <w:tcW w:type="dxa" w:w="4824"/>
          </w:tcPr>
          <w:p>
            <w:r>
              <w:rPr>
                <w:b/>
                <w:color w:val="132420"/>
                <w:sz w:val="20"/>
              </w:rPr>
              <w:t>Web &amp; dashboard</w:t>
            </w:r>
          </w:p>
          <w:p>
            <w:pPr>
              <w:spacing w:after="40"/>
            </w:pPr>
            <w:r>
              <w:rPr>
                <w:b/>
                <w:sz w:val="18"/>
              </w:rPr>
              <w:t>FastAPI</w:t>
            </w:r>
            <w:r>
              <w:rPr>
                <w:color w:val="55655C"/>
                <w:sz w:val="17"/>
              </w:rPr>
              <w:t xml:space="preserve">  — backend service layer</w:t>
            </w:r>
          </w:p>
          <w:p>
            <w:pPr>
              <w:spacing w:after="40"/>
            </w:pPr>
            <w:r>
              <w:rPr>
                <w:b/>
                <w:sz w:val="18"/>
              </w:rPr>
              <w:t>Jinja2 / HTMX</w:t>
            </w:r>
            <w:r>
              <w:rPr>
                <w:color w:val="55655C"/>
                <w:sz w:val="17"/>
              </w:rPr>
              <w:t xml:space="preserve">  — server-rendered frontend</w:t>
            </w:r>
          </w:p>
          <w:p>
            <w:pPr>
              <w:spacing w:after="40"/>
            </w:pPr>
            <w:r>
              <w:rPr>
                <w:b/>
                <w:sz w:val="18"/>
              </w:rPr>
              <w:t>Chart.js</w:t>
            </w:r>
            <w:r>
              <w:rPr>
                <w:color w:val="55655C"/>
                <w:sz w:val="17"/>
              </w:rPr>
              <w:t xml:space="preserve">  — trend charts</w:t>
            </w:r>
          </w:p>
          <w:p>
            <w:pPr>
              <w:spacing w:after="40"/>
            </w:pPr>
            <w:r>
              <w:rPr>
                <w:b/>
                <w:sz w:val="18"/>
              </w:rPr>
              <w:t>PostgreSQL</w:t>
            </w:r>
            <w:r>
              <w:rPr>
                <w:color w:val="55655C"/>
                <w:sz w:val="17"/>
              </w:rPr>
              <w:t xml:space="preserve">  — run-history DB</w:t>
            </w:r>
          </w:p>
          <w:p>
            <w:pPr>
              <w:spacing w:after="40"/>
            </w:pPr>
            <w:r>
              <w:rPr>
                <w:b/>
                <w:sz w:val="18"/>
              </w:rPr>
              <w:t>Nginx + authlib</w:t>
            </w:r>
            <w:r>
              <w:rPr>
                <w:color w:val="55655C"/>
                <w:sz w:val="17"/>
              </w:rPr>
              <w:t xml:space="preserve">  — TLS termination, local auth</w:t>
            </w:r>
          </w:p>
        </w:tc>
        <w:tc>
          <w:tcPr>
            <w:tcW w:type="dxa" w:w="4824"/>
          </w:tcPr>
          <w:p>
            <w:r>
              <w:rPr>
                <w:b/>
                <w:color w:val="132420"/>
                <w:sz w:val="20"/>
              </w:rPr>
              <w:t>DevOps &amp; reproducibility</w:t>
            </w:r>
          </w:p>
          <w:p>
            <w:pPr>
              <w:spacing w:after="40"/>
            </w:pPr>
            <w:r>
              <w:rPr>
                <w:b/>
                <w:sz w:val="18"/>
              </w:rPr>
              <w:t>Docker / Singularity</w:t>
            </w:r>
            <w:r>
              <w:rPr>
                <w:color w:val="55655C"/>
                <w:sz w:val="17"/>
              </w:rPr>
              <w:t xml:space="preserve">  — 10 digest-pinned containers</w:t>
            </w:r>
          </w:p>
          <w:p>
            <w:pPr>
              <w:spacing w:after="40"/>
            </w:pPr>
            <w:r>
              <w:rPr>
                <w:b/>
                <w:sz w:val="18"/>
              </w:rPr>
              <w:t>pytest + coverage</w:t>
            </w:r>
            <w:r>
              <w:rPr>
                <w:color w:val="55655C"/>
                <w:sz w:val="17"/>
              </w:rPr>
              <w:t xml:space="preserve">  — ≥ 85% gate</w:t>
            </w:r>
          </w:p>
          <w:p>
            <w:pPr>
              <w:spacing w:after="40"/>
            </w:pPr>
            <w:r>
              <w:rPr>
                <w:b/>
                <w:sz w:val="18"/>
              </w:rPr>
              <w:t>CI import-lint rule</w:t>
            </w:r>
            <w:r>
              <w:rPr>
                <w:color w:val="55655C"/>
                <w:sz w:val="17"/>
              </w:rPr>
              <w:t xml:space="preserve">  — ground-truth tests can't import scoring code</w:t>
            </w:r>
          </w:p>
          <w:p>
            <w:pPr>
              <w:spacing w:after="40"/>
            </w:pPr>
            <w:r>
              <w:rPr>
                <w:b/>
                <w:sz w:val="18"/>
              </w:rPr>
              <w:t>Zenodo DOI</w:t>
            </w:r>
            <w:r>
              <w:rPr>
                <w:color w:val="55655C"/>
                <w:sz w:val="17"/>
              </w:rPr>
              <w:t xml:space="preserve">  — citable, versioned release</w:t>
            </w:r>
          </w:p>
        </w:tc>
      </w:tr>
    </w:tbl>
    <w:p/>
    <w:p>
      <w:r>
        <w:rPr>
          <w:b/>
          <w:color w:val="146356"/>
        </w:rPr>
        <w:t xml:space="preserve">*Forced substitution: </w:t>
      </w:r>
      <w:r>
        <w:rPr>
          <w:color w:val="132420"/>
          <w:sz w:val="18"/>
        </w:rPr>
        <w:t>G4RNA Screener is genuinely unrunnable — Python 2-only, its classifier is a pickled PyBrain ANN and PyBrain has been unmaintained since the mid-2010s (see vendor/README.md). The native pattern_motif.py matcher substitutes; the schema's g4rna_screener_score field stays reserved should a maintained Python 3 release ever appear.</w:t>
      </w:r>
    </w:p>
    <w:p/>
    <w:p>
      <w:pPr>
        <w:pStyle w:val="Heading1"/>
      </w:pPr>
      <w:r>
        <w:t>03 — Pipeline architecture</w:t>
      </w:r>
    </w:p>
    <w:p>
      <w:r>
        <w:rPr>
          <w:color w:val="55655C"/>
        </w:rPr>
        <w:t>The corrected stage order from Build Architecture Section 6. The GC-Confound Gate and D.H1 test sit between the metrics and the scoring machinery on purpose — no pathogen reaches Stage 5 without clearing both.</w:t>
      </w:r>
    </w:p>
    <w:p>
      <w:pPr>
        <w:spacing w:before="160" w:after="40"/>
      </w:pPr>
      <w:r>
        <w:rPr>
          <w:rFonts w:ascii="Consolas" w:hAnsi="Consolas"/>
          <w:b/>
          <w:color w:val="146356"/>
        </w:rPr>
        <w:t xml:space="preserve">[0]  </w:t>
      </w:r>
      <w:r>
        <w:rPr>
          <w:b/>
          <w:sz w:val="22"/>
        </w:rPr>
        <w:t>Atlas construction</w:t>
      </w:r>
      <w:r>
        <w:t xml:space="preserve">   </w:t>
      </w:r>
      <w:r>
        <w:rPr>
          <w:b/>
          <w:color w:val="2E7D4F"/>
          <w:sz w:val="18"/>
        </w:rPr>
        <w:t>● live</w:t>
      </w:r>
    </w:p>
    <w:p>
      <w:pPr>
        <w:spacing w:after="40"/>
        <w:ind w:left="432"/>
      </w:pPr>
      <w:r>
        <w:rPr>
          <w:color w:val="55655C"/>
          <w:sz w:val="19"/>
        </w:rPr>
        <w:t>Two-axis confidence classification (Structural Prediction × Functional Context) — a candidate is excluded from scoring only for Axis 1 reasons, never for lacking annotation.</w:t>
      </w:r>
    </w:p>
    <w:p>
      <w:pPr>
        <w:spacing w:before="160" w:after="40"/>
      </w:pPr>
      <w:r>
        <w:rPr>
          <w:rFonts w:ascii="Consolas" w:hAnsi="Consolas"/>
          <w:b/>
          <w:color w:val="146356"/>
        </w:rPr>
        <w:t xml:space="preserve">[1]  </w:t>
      </w:r>
      <w:r>
        <w:rPr>
          <w:b/>
          <w:sz w:val="22"/>
        </w:rPr>
        <w:t>Acquisition + QC + alignment</w:t>
      </w:r>
      <w:r>
        <w:t xml:space="preserve">   </w:t>
      </w:r>
      <w:r>
        <w:rPr>
          <w:b/>
          <w:color w:val="2E7D4F"/>
          <w:sz w:val="18"/>
        </w:rPr>
        <w:t>● live</w:t>
      </w:r>
    </w:p>
    <w:p>
      <w:pPr>
        <w:spacing w:after="40"/>
        <w:ind w:left="432"/>
      </w:pPr>
      <w:r>
        <w:rPr>
          <w:color w:val="55655C"/>
          <w:sz w:val="19"/>
        </w:rPr>
        <w:t>Entrez pull → length/N-content/date-completeness filters → MAFFT profile alignment to the frozen reference coordinate system.</w:t>
      </w:r>
    </w:p>
    <w:p>
      <w:pPr>
        <w:spacing w:before="160" w:after="40"/>
      </w:pPr>
      <w:r>
        <w:rPr>
          <w:rFonts w:ascii="Consolas" w:hAnsi="Consolas"/>
          <w:b/>
          <w:color w:val="9C6A18"/>
        </w:rPr>
        <w:t xml:space="preserve">[1.5]  </w:t>
      </w:r>
      <w:r>
        <w:rPr>
          <w:b/>
          <w:sz w:val="22"/>
        </w:rPr>
        <w:t>Recombination screening</w:t>
      </w:r>
      <w:r>
        <w:t xml:space="preserve">   </w:t>
      </w:r>
      <w:r>
        <w:rPr>
          <w:b/>
          <w:color w:val="9C6A18"/>
          <w:sz w:val="18"/>
        </w:rPr>
        <w:t>● module built</w:t>
      </w:r>
    </w:p>
    <w:p>
      <w:pPr>
        <w:spacing w:after="40"/>
        <w:ind w:left="432"/>
      </w:pPr>
      <w:r>
        <w:rPr>
          <w:color w:val="55655C"/>
          <w:sz w:val="19"/>
        </w:rPr>
        <w:t>PHI test, mandatory for every pathogen. high_priority tier (LSDV) routes positive loci to a non-tree-based estimate; standard tier (FMDV/PPRV/NDV/CSFV) logs and requires domain sign-off.</w:t>
      </w:r>
    </w:p>
    <w:p>
      <w:pPr>
        <w:spacing w:before="160" w:after="40"/>
      </w:pPr>
      <w:r>
        <w:rPr>
          <w:rFonts w:ascii="Consolas" w:hAnsi="Consolas"/>
          <w:b/>
          <w:color w:val="146356"/>
        </w:rPr>
        <w:t xml:space="preserve">[2]  </w:t>
      </w:r>
      <w:r>
        <w:rPr>
          <w:b/>
          <w:sz w:val="22"/>
        </w:rPr>
        <w:t>Phylogenomics</w:t>
      </w:r>
      <w:r>
        <w:t xml:space="preserve">   </w:t>
      </w:r>
      <w:r>
        <w:rPr>
          <w:b/>
          <w:color w:val="2E7D4F"/>
          <w:sz w:val="18"/>
        </w:rPr>
        <w:t>● live</w:t>
      </w:r>
    </w:p>
    <w:p>
      <w:pPr>
        <w:spacing w:after="40"/>
        <w:ind w:left="432"/>
      </w:pPr>
      <w:r>
        <w:rPr>
          <w:color w:val="55655C"/>
          <w:sz w:val="19"/>
        </w:rPr>
        <w:t>IQ-TREE2 + TreeTime, with ancestral-state reconstruction as a required output — not an optional side analysis.</w:t>
      </w:r>
    </w:p>
    <w:p>
      <w:pPr>
        <w:spacing w:before="160" w:after="40"/>
      </w:pPr>
      <w:r>
        <w:rPr>
          <w:rFonts w:ascii="Consolas" w:hAnsi="Consolas"/>
          <w:b/>
          <w:color w:val="146356"/>
        </w:rPr>
        <w:t xml:space="preserve">[3]  </w:t>
      </w:r>
      <w:r>
        <w:rPr>
          <w:b/>
          <w:sz w:val="22"/>
        </w:rPr>
        <w:t>Variant analysis</w:t>
      </w:r>
      <w:r>
        <w:t xml:space="preserve">   </w:t>
      </w:r>
      <w:r>
        <w:rPr>
          <w:b/>
          <w:color w:val="2E7D4F"/>
          <w:sz w:val="18"/>
        </w:rPr>
        <w:t>● live</w:t>
      </w:r>
    </w:p>
    <w:p>
      <w:pPr>
        <w:spacing w:after="40"/>
        <w:ind w:left="432"/>
      </w:pPr>
      <w:r>
        <w:rPr>
          <w:color w:val="55655C"/>
          <w:sz w:val="19"/>
        </w:rPr>
        <w:t>Calls variants against the frozen reference, intersected with Atlas loci to produce the G4-variant table.</w:t>
      </w:r>
    </w:p>
    <w:p>
      <w:pPr>
        <w:spacing w:before="160" w:after="40"/>
      </w:pPr>
      <w:r>
        <w:rPr>
          <w:rFonts w:ascii="Consolas" w:hAnsi="Consolas"/>
          <w:b/>
          <w:color w:val="146356"/>
        </w:rPr>
        <w:t xml:space="preserve">[4]  </w:t>
      </w:r>
      <w:r>
        <w:rPr>
          <w:b/>
          <w:sz w:val="22"/>
        </w:rPr>
        <w:t>G4 surveillance metrics</w:t>
      </w:r>
      <w:r>
        <w:t xml:space="preserve">   </w:t>
      </w:r>
      <w:r>
        <w:rPr>
          <w:b/>
          <w:color w:val="2E7D4F"/>
          <w:sz w:val="18"/>
        </w:rPr>
        <w:t>● live</w:t>
      </w:r>
    </w:p>
    <w:p>
      <w:pPr>
        <w:spacing w:after="40"/>
        <w:ind w:left="432"/>
      </w:pPr>
      <w:r>
        <w:rPr>
          <w:color w:val="55655C"/>
          <w:sz w:val="19"/>
        </w:rPr>
        <w:t>Clade-collapsed, ancestral-state-weighted G4C-phylo/G4D-phylo — one founding disruption event per clade, not one count per descendant tip.</w:t>
      </w:r>
    </w:p>
    <w:p>
      <w:pPr>
        <w:spacing w:before="160" w:after="40"/>
      </w:pPr>
      <w:r>
        <w:rPr>
          <w:rFonts w:ascii="Consolas" w:hAnsi="Consolas"/>
          <w:b/>
          <w:color w:val="146356"/>
        </w:rPr>
        <w:t xml:space="preserve">[4.5]  </w:t>
      </w:r>
      <w:r>
        <w:rPr>
          <w:b/>
          <w:sz w:val="22"/>
        </w:rPr>
        <w:t>GC-Confound Control Gate</w:t>
      </w:r>
      <w:r>
        <w:t xml:space="preserve">   </w:t>
      </w:r>
      <w:r>
        <w:rPr>
          <w:b/>
          <w:color w:val="2E7D4F"/>
          <w:sz w:val="18"/>
        </w:rPr>
        <w:t>● live</w:t>
      </w:r>
    </w:p>
    <w:p>
      <w:pPr>
        <w:spacing w:after="40"/>
        <w:ind w:left="432"/>
      </w:pPr>
      <w:r>
        <w:rPr>
          <w:color w:val="55655C"/>
          <w:sz w:val="19"/>
        </w:rPr>
        <w:t>Regresses disruption on local GC content; only the residual — never the raw value — is allowed to feed the D.H1 test or any score.</w:t>
      </w:r>
    </w:p>
    <w:p>
      <w:pPr>
        <w:spacing w:before="160" w:after="40"/>
      </w:pPr>
      <w:r>
        <w:rPr>
          <w:rFonts w:ascii="Consolas" w:hAnsi="Consolas"/>
          <w:b/>
          <w:color w:val="9C6A18"/>
        </w:rPr>
        <w:t xml:space="preserve">[GATE]  </w:t>
      </w:r>
      <w:r>
        <w:rPr>
          <w:b/>
          <w:sz w:val="22"/>
        </w:rPr>
        <w:t>D.H1 gate — Mann-Whitney U / dN-dS, FDR-corrected</w:t>
      </w:r>
      <w:r>
        <w:t xml:space="preserve">   </w:t>
      </w:r>
      <w:r>
        <w:rPr>
          <w:b/>
          <w:color w:val="9C6A18"/>
          <w:sz w:val="18"/>
        </w:rPr>
        <w:t>● executed once</w:t>
      </w:r>
    </w:p>
    <w:p>
      <w:pPr>
        <w:spacing w:after="40"/>
        <w:ind w:left="432"/>
      </w:pPr>
      <w:r>
        <w:rPr>
          <w:color w:val="55655C"/>
          <w:sz w:val="19"/>
        </w:rPr>
        <w:t>Per architecture Section 12: no code in g4watch/scoring/ may touch real data for a pathogen until this returns SUPPORTED — enforced twice, at the Nextflow level and the Python level.</w:t>
      </w:r>
    </w:p>
    <w:p>
      <w:pPr>
        <w:spacing w:after="40"/>
        <w:ind w:left="432"/>
      </w:pPr>
      <w:r>
        <w:rPr>
          <w:color w:val="132420"/>
          <w:sz w:val="19"/>
        </w:rPr>
        <w:t>→ SUPPORTED: proceed to Stage 5 for this pathogen.</w:t>
      </w:r>
    </w:p>
    <w:p>
      <w:pPr>
        <w:spacing w:after="40"/>
        <w:ind w:left="432"/>
      </w:pPr>
      <w:r>
        <w:rPr>
          <w:color w:val="132420"/>
          <w:sz w:val="19"/>
        </w:rPr>
        <w:t>→ NOT_SUPPORTED / GC-explained: halt; report as a biological or methods-level null.</w:t>
      </w:r>
    </w:p>
    <w:p>
      <w:pPr>
        <w:spacing w:before="160" w:after="40"/>
      </w:pPr>
      <w:r>
        <w:rPr>
          <w:rFonts w:ascii="Consolas" w:hAnsi="Consolas"/>
          <w:b/>
          <w:color w:val="146356"/>
        </w:rPr>
        <w:t xml:space="preserve">[5]  </w:t>
      </w:r>
      <w:r>
        <w:rPr>
          <w:b/>
          <w:sz w:val="22"/>
        </w:rPr>
        <w:t>G4-EWS-core + Integrated Score</w:t>
      </w:r>
      <w:r>
        <w:t xml:space="preserve">   </w:t>
      </w:r>
      <w:r>
        <w:rPr>
          <w:b/>
          <w:color w:val="6C776E"/>
          <w:sz w:val="18"/>
        </w:rPr>
        <w:t>● code ready, unwired</w:t>
      </w:r>
    </w:p>
    <w:p>
      <w:pPr>
        <w:spacing w:after="40"/>
        <w:ind w:left="432"/>
      </w:pPr>
      <w:r>
        <w:rPr>
          <w:color w:val="55655C"/>
          <w:sz w:val="19"/>
        </w:rPr>
        <w:t>Two distinct, correctly-nested term sets (M3: 4 G4-only terms; M4: core + LF/GE/TA), plus autocorrelation-aware CUSUM/EWMA alerting.</w:t>
      </w:r>
    </w:p>
    <w:p>
      <w:pPr>
        <w:spacing w:before="160" w:after="40"/>
      </w:pPr>
      <w:r>
        <w:rPr>
          <w:rFonts w:ascii="Consolas" w:hAnsi="Consolas"/>
          <w:b/>
          <w:color w:val="146356"/>
        </w:rPr>
        <w:t xml:space="preserve">[6]  </w:t>
      </w:r>
      <w:r>
        <w:rPr>
          <w:b/>
          <w:sz w:val="22"/>
        </w:rPr>
        <w:t>Dashboard + reporting</w:t>
      </w:r>
      <w:r>
        <w:t xml:space="preserve">   </w:t>
      </w:r>
      <w:r>
        <w:rPr>
          <w:b/>
          <w:color w:val="6C776E"/>
          <w:sz w:val="18"/>
        </w:rPr>
        <w:t>● not started</w:t>
      </w:r>
    </w:p>
    <w:p>
      <w:pPr>
        <w:spacing w:after="40"/>
        <w:ind w:left="432"/>
      </w:pPr>
      <w:r>
        <w:rPr>
          <w:color w:val="55655C"/>
          <w:sz w:val="19"/>
        </w:rPr>
        <w:t>Standalone web app linked from NADRES; D.H1 status and both confidence axes always visible, never suppressed.</w:t>
      </w:r>
    </w:p>
    <w:p>
      <w:r>
        <w:br w:type="page"/>
      </w:r>
    </w:p>
    <w:p>
      <w:pPr>
        <w:pStyle w:val="Heading1"/>
      </w:pPr>
      <w:r>
        <w:t>04 — Build workflow</w:t>
      </w:r>
    </w:p>
    <w:p>
      <w:r>
        <w:rPr>
          <w:color w:val="55655C"/>
        </w:rPr>
        <w:t>The sprint plan assumes containers, CI, and Nextflow exist before the science is prototyped. In practice the science came first. The remaining work is to retrofit orchestration around already-proven logic — verify each wrapped stage still reproduces the frozen real-FMDV outputs, rather than build a scaffold and hope the science fits it.</w:t>
      </w:r>
    </w:p>
    <w:p>
      <w:pPr>
        <w:spacing w:before="200" w:after="60"/>
      </w:pPr>
      <w:r>
        <w:rPr>
          <w:b/>
          <w:color w:val="146356"/>
          <w:sz w:val="22"/>
        </w:rPr>
        <w:t xml:space="preserve">Phase A  </w:t>
      </w:r>
      <w:r>
        <w:rPr>
          <w:b/>
          <w:sz w:val="22"/>
        </w:rPr>
        <w:t>Version control &amp; CI baseline</w:t>
      </w:r>
    </w:p>
    <w:p>
      <w:pPr>
        <w:pStyle w:val="ListBullet"/>
        <w:spacing w:after="80"/>
      </w:pPr>
      <w:r>
        <w:t>git init, commit the current tree, push to a remote — nothing is diffable today.</w:t>
      </w:r>
    </w:p>
    <w:p>
      <w:pPr>
        <w:pStyle w:val="ListBullet"/>
        <w:spacing w:after="80"/>
      </w:pPr>
      <w:r>
        <w:t>Stand up CI: pytest + coverage (85% gate) and the ground-truth import-lint rule (tests/ground_truth/ may only import numpy/scipy/stdlib/fixtures, never g4watch.metrics/g4watch.scoring).</w:t>
      </w:r>
    </w:p>
    <w:p>
      <w:pPr>
        <w:pStyle w:val="ListBullet"/>
        <w:spacing w:after="80"/>
      </w:pPr>
      <w:r>
        <w:t>Freeze the current real-data outputs — Atlas v1.0.fmdv.tsv and the printed D.H1 verdict — as the regression baseline every later refactor must reproduce bit-for-bit.</w:t>
      </w:r>
    </w:p>
    <w:p>
      <w:pPr>
        <w:spacing w:before="200" w:after="60"/>
      </w:pPr>
      <w:r>
        <w:rPr>
          <w:b/>
          <w:color w:val="146356"/>
          <w:sz w:val="22"/>
        </w:rPr>
        <w:t xml:space="preserve">Phase B  </w:t>
      </w:r>
      <w:r>
        <w:rPr>
          <w:b/>
          <w:sz w:val="22"/>
        </w:rPr>
        <w:t>Containerize each stage</w:t>
      </w:r>
    </w:p>
    <w:p>
      <w:pPr>
        <w:pStyle w:val="ListBullet"/>
        <w:spacing w:after="80"/>
      </w:pPr>
      <w:r>
        <w:t>Write the 10 Dockerfiles from architecture Section 4/5 (acquisition, alignment, g4prediction, phylogenetics, variants, selection, statistics, web-backend, web-db, web-proxy).</w:t>
      </w:r>
    </w:p>
    <w:p>
      <w:pPr>
        <w:pStyle w:val="ListBullet"/>
        <w:spacing w:after="80"/>
      </w:pPr>
      <w:r>
        <w:t>Digest-pin every base image and tool version; smoke-test in CI that each container actually runs its tool (this was Sprint 0's real deliverable, still outstanding).</w:t>
      </w:r>
    </w:p>
    <w:p>
      <w:pPr>
        <w:pStyle w:val="ListBullet"/>
        <w:spacing w:after="80"/>
      </w:pPr>
      <w:r>
        <w:t>Reconcile the variants container now: native caller as shipped, or switch to snippy/SNPeff as originally spec'd — decide before it's baked into a Dockerfile.</w:t>
      </w:r>
    </w:p>
    <w:p>
      <w:pPr>
        <w:spacing w:before="200" w:after="60"/>
      </w:pPr>
      <w:r>
        <w:rPr>
          <w:b/>
          <w:color w:val="146356"/>
          <w:sz w:val="22"/>
        </w:rPr>
        <w:t xml:space="preserve">Phase C  </w:t>
      </w:r>
      <w:r>
        <w:rPr>
          <w:b/>
          <w:sz w:val="22"/>
        </w:rPr>
        <w:t>Translate scripts into Nextflow DSL2 modules</w:t>
      </w:r>
    </w:p>
    <w:p>
      <w:pPr>
        <w:pStyle w:val="ListBullet"/>
        <w:spacing w:after="80"/>
      </w:pPr>
      <w:r>
        <w:t>One workflow/modules/*.nf per stage, each a thin wrapper around the already-working Python entry point — see the script → module map for the exact pairing.</w:t>
      </w:r>
    </w:p>
    <w:p>
      <w:pPr>
        <w:pStyle w:val="ListBullet"/>
        <w:spacing w:after="80"/>
      </w:pPr>
      <w:r>
        <w:t>workflow/main.nf chains modules in the corrected order (0 → 1 → 1.5 → 2 → 3 → 4 → 4.5 → gate → 5 → 6).</w:t>
      </w:r>
    </w:p>
    <w:p>
      <w:pPr>
        <w:pStyle w:val="ListBullet"/>
        <w:spacing w:after="80"/>
      </w:pPr>
      <w:r>
        <w:t>Verify -resume idempotency stage-by-stage against Phase A's frozen baseline before moving to the next module — catches silent behavior drift during the wrap immediately, not after everything is converted.</w:t>
      </w:r>
    </w:p>
    <w:p>
      <w:pPr>
        <w:spacing w:before="200" w:after="60"/>
      </w:pPr>
      <w:r>
        <w:rPr>
          <w:b/>
          <w:color w:val="146356"/>
          <w:sz w:val="22"/>
        </w:rPr>
        <w:t xml:space="preserve">Phase D  </w:t>
      </w:r>
      <w:r>
        <w:rPr>
          <w:b/>
          <w:sz w:val="22"/>
        </w:rPr>
        <w:t>Make it config-driven from day one</w:t>
      </w:r>
    </w:p>
    <w:p>
      <w:pPr>
        <w:pStyle w:val="ListBullet"/>
        <w:spacing w:after="80"/>
      </w:pPr>
      <w:r>
        <w:t>Extract the hardcoded paths and thresholds scattered across scripts/python/*_fmdv.py into config/fmdv.yaml.</w:t>
      </w:r>
    </w:p>
    <w:p>
      <w:pPr>
        <w:pStyle w:val="ListBullet"/>
        <w:spacing w:after="80"/>
      </w:pPr>
      <w:r>
        <w:t>Stub config/{lsdv,pprv,ndv,csfv}.yaml now, with recombination_screen: tier set correctly (high_priority for LSDV) even though only FMDV runs today — cheaper to set once than to retrofit at Sprint 16.</w:t>
      </w:r>
    </w:p>
    <w:p>
      <w:pPr>
        <w:spacing w:before="200" w:after="60"/>
      </w:pPr>
      <w:r>
        <w:rPr>
          <w:b/>
          <w:color w:val="146356"/>
          <w:sz w:val="22"/>
        </w:rPr>
        <w:t xml:space="preserve">Phase E  </w:t>
      </w:r>
      <w:r>
        <w:rPr>
          <w:b/>
          <w:sz w:val="22"/>
        </w:rPr>
        <w:t>Enforce the D.H1 gate at the orchestration layer</w:t>
      </w:r>
    </w:p>
    <w:p>
      <w:pPr>
        <w:pStyle w:val="ListBullet"/>
        <w:spacing w:after="80"/>
      </w:pPr>
      <w:r>
        <w:t>modules/scoring.nf takes the gate's verdict as a required upstream channel and is a no-op unless it reads SUPPORTED — the Python-level check in dh1_gate.py already exists; this adds the second, Nextflow-level enforcement layer.</w:t>
      </w:r>
    </w:p>
    <w:p>
      <w:pPr>
        <w:pStyle w:val="ListBullet"/>
        <w:spacing w:after="80"/>
      </w:pPr>
      <w:r>
        <w:t>Implement data/atlases/testing_ledger.tsv (Section 13.6) and backfill it with the FMDV D.H1 p-values already computed by run_dh1_fmdv.py — the one concrete gap found in an otherwise-complete Stage 4.5/gate implementation.</w:t>
      </w:r>
    </w:p>
    <w:p>
      <w:pPr>
        <w:spacing w:before="200" w:after="60"/>
      </w:pPr>
      <w:r>
        <w:rPr>
          <w:b/>
          <w:color w:val="146356"/>
          <w:sz w:val="22"/>
        </w:rPr>
        <w:t xml:space="preserve">Phase F  </w:t>
      </w:r>
      <w:r>
        <w:rPr>
          <w:b/>
          <w:sz w:val="22"/>
        </w:rPr>
        <w:t>Web interface</w:t>
      </w:r>
    </w:p>
    <w:p>
      <w:pPr>
        <w:pStyle w:val="ListBullet"/>
        <w:spacing w:after="80"/>
      </w:pPr>
      <w:r>
        <w:t>FastAPI + Jinja2/HTMX/Chart.js, read-only over pipeline artifacts (Atlas TSVs, Dh1GateResult); PostgreSQL run-history DB; local auth with an AuthBackend seam for future NADRES SSO.</w:t>
      </w:r>
    </w:p>
    <w:p>
      <w:pPr>
        <w:pStyle w:val="ListBullet"/>
        <w:spacing w:after="80"/>
      </w:pPr>
      <w:r>
        <w:t>Required, always-visible fields regardless of pathogen state: D.H1 gate status, both confidence axes, the disclaimer block — a pathogen that comes back NOT_SUPPORTED shows that prominently, never a blank scoring section.</w:t>
      </w:r>
    </w:p>
    <w:p>
      <w:pPr>
        <w:spacing w:before="200" w:after="60"/>
      </w:pPr>
      <w:r>
        <w:rPr>
          <w:b/>
          <w:color w:val="146356"/>
          <w:sz w:val="22"/>
        </w:rPr>
        <w:t xml:space="preserve">Phase G  </w:t>
      </w:r>
      <w:r>
        <w:rPr>
          <w:b/>
          <w:sz w:val="22"/>
        </w:rPr>
        <w:t>Reproducibility hardening</w:t>
      </w:r>
    </w:p>
    <w:p>
      <w:pPr>
        <w:pStyle w:val="ListBullet"/>
        <w:spacing w:after="80"/>
      </w:pPr>
      <w:r>
        <w:t>Close the reference-genome gap: only AY593823 is frozen; Sprint 0 calls for a curated 5–10 genome set with a full accession list.</w:t>
      </w:r>
    </w:p>
    <w:p>
      <w:pPr>
        <w:pStyle w:val="ListBullet"/>
        <w:spacing w:after="80"/>
      </w:pPr>
      <w:r>
        <w:t>Container digest audit, documented random-seed policy, Zenodo DOI mint tying Atlas versions to code versions.</w:t>
      </w:r>
    </w:p>
    <w:p>
      <w:r>
        <w:br w:type="page"/>
      </w:r>
    </w:p>
    <w:p>
      <w:pPr>
        <w:pStyle w:val="Heading1"/>
      </w:pPr>
      <w:r>
        <w:t>05 — Script → Nextflow module map</w:t>
      </w:r>
    </w:p>
    <w:p>
      <w:r>
        <w:rPr>
          <w:color w:val="55655C"/>
        </w:rPr>
        <w:t>What exists today, and exactly what it becomes once Phase C runs.</w:t>
      </w:r>
    </w:p>
    <w:tbl>
      <w:tblPr>
        <w:tblStyle w:val="LightGrid-Accent1"/>
        <w:tblW w:type="auto" w:w="0"/>
        <w:tblLayout w:type="fixed"/>
        <w:tblLook w:firstColumn="1" w:firstRow="1" w:lastColumn="0" w:lastRow="0" w:noHBand="0" w:noVBand="1" w:val="04A0"/>
      </w:tblPr>
      <w:tblGrid>
        <w:gridCol w:w="3216"/>
        <w:gridCol w:w="3216"/>
        <w:gridCol w:w="3216"/>
      </w:tblGrid>
      <w:tr>
        <w:tc>
          <w:tcPr>
            <w:tcW w:type="dxa" w:w="4608"/>
            <w:shd w:fill="EAEFEB"/>
          </w:tcPr>
          <w:p>
            <w:r>
              <w:rPr>
                <w:b/>
                <w:color w:val="55655C"/>
                <w:sz w:val="17"/>
              </w:rPr>
              <w:t>EXISTING (SCRIPT + MODULE)</w:t>
            </w:r>
          </w:p>
        </w:tc>
        <w:tc>
          <w:tcPr>
            <w:tcW w:type="dxa" w:w="3168"/>
            <w:shd w:fill="EAEFEB"/>
          </w:tcPr>
          <w:p>
            <w:r>
              <w:rPr>
                <w:b/>
                <w:color w:val="55655C"/>
                <w:sz w:val="17"/>
              </w:rPr>
              <w:t>NEXTFLOW MODULE</w:t>
            </w:r>
          </w:p>
        </w:tc>
        <w:tc>
          <w:tcPr>
            <w:tcW w:type="dxa" w:w="1872"/>
            <w:shd w:fill="EAEFEB"/>
          </w:tcPr>
          <w:p>
            <w:r>
              <w:rPr>
                <w:b/>
                <w:color w:val="55655C"/>
                <w:sz w:val="17"/>
              </w:rPr>
              <w:t>CONTAINER</w:t>
            </w:r>
          </w:p>
        </w:tc>
      </w:tr>
      <w:tr>
        <w:tc>
          <w:tcPr>
            <w:tcW w:type="dxa" w:w="4608"/>
          </w:tcPr>
          <w:p>
            <w:r>
              <w:rPr>
                <w:rFonts w:ascii="Consolas" w:hAnsi="Consolas"/>
                <w:sz w:val="17"/>
              </w:rPr>
              <w:t>build_atlas_fmdv.py</w:t>
            </w:r>
          </w:p>
          <w:p>
            <w:r>
              <w:rPr>
                <w:rFonts w:ascii="Consolas" w:hAnsi="Consolas"/>
                <w:sz w:val="17"/>
              </w:rPr>
              <w:t>atlas/{builder,stage0}.py</w:t>
            </w:r>
          </w:p>
        </w:tc>
        <w:tc>
          <w:tcPr>
            <w:tcW w:type="dxa" w:w="3168"/>
          </w:tcPr>
          <w:p>
            <w:r>
              <w:rPr>
                <w:rFonts w:ascii="Consolas" w:hAnsi="Consolas"/>
                <w:color w:val="146356"/>
                <w:sz w:val="17"/>
              </w:rPr>
              <w:t>modules/atlas_construction.nf</w:t>
            </w:r>
          </w:p>
        </w:tc>
        <w:tc>
          <w:tcPr>
            <w:tcW w:type="dxa" w:w="1872"/>
          </w:tcPr>
          <w:p>
            <w:r>
              <w:rPr>
                <w:sz w:val="17"/>
              </w:rPr>
              <w:t>g4prediction</w:t>
            </w:r>
          </w:p>
        </w:tc>
      </w:tr>
      <w:tr>
        <w:tc>
          <w:tcPr>
            <w:tcW w:type="dxa" w:w="4608"/>
          </w:tcPr>
          <w:p>
            <w:r>
              <w:rPr>
                <w:rFonts w:ascii="Consolas" w:hAnsi="Consolas"/>
                <w:sz w:val="17"/>
              </w:rPr>
              <w:t>parse_fmdv_corpus_metadata.py</w:t>
            </w:r>
          </w:p>
        </w:tc>
        <w:tc>
          <w:tcPr>
            <w:tcW w:type="dxa" w:w="3168"/>
          </w:tcPr>
          <w:p>
            <w:r>
              <w:rPr>
                <w:rFonts w:ascii="Consolas" w:hAnsi="Consolas"/>
                <w:color w:val="146356"/>
                <w:sz w:val="17"/>
              </w:rPr>
              <w:t>modules/acquisition.nf</w:t>
            </w:r>
          </w:p>
        </w:tc>
        <w:tc>
          <w:tcPr>
            <w:tcW w:type="dxa" w:w="1872"/>
          </w:tcPr>
          <w:p>
            <w:r>
              <w:rPr>
                <w:sz w:val="17"/>
              </w:rPr>
              <w:t>acquisition</w:t>
            </w:r>
          </w:p>
        </w:tc>
      </w:tr>
      <w:tr>
        <w:tc>
          <w:tcPr>
            <w:tcW w:type="dxa" w:w="4608"/>
          </w:tcPr>
          <w:p>
            <w:r>
              <w:rPr>
                <w:rFonts w:ascii="Consolas" w:hAnsi="Consolas"/>
                <w:sz w:val="17"/>
              </w:rPr>
              <w:t>qc_fmdv_corpus.py</w:t>
            </w:r>
          </w:p>
          <w:p>
            <w:r>
              <w:rPr>
                <w:rFonts w:ascii="Consolas" w:hAnsi="Consolas"/>
                <w:sz w:val="17"/>
              </w:rPr>
              <w:t>qc/*.py</w:t>
            </w:r>
          </w:p>
        </w:tc>
        <w:tc>
          <w:tcPr>
            <w:tcW w:type="dxa" w:w="3168"/>
          </w:tcPr>
          <w:p>
            <w:r>
              <w:rPr>
                <w:rFonts w:ascii="Consolas" w:hAnsi="Consolas"/>
                <w:color w:val="146356"/>
                <w:sz w:val="17"/>
              </w:rPr>
              <w:t>modules/qc.nf</w:t>
            </w:r>
          </w:p>
        </w:tc>
        <w:tc>
          <w:tcPr>
            <w:tcW w:type="dxa" w:w="1872"/>
          </w:tcPr>
          <w:p>
            <w:r>
              <w:rPr>
                <w:sz w:val="17"/>
              </w:rPr>
              <w:t>acquisition</w:t>
            </w:r>
          </w:p>
        </w:tc>
      </w:tr>
      <w:tr>
        <w:tc>
          <w:tcPr>
            <w:tcW w:type="dxa" w:w="4608"/>
          </w:tcPr>
          <w:p>
            <w:r>
              <w:rPr>
                <w:rFonts w:ascii="Consolas" w:hAnsi="Consolas"/>
                <w:sz w:val="17"/>
              </w:rPr>
              <w:t>alignment_quality_report_fmdv.py</w:t>
            </w:r>
          </w:p>
          <w:p>
            <w:r>
              <w:rPr>
                <w:rFonts w:ascii="Consolas" w:hAnsi="Consolas"/>
                <w:sz w:val="17"/>
              </w:rPr>
              <w:t>alignment/quality.py + external MAFFT</w:t>
            </w:r>
          </w:p>
        </w:tc>
        <w:tc>
          <w:tcPr>
            <w:tcW w:type="dxa" w:w="3168"/>
          </w:tcPr>
          <w:p>
            <w:r>
              <w:rPr>
                <w:rFonts w:ascii="Consolas" w:hAnsi="Consolas"/>
                <w:color w:val="146356"/>
                <w:sz w:val="17"/>
              </w:rPr>
              <w:t>modules/alignment.nf</w:t>
            </w:r>
          </w:p>
        </w:tc>
        <w:tc>
          <w:tcPr>
            <w:tcW w:type="dxa" w:w="1872"/>
          </w:tcPr>
          <w:p>
            <w:r>
              <w:rPr>
                <w:sz w:val="17"/>
              </w:rPr>
              <w:t>alignment</w:t>
            </w:r>
          </w:p>
        </w:tc>
      </w:tr>
      <w:tr>
        <w:tc>
          <w:tcPr>
            <w:tcW w:type="dxa" w:w="4608"/>
          </w:tcPr>
          <w:p>
            <w:r>
              <w:rPr>
                <w:rFonts w:ascii="Consolas" w:hAnsi="Consolas"/>
                <w:sz w:val="17"/>
              </w:rPr>
              <w:t>phylo/recombination_screen.py + vendor/phipack</w:t>
            </w:r>
          </w:p>
          <w:p>
            <w:r>
              <w:rPr>
                <w:rFonts w:ascii="Consolas" w:hAnsi="Consolas"/>
                <w:sz w:val="17"/>
              </w:rPr>
              <w:t>(no FMDV driver yet)</w:t>
            </w:r>
          </w:p>
        </w:tc>
        <w:tc>
          <w:tcPr>
            <w:tcW w:type="dxa" w:w="3168"/>
          </w:tcPr>
          <w:p>
            <w:r>
              <w:rPr>
                <w:rFonts w:ascii="Consolas" w:hAnsi="Consolas"/>
                <w:color w:val="146356"/>
                <w:sz w:val="17"/>
              </w:rPr>
              <w:t>modules/recombination_screen.nf</w:t>
            </w:r>
          </w:p>
        </w:tc>
        <w:tc>
          <w:tcPr>
            <w:tcW w:type="dxa" w:w="1872"/>
          </w:tcPr>
          <w:p>
            <w:r>
              <w:rPr>
                <w:sz w:val="17"/>
              </w:rPr>
              <w:t>selection</w:t>
            </w:r>
          </w:p>
        </w:tc>
      </w:tr>
      <w:tr>
        <w:tc>
          <w:tcPr>
            <w:tcW w:type="dxa" w:w="4608"/>
          </w:tcPr>
          <w:p>
            <w:r>
              <w:rPr>
                <w:rFonts w:ascii="Consolas" w:hAnsi="Consolas"/>
                <w:sz w:val="17"/>
              </w:rPr>
              <w:t>build_treetime_dates.py, run_treetime_fmdv.py</w:t>
            </w:r>
          </w:p>
          <w:p>
            <w:r>
              <w:rPr>
                <w:rFonts w:ascii="Consolas" w:hAnsi="Consolas"/>
                <w:sz w:val="17"/>
              </w:rPr>
              <w:t>phylo/ancestral_states.py + external IQ-TREE2</w:t>
            </w:r>
          </w:p>
        </w:tc>
        <w:tc>
          <w:tcPr>
            <w:tcW w:type="dxa" w:w="3168"/>
          </w:tcPr>
          <w:p>
            <w:r>
              <w:rPr>
                <w:rFonts w:ascii="Consolas" w:hAnsi="Consolas"/>
                <w:color w:val="146356"/>
                <w:sz w:val="17"/>
              </w:rPr>
              <w:t>modules/phylogenetics.nf</w:t>
            </w:r>
          </w:p>
        </w:tc>
        <w:tc>
          <w:tcPr>
            <w:tcW w:type="dxa" w:w="1872"/>
          </w:tcPr>
          <w:p>
            <w:r>
              <w:rPr>
                <w:sz w:val="17"/>
              </w:rPr>
              <w:t>phylogenetics</w:t>
            </w:r>
          </w:p>
        </w:tc>
      </w:tr>
      <w:tr>
        <w:tc>
          <w:tcPr>
            <w:tcW w:type="dxa" w:w="4608"/>
          </w:tcPr>
          <w:p>
            <w:r>
              <w:rPr>
                <w:rFonts w:ascii="Consolas" w:hAnsi="Consolas"/>
                <w:sz w:val="17"/>
              </w:rPr>
              <w:t>call_variants_fmdv.py</w:t>
            </w:r>
          </w:p>
          <w:p>
            <w:r>
              <w:rPr>
                <w:rFonts w:ascii="Consolas" w:hAnsi="Consolas"/>
                <w:sz w:val="17"/>
              </w:rPr>
              <w:t>variants/alignment_variant_caller.py</w:t>
            </w:r>
          </w:p>
        </w:tc>
        <w:tc>
          <w:tcPr>
            <w:tcW w:type="dxa" w:w="3168"/>
          </w:tcPr>
          <w:p>
            <w:r>
              <w:rPr>
                <w:rFonts w:ascii="Consolas" w:hAnsi="Consolas"/>
                <w:color w:val="146356"/>
                <w:sz w:val="17"/>
              </w:rPr>
              <w:t>modules/variant_analysis.nf</w:t>
            </w:r>
          </w:p>
        </w:tc>
        <w:tc>
          <w:tcPr>
            <w:tcW w:type="dxa" w:w="1872"/>
          </w:tcPr>
          <w:p>
            <w:r>
              <w:rPr>
                <w:sz w:val="17"/>
              </w:rPr>
              <w:t>variants (reconcile vs. snippy/SNPeff spec)</w:t>
            </w:r>
          </w:p>
        </w:tc>
      </w:tr>
      <w:tr>
        <w:tc>
          <w:tcPr>
            <w:tcW w:type="dxa" w:w="4608"/>
          </w:tcPr>
          <w:p>
            <w:r>
              <w:rPr>
                <w:rFonts w:ascii="Consolas" w:hAnsi="Consolas"/>
                <w:sz w:val="17"/>
              </w:rPr>
              <w:t>populate_conservation_fmdv.py</w:t>
            </w:r>
          </w:p>
          <w:p>
            <w:r>
              <w:rPr>
                <w:rFonts w:ascii="Consolas" w:hAnsi="Consolas"/>
                <w:sz w:val="17"/>
              </w:rPr>
              <w:t>metrics/{conservation,severity_weighted_disruption,mutation_burden_residual}.py</w:t>
            </w:r>
          </w:p>
        </w:tc>
        <w:tc>
          <w:tcPr>
            <w:tcW w:type="dxa" w:w="3168"/>
          </w:tcPr>
          <w:p>
            <w:r>
              <w:rPr>
                <w:rFonts w:ascii="Consolas" w:hAnsi="Consolas"/>
                <w:color w:val="146356"/>
                <w:sz w:val="17"/>
              </w:rPr>
              <w:t>modules/g4_surveillance.nf</w:t>
            </w:r>
          </w:p>
        </w:tc>
        <w:tc>
          <w:tcPr>
            <w:tcW w:type="dxa" w:w="1872"/>
          </w:tcPr>
          <w:p>
            <w:r>
              <w:rPr>
                <w:sz w:val="17"/>
              </w:rPr>
              <w:t>g4prediction</w:t>
            </w:r>
          </w:p>
        </w:tc>
      </w:tr>
      <w:tr>
        <w:tc>
          <w:tcPr>
            <w:tcW w:type="dxa" w:w="4608"/>
          </w:tcPr>
          <w:p>
            <w:r>
              <w:rPr>
                <w:rFonts w:ascii="Consolas" w:hAnsi="Consolas"/>
                <w:sz w:val="17"/>
              </w:rPr>
              <w:t>run_dh1_fmdv.py (control half)</w:t>
            </w:r>
          </w:p>
          <w:p>
            <w:r>
              <w:rPr>
                <w:rFonts w:ascii="Consolas" w:hAnsi="Consolas"/>
                <w:sz w:val="17"/>
              </w:rPr>
              <w:t>validation/{gc_confound_gate,control_regions}.py</w:t>
            </w:r>
          </w:p>
        </w:tc>
        <w:tc>
          <w:tcPr>
            <w:tcW w:type="dxa" w:w="3168"/>
          </w:tcPr>
          <w:p>
            <w:r>
              <w:rPr>
                <w:rFonts w:ascii="Consolas" w:hAnsi="Consolas"/>
                <w:color w:val="146356"/>
                <w:sz w:val="17"/>
              </w:rPr>
              <w:t>modules/gc_confound_gate.nf</w:t>
            </w:r>
          </w:p>
        </w:tc>
        <w:tc>
          <w:tcPr>
            <w:tcW w:type="dxa" w:w="1872"/>
          </w:tcPr>
          <w:p>
            <w:r>
              <w:rPr>
                <w:sz w:val="17"/>
              </w:rPr>
              <w:t>statistics</w:t>
            </w:r>
          </w:p>
        </w:tc>
      </w:tr>
      <w:tr>
        <w:tc>
          <w:tcPr>
            <w:tcW w:type="dxa" w:w="4608"/>
          </w:tcPr>
          <w:p>
            <w:r>
              <w:rPr>
                <w:rFonts w:ascii="Consolas" w:hAnsi="Consolas"/>
                <w:sz w:val="17"/>
              </w:rPr>
              <w:t>run_dh1_fmdv.py (gate half)</w:t>
            </w:r>
          </w:p>
          <w:p>
            <w:r>
              <w:rPr>
                <w:rFonts w:ascii="Consolas" w:hAnsi="Consolas"/>
                <w:sz w:val="17"/>
              </w:rPr>
              <w:t>validation/dh1_gate.py</w:t>
            </w:r>
          </w:p>
        </w:tc>
        <w:tc>
          <w:tcPr>
            <w:tcW w:type="dxa" w:w="3168"/>
          </w:tcPr>
          <w:p>
            <w:r>
              <w:rPr>
                <w:rFonts w:ascii="Consolas" w:hAnsi="Consolas"/>
                <w:color w:val="146356"/>
                <w:sz w:val="17"/>
              </w:rPr>
              <w:t>branch logic in main.nf</w:t>
            </w:r>
          </w:p>
        </w:tc>
        <w:tc>
          <w:tcPr>
            <w:tcW w:type="dxa" w:w="1872"/>
          </w:tcPr>
          <w:p>
            <w:r>
              <w:rPr>
                <w:sz w:val="17"/>
              </w:rPr>
              <w:t>statistics</w:t>
            </w:r>
          </w:p>
        </w:tc>
      </w:tr>
      <w:tr>
        <w:tc>
          <w:tcPr>
            <w:tcW w:type="dxa" w:w="4608"/>
          </w:tcPr>
          <w:p>
            <w:r>
              <w:rPr>
                <w:rFonts w:ascii="Consolas" w:hAnsi="Consolas"/>
                <w:sz w:val="17"/>
              </w:rPr>
              <w:t>scoring/{g4_ews_core,integrated_score}.py</w:t>
            </w:r>
          </w:p>
          <w:p>
            <w:r>
              <w:rPr>
                <w:rFonts w:ascii="Consolas" w:hAnsi="Consolas"/>
                <w:sz w:val="17"/>
              </w:rPr>
              <w:t>(unwired by design)</w:t>
            </w:r>
          </w:p>
        </w:tc>
        <w:tc>
          <w:tcPr>
            <w:tcW w:type="dxa" w:w="3168"/>
          </w:tcPr>
          <w:p>
            <w:r>
              <w:rPr>
                <w:rFonts w:ascii="Consolas" w:hAnsi="Consolas"/>
                <w:color w:val="146356"/>
                <w:sz w:val="17"/>
              </w:rPr>
              <w:t>modules/scoring.nf (no-op pre-gate)</w:t>
            </w:r>
          </w:p>
        </w:tc>
        <w:tc>
          <w:tcPr>
            <w:tcW w:type="dxa" w:w="1872"/>
          </w:tcPr>
          <w:p>
            <w:r>
              <w:rPr>
                <w:sz w:val="17"/>
              </w:rPr>
              <w:t>statistics</w:t>
            </w:r>
          </w:p>
        </w:tc>
      </w:tr>
      <w:tr>
        <w:tc>
          <w:tcPr>
            <w:tcW w:type="dxa" w:w="4608"/>
          </w:tcPr>
          <w:p>
            <w:r>
              <w:rPr>
                <w:rFonts w:ascii="Consolas" w:hAnsi="Consolas"/>
                <w:sz w:val="17"/>
              </w:rPr>
              <w:t>none yet</w:t>
            </w:r>
          </w:p>
        </w:tc>
        <w:tc>
          <w:tcPr>
            <w:tcW w:type="dxa" w:w="3168"/>
          </w:tcPr>
          <w:p>
            <w:r>
              <w:rPr>
                <w:rFonts w:ascii="Consolas" w:hAnsi="Consolas"/>
                <w:color w:val="146356"/>
                <w:sz w:val="17"/>
              </w:rPr>
              <w:t>modules/reporting.nf + web/</w:t>
            </w:r>
          </w:p>
        </w:tc>
        <w:tc>
          <w:tcPr>
            <w:tcW w:type="dxa" w:w="1872"/>
          </w:tcPr>
          <w:p>
            <w:r>
              <w:rPr>
                <w:sz w:val="17"/>
              </w:rPr>
              <w:t>web-backend / web-db / web-proxy</w:t>
            </w:r>
          </w:p>
        </w:tc>
      </w:tr>
    </w:tbl>
    <w:p/>
    <w:p>
      <w:pPr>
        <w:pStyle w:val="Heading1"/>
      </w:pPr>
      <w:r>
        <w:t>06 — Next steps</w:t>
      </w:r>
    </w:p>
    <w:p>
      <w:pPr>
        <w:spacing w:after="40"/>
      </w:pPr>
      <w:r>
        <w:rPr>
          <w:b/>
          <w:color w:val="146356"/>
        </w:rPr>
        <w:t xml:space="preserve">1.  </w:t>
      </w:r>
      <w:r>
        <w:rPr>
          <w:sz w:val="21"/>
        </w:rPr>
        <w:t>Initialize git and commit the current tree.</w:t>
      </w:r>
    </w:p>
    <w:p>
      <w:pPr>
        <w:spacing w:after="160"/>
        <w:ind w:left="432"/>
      </w:pPr>
      <w:r>
        <w:rPr>
          <w:i/>
          <w:color w:val="55655C"/>
          <w:sz w:val="18"/>
        </w:rPr>
        <w:t>Everything else — CI, digest pins, reproducible diffs — depends on there being a history to check.</w:t>
      </w:r>
    </w:p>
    <w:p>
      <w:pPr>
        <w:spacing w:after="40"/>
      </w:pPr>
      <w:r>
        <w:rPr>
          <w:b/>
          <w:color w:val="146356"/>
        </w:rPr>
        <w:t xml:space="preserve">2.  </w:t>
      </w:r>
      <w:r>
        <w:rPr>
          <w:sz w:val="21"/>
        </w:rPr>
        <w:t>Stand up CI: coverage gate + the ground-truth import-lint rule.</w:t>
      </w:r>
    </w:p>
    <w:p>
      <w:pPr>
        <w:spacing w:after="160"/>
        <w:ind w:left="432"/>
      </w:pPr>
      <w:r>
        <w:rPr>
          <w:i/>
          <w:color w:val="55655C"/>
          <w:sz w:val="18"/>
        </w:rPr>
        <w:t>241 tests already pass locally — get that guarantee running on every push before touching orchestration.</w:t>
      </w:r>
    </w:p>
    <w:p>
      <w:pPr>
        <w:spacing w:after="40"/>
      </w:pPr>
      <w:r>
        <w:rPr>
          <w:b/>
          <w:color w:val="146356"/>
        </w:rPr>
        <w:t xml:space="preserve">3.  </w:t>
      </w:r>
      <w:r>
        <w:rPr>
          <w:sz w:val="21"/>
        </w:rPr>
        <w:t>Populate data/atlases/testing_ledger.tsv from the D.H1 run already executed.</w:t>
      </w:r>
    </w:p>
    <w:p>
      <w:pPr>
        <w:spacing w:after="160"/>
        <w:ind w:left="432"/>
      </w:pPr>
      <w:r>
        <w:rPr>
          <w:i/>
          <w:color w:val="55655C"/>
          <w:sz w:val="18"/>
        </w:rPr>
        <w:t>The only concrete gap in an otherwise-complete gate implementation — currently the verdict only exists in stdout.</w:t>
      </w:r>
    </w:p>
    <w:p>
      <w:pPr>
        <w:spacing w:after="40"/>
      </w:pPr>
      <w:r>
        <w:rPr>
          <w:b/>
          <w:color w:val="146356"/>
        </w:rPr>
        <w:t xml:space="preserve">4.  </w:t>
      </w:r>
      <w:r>
        <w:rPr>
          <w:sz w:val="21"/>
        </w:rPr>
        <w:t>Write and smoke-test the first Dockerfile + Nextflow module as a proof of concept — acquisition.nf is the natural starting point.</w:t>
      </w:r>
    </w:p>
    <w:p>
      <w:pPr>
        <w:spacing w:after="160"/>
        <w:ind w:left="432"/>
      </w:pPr>
      <w:r>
        <w:rPr>
          <w:i/>
          <w:color w:val="55655C"/>
          <w:sz w:val="18"/>
        </w:rPr>
        <w:t>Validates the container/module pattern once before repeating it nine more times.</w:t>
      </w:r>
    </w:p>
    <w:p>
      <w:pPr>
        <w:spacing w:after="40"/>
      </w:pPr>
      <w:r>
        <w:rPr>
          <w:b/>
          <w:color w:val="146356"/>
        </w:rPr>
        <w:t xml:space="preserve">5.  </w:t>
      </w:r>
      <w:r>
        <w:rPr>
          <w:sz w:val="21"/>
        </w:rPr>
        <w:t>Decide snippy/SNPeff vs. the native variant caller before containerizing Stage 3.</w:t>
      </w:r>
    </w:p>
    <w:p>
      <w:pPr>
        <w:spacing w:after="160"/>
        <w:ind w:left="432"/>
      </w:pPr>
      <w:r>
        <w:rPr>
          <w:i/>
          <w:color w:val="55655C"/>
          <w:sz w:val="18"/>
        </w:rPr>
        <w:t>A real divergence from the written architecture — cheaper to resolve now than after it's wrapped in a Dockerfile.</w:t>
      </w:r>
    </w:p>
    <w:p>
      <w:pPr>
        <w:spacing w:after="40"/>
      </w:pPr>
      <w:r>
        <w:rPr>
          <w:b/>
          <w:color w:val="146356"/>
        </w:rPr>
        <w:t xml:space="preserve">6.  </w:t>
      </w:r>
      <w:r>
        <w:rPr>
          <w:sz w:val="21"/>
        </w:rPr>
        <w:t>Close the reference-genome accession gap — freeze the full 5–10 genome curated FMDV set.</w:t>
      </w:r>
    </w:p>
    <w:p>
      <w:pPr>
        <w:spacing w:after="160"/>
        <w:ind w:left="432"/>
      </w:pPr>
      <w:r>
        <w:rPr>
          <w:i/>
          <w:color w:val="55655C"/>
          <w:sz w:val="18"/>
        </w:rPr>
        <w:t>Only AY593823 is currently frozen; Sprint 0 called for the broader set and the reproducibility audit flagged this specifically.</w:t>
      </w:r>
    </w:p>
    <w:p/>
    <w:p>
      <w:r>
        <w:rPr>
          <w:color w:val="55655C"/>
          <w:sz w:val="17"/>
        </w:rPr>
        <w:t xml:space="preserve">Compiled from the project's own specification documents: </w:t>
      </w:r>
      <w:r>
        <w:rPr>
          <w:rFonts w:ascii="Consolas" w:hAnsi="Consolas"/>
          <w:color w:val="55655C"/>
          <w:sz w:val="16"/>
        </w:rPr>
        <w:t>G4_WATCH_Build_Architecture.md, G4_WATCH_Sprint_Plan.md, G4_WATCH_Concept_Paper_v2.md, pyproject.toml, g4watch/, scripts/python/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324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63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63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63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