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187D6" w14:textId="77777777" w:rsidR="00D519C9" w:rsidRPr="007F19E9" w:rsidRDefault="00560644">
      <w:pPr>
        <w:spacing w:after="80"/>
        <w:jc w:val="center"/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  <w:b/>
          <w:bCs/>
          <w:sz w:val="34"/>
          <w:szCs w:val="34"/>
        </w:rPr>
        <w:t>Genomic Indices for Epidemiological Integration</w:t>
      </w:r>
    </w:p>
    <w:p w14:paraId="3564EB1E" w14:textId="77777777" w:rsidR="00D519C9" w:rsidRPr="007F19E9" w:rsidRDefault="00560644">
      <w:pPr>
        <w:spacing w:after="120"/>
        <w:jc w:val="center"/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  <w:i/>
          <w:iCs/>
          <w:sz w:val="26"/>
          <w:szCs w:val="26"/>
        </w:rPr>
        <w:t>Comprehensive Definitions, Biological Interpretations &amp; Use Cases</w:t>
      </w:r>
    </w:p>
    <w:p w14:paraId="7B9CB796" w14:textId="77777777" w:rsidR="00D519C9" w:rsidRPr="007F19E9" w:rsidRDefault="00560644">
      <w:pPr>
        <w:pStyle w:val="Heading1"/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t>Executive Summary</w:t>
      </w:r>
    </w:p>
    <w:p w14:paraId="463BDF97" w14:textId="1E392E47" w:rsidR="00D519C9" w:rsidRPr="007F19E9" w:rsidRDefault="00560644">
      <w:pPr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t xml:space="preserve">The Genomic Virulence Index (GVI) </w:t>
      </w:r>
      <w:r w:rsidRPr="007F19E9">
        <w:rPr>
          <w:rFonts w:ascii="Times New Roman" w:hAnsi="Times New Roman" w:cs="Times New Roman"/>
        </w:rPr>
        <w:t>framework integrates eight quantitative genomic parameters into epidemiological transmission models. Each parameter measures a distinct aspect of pathogen biology: evolutionary dynamics (μ), transmissibility (Re), population genetics (π), mutation accumulation (MB), adaptive evolution (</w:t>
      </w:r>
      <w:proofErr w:type="spellStart"/>
      <w:r w:rsidRPr="007F19E9">
        <w:rPr>
          <w:rFonts w:ascii="Times New Roman" w:hAnsi="Times New Roman" w:cs="Times New Roman"/>
        </w:rPr>
        <w:t>dN</w:t>
      </w:r>
      <w:proofErr w:type="spellEnd"/>
      <w:r w:rsidRPr="007F19E9">
        <w:rPr>
          <w:rFonts w:ascii="Times New Roman" w:hAnsi="Times New Roman" w:cs="Times New Roman"/>
        </w:rPr>
        <w:t>/</w:t>
      </w:r>
      <w:proofErr w:type="spellStart"/>
      <w:r w:rsidRPr="007F19E9">
        <w:rPr>
          <w:rFonts w:ascii="Times New Roman" w:hAnsi="Times New Roman" w:cs="Times New Roman"/>
        </w:rPr>
        <w:t>dS</w:t>
      </w:r>
      <w:proofErr w:type="spellEnd"/>
      <w:r w:rsidRPr="007F19E9">
        <w:rPr>
          <w:rFonts w:ascii="Times New Roman" w:hAnsi="Times New Roman" w:cs="Times New Roman"/>
        </w:rPr>
        <w:t>), genetic divergence (GD), recombination potential (RI), and host adaptation (CAI/GC). Together, they compose a weighted index that dynamically adjusts the transmission rate (β) based on real-time sequencing data.</w:t>
      </w:r>
    </w:p>
    <w:p w14:paraId="01FD857E" w14:textId="77777777" w:rsidR="00D519C9" w:rsidRPr="007F19E9" w:rsidRDefault="00560644">
      <w:pPr>
        <w:pStyle w:val="Heading1"/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t>Index 1: Evolutionary Rate (μ)</w:t>
      </w:r>
    </w:p>
    <w:p w14:paraId="75F6D9E2" w14:textId="77777777" w:rsidR="00D519C9" w:rsidRPr="007F19E9" w:rsidRDefault="00560644">
      <w:pPr>
        <w:pStyle w:val="Heading2"/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t>1.1 Definition</w:t>
      </w:r>
    </w:p>
    <w:p w14:paraId="1A11AC44" w14:textId="77777777" w:rsidR="00D519C9" w:rsidRPr="007F19E9" w:rsidRDefault="00560644">
      <w:pPr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  <w:b/>
          <w:bCs/>
        </w:rPr>
        <w:t xml:space="preserve">Formal Definition: </w:t>
      </w:r>
      <w:r w:rsidRPr="007F19E9">
        <w:rPr>
          <w:rFonts w:ascii="Times New Roman" w:hAnsi="Times New Roman" w:cs="Times New Roman"/>
        </w:rPr>
        <w:t>μ is the average number of nucleotide substitutions (point mutations) that accumulate at a single genomic site per unit time, typically expressed as substitutions per site per year (sub/site/yr).</w:t>
      </w:r>
    </w:p>
    <w:p w14:paraId="330A6C2B" w14:textId="77777777" w:rsidR="00D519C9" w:rsidRPr="007F19E9" w:rsidRDefault="00560644">
      <w:pPr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t>Mathematically: μ = (total substitutions observed) / (number of sequenced sites × evolutionary time interval in years)</w:t>
      </w:r>
    </w:p>
    <w:p w14:paraId="31E481B1" w14:textId="77777777" w:rsidR="00D519C9" w:rsidRPr="007F19E9" w:rsidRDefault="00560644">
      <w:pPr>
        <w:pStyle w:val="Heading2"/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t>1.2 Biological Interpretation</w:t>
      </w:r>
    </w:p>
    <w:p w14:paraId="26503580" w14:textId="77777777" w:rsidR="00D519C9" w:rsidRPr="007F19E9" w:rsidRDefault="00560644">
      <w:pPr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  <w:b/>
          <w:bCs/>
        </w:rPr>
        <w:t xml:space="preserve">Intrinsic Replication Fidelity: </w:t>
      </w:r>
      <w:r w:rsidRPr="007F19E9">
        <w:rPr>
          <w:rFonts w:ascii="Times New Roman" w:hAnsi="Times New Roman" w:cs="Times New Roman"/>
        </w:rPr>
        <w:t>μ reflects the RNA/DNA polymerase error rate and proofreading efficiency. RNA viruses (with no 3'→5' exonuclease activity) typically evolve 1,000× faster than DNA viruses.</w:t>
      </w:r>
    </w:p>
    <w:p w14:paraId="6E212CF0" w14:textId="77777777" w:rsidR="00D519C9" w:rsidRPr="007F19E9" w:rsidRDefault="00560644">
      <w:pPr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t>Population Dynamics Signature: High μ indicates rapid viral turnover, extensive intra-host evolution, and escape from immune pressure. Low μ suggests slower mutation accumulation, effective proofreading, or transmission bottlenecks.</w:t>
      </w:r>
    </w:p>
    <w:p w14:paraId="09C5F14C" w14:textId="77777777" w:rsidR="00D519C9" w:rsidRPr="007F19E9" w:rsidRDefault="00560644">
      <w:pPr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t>Immune Evasion Potential: Pathogens with μ &gt; 10⁻³ sub/site/yr can outpace adaptive immunity (6–</w:t>
      </w:r>
      <w:proofErr w:type="gramStart"/>
      <w:r w:rsidRPr="007F19E9">
        <w:rPr>
          <w:rFonts w:ascii="Times New Roman" w:hAnsi="Times New Roman" w:cs="Times New Roman"/>
        </w:rPr>
        <w:t>12 month</w:t>
      </w:r>
      <w:proofErr w:type="gramEnd"/>
      <w:r w:rsidRPr="007F19E9">
        <w:rPr>
          <w:rFonts w:ascii="Times New Roman" w:hAnsi="Times New Roman" w:cs="Times New Roman"/>
        </w:rPr>
        <w:t xml:space="preserve"> cycle); those with μ &lt; 10⁻⁴ require multi-year or lifelong immunity to achieve protection.</w:t>
      </w:r>
    </w:p>
    <w:p w14:paraId="09C698B3" w14:textId="77777777" w:rsidR="00D519C9" w:rsidRPr="007F19E9" w:rsidRDefault="00560644">
      <w:pPr>
        <w:pStyle w:val="Heading2"/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t>1.3 Epidemiological Use Cases</w:t>
      </w:r>
    </w:p>
    <w:tbl>
      <w:tblPr>
        <w:tblW w:w="91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7"/>
        <w:gridCol w:w="3251"/>
        <w:gridCol w:w="3586"/>
      </w:tblGrid>
      <w:tr w:rsidR="00361615" w:rsidRPr="007F19E9" w14:paraId="6AFE4B97" w14:textId="77777777" w:rsidTr="00361615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CC553" w14:textId="77777777" w:rsidR="00361615" w:rsidRPr="007F19E9" w:rsidRDefault="00361615" w:rsidP="00361615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  <w:b/>
                <w:bCs/>
                <w:color w:val="FFFFFF"/>
              </w:rPr>
              <w:t>Use Case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AC0C5" w14:textId="77777777" w:rsidR="00361615" w:rsidRPr="007F19E9" w:rsidRDefault="00361615" w:rsidP="00361615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  <w:b/>
                <w:bCs/>
                <w:color w:val="FFFFFF"/>
              </w:rPr>
              <w:t>Application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20137" w14:textId="64E80B55" w:rsidR="00361615" w:rsidRPr="007F19E9" w:rsidRDefault="00361615" w:rsidP="00361615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  <w:b/>
                <w:bCs/>
                <w:color w:val="FFFFFF"/>
              </w:rPr>
              <w:t>Outcome</w:t>
            </w:r>
          </w:p>
        </w:tc>
      </w:tr>
      <w:tr w:rsidR="00361615" w:rsidRPr="007F19E9" w14:paraId="0CC0850D" w14:textId="77777777" w:rsidTr="00361615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6D6EB" w14:textId="77777777" w:rsidR="00361615" w:rsidRPr="007F19E9" w:rsidRDefault="00361615" w:rsidP="00361615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Vaccine escape timing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FC0F9" w14:textId="77777777" w:rsidR="00361615" w:rsidRPr="007F19E9" w:rsidRDefault="00361615" w:rsidP="00361615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μ &gt; 8×10⁻⁴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AF4DC" w14:textId="77777777" w:rsidR="00361615" w:rsidRPr="007F19E9" w:rsidRDefault="00361615" w:rsidP="00361615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Cost-benefit of rollout schedule</w:t>
            </w:r>
          </w:p>
        </w:tc>
      </w:tr>
      <w:tr w:rsidR="00361615" w:rsidRPr="007F19E9" w14:paraId="262DD774" w14:textId="77777777" w:rsidTr="00361615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CF134" w14:textId="77777777" w:rsidR="00361615" w:rsidRPr="007F19E9" w:rsidRDefault="00361615" w:rsidP="00361615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Quarantine duration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E3B8B" w14:textId="77777777" w:rsidR="00361615" w:rsidRPr="007F19E9" w:rsidRDefault="00361615" w:rsidP="00361615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μ × incubation × generation time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F33AA" w14:textId="77777777" w:rsidR="00361615" w:rsidRPr="007F19E9" w:rsidRDefault="00361615" w:rsidP="00361615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Risk of relapse infection</w:t>
            </w:r>
          </w:p>
        </w:tc>
      </w:tr>
      <w:tr w:rsidR="00361615" w:rsidRPr="007F19E9" w14:paraId="1FF3FF1D" w14:textId="77777777" w:rsidTr="00361615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F36AF" w14:textId="77777777" w:rsidR="00361615" w:rsidRPr="007F19E9" w:rsidRDefault="00361615" w:rsidP="00361615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Treatment response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1C499" w14:textId="77777777" w:rsidR="00361615" w:rsidRPr="007F19E9" w:rsidRDefault="00361615" w:rsidP="00361615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High μ + high viral load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FE013" w14:textId="77777777" w:rsidR="00361615" w:rsidRPr="007F19E9" w:rsidRDefault="00361615" w:rsidP="00361615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Resistance prevalence in population</w:t>
            </w:r>
          </w:p>
        </w:tc>
      </w:tr>
      <w:tr w:rsidR="00361615" w:rsidRPr="007F19E9" w14:paraId="28488316" w14:textId="77777777" w:rsidTr="00361615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EB693" w14:textId="77777777" w:rsidR="00361615" w:rsidRPr="007F19E9" w:rsidRDefault="00361615" w:rsidP="00361615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Outbreak source tracking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F2AB2" w14:textId="77777777" w:rsidR="00361615" w:rsidRPr="007F19E9" w:rsidRDefault="00361615" w:rsidP="00361615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Mutation distance + time = μ estimate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5F443" w14:textId="77777777" w:rsidR="00361615" w:rsidRPr="007F19E9" w:rsidRDefault="00361615" w:rsidP="00361615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Intervention focus (border vs. community)</w:t>
            </w:r>
          </w:p>
        </w:tc>
      </w:tr>
    </w:tbl>
    <w:p w14:paraId="6B433BE7" w14:textId="77777777" w:rsidR="00361615" w:rsidRDefault="00361615">
      <w:pPr>
        <w:pStyle w:val="Heading2"/>
        <w:rPr>
          <w:rFonts w:ascii="Times New Roman" w:hAnsi="Times New Roman" w:cs="Times New Roman"/>
        </w:rPr>
      </w:pPr>
    </w:p>
    <w:p w14:paraId="686CFB26" w14:textId="77777777" w:rsidR="00361615" w:rsidRDefault="00361615">
      <w:pPr>
        <w:pStyle w:val="Heading2"/>
        <w:rPr>
          <w:rFonts w:ascii="Times New Roman" w:hAnsi="Times New Roman" w:cs="Times New Roman"/>
        </w:rPr>
      </w:pPr>
    </w:p>
    <w:p w14:paraId="6A193577" w14:textId="77777777" w:rsidR="00361615" w:rsidRDefault="00361615">
      <w:pPr>
        <w:pStyle w:val="Heading2"/>
        <w:rPr>
          <w:rFonts w:ascii="Times New Roman" w:hAnsi="Times New Roman" w:cs="Times New Roman"/>
        </w:rPr>
      </w:pPr>
    </w:p>
    <w:p w14:paraId="00D9A72E" w14:textId="37EBBF5D" w:rsidR="00D519C9" w:rsidRPr="007F19E9" w:rsidRDefault="00560644">
      <w:pPr>
        <w:pStyle w:val="Heading2"/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lastRenderedPageBreak/>
        <w:t>1.4 Reference Values &amp; Interpretation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"/>
        <w:gridCol w:w="2164"/>
        <w:gridCol w:w="1634"/>
        <w:gridCol w:w="1634"/>
        <w:gridCol w:w="2920"/>
      </w:tblGrid>
      <w:tr w:rsidR="00D519C9" w:rsidRPr="007F19E9" w14:paraId="075B8B9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F4E6D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  <w:b/>
                <w:bCs/>
                <w:color w:val="FFFFFF"/>
              </w:rPr>
              <w:t>μ Range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086B6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  <w:b/>
                <w:bCs/>
                <w:color w:val="FFFFFF"/>
              </w:rPr>
              <w:t>Pathogen Example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CD4A0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  <w:b/>
                <w:bCs/>
                <w:color w:val="FFFFFF"/>
              </w:rPr>
              <w:t>Polymerase Type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5D62A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  <w:b/>
                <w:bCs/>
                <w:color w:val="FFFFFF"/>
              </w:rPr>
              <w:t>Immune Escape Rate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5F382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  <w:b/>
                <w:bCs/>
                <w:color w:val="FFFFFF"/>
              </w:rPr>
              <w:t>Clinical Implication</w:t>
            </w:r>
          </w:p>
        </w:tc>
      </w:tr>
      <w:tr w:rsidR="00D519C9" w:rsidRPr="007F19E9" w14:paraId="2D92F41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6A64C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&lt;10⁻⁴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6A347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Measles, Polio (DNA-like)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2A353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High-fidelity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07A65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Years–decades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46D54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Lifelong immunity; vaccine durable</w:t>
            </w:r>
          </w:p>
        </w:tc>
      </w:tr>
      <w:tr w:rsidR="00D519C9" w:rsidRPr="007F19E9" w14:paraId="6F57067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A5E75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10⁻⁴ – 10⁻³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69B61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Dengue, WNV, Zika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388DD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RNA (moderate)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68212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1–5 years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8A2B7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Serotype circulation; periodic outbreaks</w:t>
            </w:r>
          </w:p>
        </w:tc>
      </w:tr>
      <w:tr w:rsidR="00D519C9" w:rsidRPr="007F19E9" w14:paraId="2328029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00813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10⁻³ – 10⁻²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2C30E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Influenza, SARS-CoV-2, HIV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1B732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RNA (</w:t>
            </w:r>
            <w:proofErr w:type="gramStart"/>
            <w:r w:rsidRPr="007F19E9">
              <w:rPr>
                <w:rFonts w:ascii="Times New Roman" w:hAnsi="Times New Roman" w:cs="Times New Roman"/>
              </w:rPr>
              <w:t>low-fidelity</w:t>
            </w:r>
            <w:proofErr w:type="gramEnd"/>
            <w:r w:rsidRPr="007F19E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DBB19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6–18 months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FA84B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Annual/seasonal variants; escape mutations</w:t>
            </w:r>
          </w:p>
        </w:tc>
      </w:tr>
      <w:tr w:rsidR="00D519C9" w:rsidRPr="007F19E9" w14:paraId="2FA0B6B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911CF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&gt;10⁻²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D04B1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Vesicular Stomatitis Virus (VSV)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9F9FB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proofErr w:type="spellStart"/>
            <w:r w:rsidRPr="007F19E9">
              <w:rPr>
                <w:rFonts w:ascii="Times New Roman" w:hAnsi="Times New Roman" w:cs="Times New Roman"/>
              </w:rPr>
              <w:t>Ultra high</w:t>
            </w:r>
            <w:proofErr w:type="spellEnd"/>
            <w:r w:rsidRPr="007F19E9">
              <w:rPr>
                <w:rFonts w:ascii="Times New Roman" w:hAnsi="Times New Roman" w:cs="Times New Roman"/>
              </w:rPr>
              <w:t xml:space="preserve"> error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7D971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Days–weeks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D93ED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proofErr w:type="spellStart"/>
            <w:r w:rsidRPr="007F19E9">
              <w:rPr>
                <w:rFonts w:ascii="Times New Roman" w:hAnsi="Times New Roman" w:cs="Times New Roman"/>
              </w:rPr>
              <w:t>Quasispecies</w:t>
            </w:r>
            <w:proofErr w:type="spellEnd"/>
            <w:r w:rsidRPr="007F19E9">
              <w:rPr>
                <w:rFonts w:ascii="Times New Roman" w:hAnsi="Times New Roman" w:cs="Times New Roman"/>
              </w:rPr>
              <w:t>; rapid resistance; hard to target</w:t>
            </w:r>
          </w:p>
        </w:tc>
      </w:tr>
    </w:tbl>
    <w:p w14:paraId="438DD56E" w14:textId="77777777" w:rsidR="00D519C9" w:rsidRPr="007F19E9" w:rsidRDefault="00560644">
      <w:pPr>
        <w:pStyle w:val="Heading2"/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t>1.5 Integration into β (Transmission Rate)</w:t>
      </w:r>
    </w:p>
    <w:p w14:paraId="3341C616" w14:textId="77777777" w:rsidR="00D519C9" w:rsidRPr="007F19E9" w:rsidRDefault="00560644">
      <w:pPr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t>High μ → faster immune escape → effective Re increases over time → upward pressure on β</w:t>
      </w:r>
    </w:p>
    <w:p w14:paraId="7D590DC2" w14:textId="77777777" w:rsidR="00D519C9" w:rsidRPr="007F19E9" w:rsidRDefault="00560644">
      <w:pPr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t>Example: If μ = 8.5×10⁻⁴ and it doubles in 3 years, vaccine-induced immunity wanes faster. Adjustment: β_adjusted = β₀ × (1 + μ/</w:t>
      </w:r>
      <w:proofErr w:type="spellStart"/>
      <w:r w:rsidRPr="007F19E9">
        <w:rPr>
          <w:rFonts w:ascii="Times New Roman" w:hAnsi="Times New Roman" w:cs="Times New Roman"/>
        </w:rPr>
        <w:t>μ_ref</w:t>
      </w:r>
      <w:proofErr w:type="spellEnd"/>
      <w:r w:rsidRPr="007F19E9">
        <w:rPr>
          <w:rFonts w:ascii="Times New Roman" w:hAnsi="Times New Roman" w:cs="Times New Roman"/>
        </w:rPr>
        <w:t xml:space="preserve"> × </w:t>
      </w:r>
      <w:proofErr w:type="spellStart"/>
      <w:r w:rsidRPr="007F19E9">
        <w:rPr>
          <w:rFonts w:ascii="Times New Roman" w:hAnsi="Times New Roman" w:cs="Times New Roman"/>
        </w:rPr>
        <w:t>weight_μ</w:t>
      </w:r>
      <w:proofErr w:type="spellEnd"/>
      <w:r w:rsidRPr="007F19E9">
        <w:rPr>
          <w:rFonts w:ascii="Times New Roman" w:hAnsi="Times New Roman" w:cs="Times New Roman"/>
        </w:rPr>
        <w:t>)</w:t>
      </w:r>
    </w:p>
    <w:p w14:paraId="5C71CE86" w14:textId="77777777" w:rsidR="00D519C9" w:rsidRPr="007F19E9" w:rsidRDefault="00560644">
      <w:pPr>
        <w:pStyle w:val="Heading1"/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t>Index 2: Transmission Fitness / Net Reproduction Number (Re)</w:t>
      </w:r>
    </w:p>
    <w:p w14:paraId="150CDF0C" w14:textId="77777777" w:rsidR="00D519C9" w:rsidRPr="007F19E9" w:rsidRDefault="00560644">
      <w:pPr>
        <w:pStyle w:val="Heading2"/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t>2.1 Definition</w:t>
      </w:r>
    </w:p>
    <w:p w14:paraId="29D58635" w14:textId="77777777" w:rsidR="00D519C9" w:rsidRPr="007F19E9" w:rsidRDefault="00560644">
      <w:pPr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  <w:b/>
          <w:bCs/>
        </w:rPr>
        <w:t xml:space="preserve">Formal Definition: </w:t>
      </w:r>
      <w:r w:rsidRPr="007F19E9">
        <w:rPr>
          <w:rFonts w:ascii="Times New Roman" w:hAnsi="Times New Roman" w:cs="Times New Roman"/>
        </w:rPr>
        <w:t>Re is the effective reproduction number estimated from phylodynamic branching processes. It represents the average number of secondary infections directly caused by a single infected individual in a partially immune population at a specific point in time.</w:t>
      </w:r>
    </w:p>
    <w:p w14:paraId="7F8A7797" w14:textId="77777777" w:rsidR="00D519C9" w:rsidRPr="007F19E9" w:rsidRDefault="00560644">
      <w:pPr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t xml:space="preserve">Distinction from R₀: R₀ (basic reproduction) = intrinsic transmissibility in fully susceptible population. Re (effective) = R₀ × (susceptible fraction) × (intervention effectiveness). </w:t>
      </w:r>
      <w:proofErr w:type="spellStart"/>
      <w:r w:rsidRPr="007F19E9">
        <w:rPr>
          <w:rFonts w:ascii="Times New Roman" w:hAnsi="Times New Roman" w:cs="Times New Roman"/>
        </w:rPr>
        <w:t>Phylodynamically</w:t>
      </w:r>
      <w:proofErr w:type="spellEnd"/>
      <w:r w:rsidRPr="007F19E9">
        <w:rPr>
          <w:rFonts w:ascii="Times New Roman" w:hAnsi="Times New Roman" w:cs="Times New Roman"/>
        </w:rPr>
        <w:t xml:space="preserve">, </w:t>
      </w:r>
      <w:proofErr w:type="gramStart"/>
      <w:r w:rsidRPr="007F19E9">
        <w:rPr>
          <w:rFonts w:ascii="Times New Roman" w:hAnsi="Times New Roman" w:cs="Times New Roman"/>
        </w:rPr>
        <w:t>Re</w:t>
      </w:r>
      <w:proofErr w:type="gramEnd"/>
      <w:r w:rsidRPr="007F19E9">
        <w:rPr>
          <w:rFonts w:ascii="Times New Roman" w:hAnsi="Times New Roman" w:cs="Times New Roman"/>
        </w:rPr>
        <w:t xml:space="preserve"> is inferred from the rate of lineage splitting in the transmission tree.</w:t>
      </w:r>
    </w:p>
    <w:p w14:paraId="7E1AE1F9" w14:textId="77777777" w:rsidR="00D519C9" w:rsidRPr="007F19E9" w:rsidRDefault="00560644">
      <w:pPr>
        <w:pStyle w:val="Heading2"/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t>2.2 Biological Interpretation</w:t>
      </w:r>
    </w:p>
    <w:p w14:paraId="685C130D" w14:textId="77777777" w:rsidR="00D519C9" w:rsidRPr="007F19E9" w:rsidRDefault="00560644">
      <w:pPr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  <w:b/>
          <w:bCs/>
        </w:rPr>
        <w:t xml:space="preserve">Transmissibility Phenotype: </w:t>
      </w:r>
      <w:r w:rsidRPr="007F19E9">
        <w:rPr>
          <w:rFonts w:ascii="Times New Roman" w:hAnsi="Times New Roman" w:cs="Times New Roman"/>
        </w:rPr>
        <w:t>Re encodes the intrinsic transmissibility of a viral variant—how efficiently it spreads from person to person. High-transmissibility variants (e.g., SARS-CoV-2 Delta, Omicron) show Re = 1.5–2.0; low-transmissibility variants show Re = 0.8–1.0.</w:t>
      </w:r>
    </w:p>
    <w:p w14:paraId="2F53D4D5" w14:textId="77777777" w:rsidR="00D519C9" w:rsidRPr="007F19E9" w:rsidRDefault="00560644">
      <w:pPr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t>Mechanistic Drivers: Re is influenced by viral load kinetics (peak viral shedding), respiratory shedding rate (aerosol particle size/quantity), receptor binding affinity (spike protein mutations), and host factors (age, vaccination status, co-infections).</w:t>
      </w:r>
    </w:p>
    <w:p w14:paraId="3E18B390" w14:textId="77777777" w:rsidR="00D519C9" w:rsidRPr="007F19E9" w:rsidRDefault="00560644">
      <w:pPr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t xml:space="preserve">Population-Level Dynamics: When </w:t>
      </w:r>
      <w:proofErr w:type="gramStart"/>
      <w:r w:rsidRPr="007F19E9">
        <w:rPr>
          <w:rFonts w:ascii="Times New Roman" w:hAnsi="Times New Roman" w:cs="Times New Roman"/>
        </w:rPr>
        <w:t>Re</w:t>
      </w:r>
      <w:proofErr w:type="gramEnd"/>
      <w:r w:rsidRPr="007F19E9">
        <w:rPr>
          <w:rFonts w:ascii="Times New Roman" w:hAnsi="Times New Roman" w:cs="Times New Roman"/>
        </w:rPr>
        <w:t xml:space="preserve"> &gt; 1, case incidence grows exponentially; when Re = 1, steady-state endemic circulation; when </w:t>
      </w:r>
      <w:proofErr w:type="gramStart"/>
      <w:r w:rsidRPr="007F19E9">
        <w:rPr>
          <w:rFonts w:ascii="Times New Roman" w:hAnsi="Times New Roman" w:cs="Times New Roman"/>
        </w:rPr>
        <w:t>Re</w:t>
      </w:r>
      <w:proofErr w:type="gramEnd"/>
      <w:r w:rsidRPr="007F19E9">
        <w:rPr>
          <w:rFonts w:ascii="Times New Roman" w:hAnsi="Times New Roman" w:cs="Times New Roman"/>
        </w:rPr>
        <w:t xml:space="preserve"> &lt; 1, outbreak extinction. The threshold for herd immunity = 1 − 1/Re.</w:t>
      </w:r>
    </w:p>
    <w:p w14:paraId="54AD8064" w14:textId="77777777" w:rsidR="00D519C9" w:rsidRPr="007F19E9" w:rsidRDefault="00560644">
      <w:pPr>
        <w:pStyle w:val="Heading2"/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t>2.3 Epidemiological Use Cases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2"/>
        <w:gridCol w:w="2790"/>
        <w:gridCol w:w="3272"/>
        <w:gridCol w:w="1096"/>
      </w:tblGrid>
      <w:tr w:rsidR="00D519C9" w:rsidRPr="007F19E9" w14:paraId="1767421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35771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  <w:b/>
                <w:bCs/>
                <w:color w:val="FFFFFF"/>
              </w:rPr>
              <w:t>Use Case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E5F19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  <w:b/>
                <w:bCs/>
                <w:color w:val="FFFFFF"/>
              </w:rPr>
              <w:t>Application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2FBC7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  <w:b/>
                <w:bCs/>
                <w:color w:val="FFFFFF"/>
              </w:rPr>
              <w:t>Decision Point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1D5E3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  <w:b/>
                <w:bCs/>
                <w:color w:val="FFFFFF"/>
              </w:rPr>
              <w:t>Outcome</w:t>
            </w:r>
          </w:p>
        </w:tc>
      </w:tr>
      <w:tr w:rsidR="00D519C9" w:rsidRPr="007F19E9" w14:paraId="1C1C3FC6" w14:textId="77777777">
        <w:trPr>
          <w:gridAfter w:val="1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EC038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Variant risk classification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12513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Re &gt; 1.3 × baseline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7FFC7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Genomic surveillance priority</w:t>
            </w:r>
          </w:p>
        </w:tc>
      </w:tr>
      <w:tr w:rsidR="00D519C9" w:rsidRPr="007F19E9" w14:paraId="4DBB37D0" w14:textId="77777777">
        <w:trPr>
          <w:gridAfter w:val="1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7578A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lastRenderedPageBreak/>
              <w:t>Healthcare surge planning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5FCFC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Re &amp; doubling time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71DB3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ICU capacity &amp; resource pre-positioning</w:t>
            </w:r>
          </w:p>
        </w:tc>
      </w:tr>
      <w:tr w:rsidR="00D519C9" w:rsidRPr="007F19E9" w14:paraId="0FED7A8A" w14:textId="77777777">
        <w:trPr>
          <w:gridAfter w:val="1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913F6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Herd immunity threshold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F7F56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1 − 1/Re = immunity needed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4DE35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Campaign resource allocation</w:t>
            </w:r>
          </w:p>
        </w:tc>
      </w:tr>
      <w:tr w:rsidR="00D519C9" w:rsidRPr="007F19E9" w14:paraId="5BD84BC9" w14:textId="77777777">
        <w:trPr>
          <w:gridAfter w:val="1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2A719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Intervention efficacy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12EF1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proofErr w:type="spellStart"/>
            <w:r w:rsidRPr="007F19E9">
              <w:rPr>
                <w:rFonts w:ascii="Times New Roman" w:hAnsi="Times New Roman" w:cs="Times New Roman"/>
              </w:rPr>
              <w:t>Re_before</w:t>
            </w:r>
            <w:proofErr w:type="spellEnd"/>
            <w:r w:rsidRPr="007F19E9">
              <w:rPr>
                <w:rFonts w:ascii="Times New Roman" w:hAnsi="Times New Roman" w:cs="Times New Roman"/>
              </w:rPr>
              <w:t xml:space="preserve"> vs. </w:t>
            </w:r>
            <w:proofErr w:type="spellStart"/>
            <w:r w:rsidRPr="007F19E9">
              <w:rPr>
                <w:rFonts w:ascii="Times New Roman" w:hAnsi="Times New Roman" w:cs="Times New Roman"/>
              </w:rPr>
              <w:t>Re_after</w:t>
            </w:r>
            <w:proofErr w:type="spellEnd"/>
            <w:r w:rsidRPr="007F19E9">
              <w:rPr>
                <w:rFonts w:ascii="Times New Roman" w:hAnsi="Times New Roman" w:cs="Times New Roman"/>
              </w:rPr>
              <w:t xml:space="preserve"> NPI/vaccine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2AA9F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 xml:space="preserve">Effectiveness = 1 − </w:t>
            </w:r>
            <w:proofErr w:type="spellStart"/>
            <w:r w:rsidRPr="007F19E9">
              <w:rPr>
                <w:rFonts w:ascii="Times New Roman" w:hAnsi="Times New Roman" w:cs="Times New Roman"/>
              </w:rPr>
              <w:t>Re_after</w:t>
            </w:r>
            <w:proofErr w:type="spellEnd"/>
            <w:r w:rsidRPr="007F19E9">
              <w:rPr>
                <w:rFonts w:ascii="Times New Roman" w:hAnsi="Times New Roman" w:cs="Times New Roman"/>
              </w:rPr>
              <w:t>/</w:t>
            </w:r>
            <w:proofErr w:type="spellStart"/>
            <w:r w:rsidRPr="007F19E9">
              <w:rPr>
                <w:rFonts w:ascii="Times New Roman" w:hAnsi="Times New Roman" w:cs="Times New Roman"/>
              </w:rPr>
              <w:t>Re_before</w:t>
            </w:r>
            <w:proofErr w:type="spellEnd"/>
          </w:p>
        </w:tc>
      </w:tr>
    </w:tbl>
    <w:p w14:paraId="13E03670" w14:textId="77777777" w:rsidR="00D519C9" w:rsidRPr="007F19E9" w:rsidRDefault="00560644">
      <w:pPr>
        <w:pStyle w:val="Heading2"/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t>2.4 Reference Values &amp; Interpretation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5"/>
        <w:gridCol w:w="1394"/>
        <w:gridCol w:w="1617"/>
        <w:gridCol w:w="1416"/>
        <w:gridCol w:w="1806"/>
        <w:gridCol w:w="2222"/>
      </w:tblGrid>
      <w:tr w:rsidR="00D519C9" w:rsidRPr="007F19E9" w14:paraId="46210D0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5270E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  <w:b/>
                <w:bCs/>
                <w:color w:val="FFFFFF"/>
              </w:rPr>
              <w:t>Re Value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7F8B0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  <w:b/>
                <w:bCs/>
                <w:color w:val="FFFFFF"/>
              </w:rPr>
              <w:t>Category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C3F0C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  <w:b/>
                <w:bCs/>
                <w:color w:val="FFFFFF"/>
              </w:rPr>
              <w:t>Transmission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B714C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  <w:b/>
                <w:bCs/>
                <w:color w:val="FFFFFF"/>
              </w:rPr>
              <w:t>Duration (days)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64474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  <w:b/>
                <w:bCs/>
                <w:color w:val="FFFFFF"/>
              </w:rPr>
              <w:t>Cases/100k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D054B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  <w:b/>
                <w:bCs/>
                <w:color w:val="FFFFFF"/>
              </w:rPr>
              <w:t>Control Measure</w:t>
            </w:r>
          </w:p>
        </w:tc>
      </w:tr>
      <w:tr w:rsidR="00D519C9" w:rsidRPr="007F19E9" w14:paraId="6DB3C0B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D85E7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&lt;0.8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6F03F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Controlled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B6825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Declining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72352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→ Extinction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2A608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Decreasing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83EF2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Maintenance; surveillance</w:t>
            </w:r>
          </w:p>
        </w:tc>
      </w:tr>
      <w:tr w:rsidR="00D519C9" w:rsidRPr="007F19E9" w14:paraId="635B45C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43AD1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0.8–1.2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128C8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Endemic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67E16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Stable circulation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FEE87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→ Stable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E9765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Constant low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2DC53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Routine vaccination</w:t>
            </w:r>
          </w:p>
        </w:tc>
      </w:tr>
      <w:tr w:rsidR="00D519C9" w:rsidRPr="007F19E9" w14:paraId="272CE43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1A7CF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1.2–1.5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F7DF9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Moderate growth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0A821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Expanding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EB853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Days to weeks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24D27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Exponential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69487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Targeted NPIs; enhanced surveillance</w:t>
            </w:r>
          </w:p>
        </w:tc>
      </w:tr>
      <w:tr w:rsidR="00D519C9" w:rsidRPr="007F19E9" w14:paraId="437CACC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B3466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1.5–2.0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5E58C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High growth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42A6A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Rapid expansion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C04CA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3–7 days doubling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0A2E2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Rapid exponential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5885B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Strong NPIs; mass vaccination push</w:t>
            </w:r>
          </w:p>
        </w:tc>
      </w:tr>
      <w:tr w:rsidR="00D519C9" w:rsidRPr="007F19E9" w14:paraId="6C973B2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D1E19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&gt;2.0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85A5C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Pandemic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F3485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Explosive growth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E9586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2–3 days doubling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B3343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Healthcare overwhelmed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A554D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Full lockdown; emergency measures</w:t>
            </w:r>
          </w:p>
        </w:tc>
      </w:tr>
    </w:tbl>
    <w:p w14:paraId="00C4E1EC" w14:textId="77777777" w:rsidR="00D519C9" w:rsidRPr="007F19E9" w:rsidRDefault="00560644">
      <w:pPr>
        <w:pStyle w:val="Heading2"/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t>2.5 Integration into β</w:t>
      </w:r>
    </w:p>
    <w:p w14:paraId="1C1BC85E" w14:textId="77777777" w:rsidR="00D519C9" w:rsidRPr="007F19E9" w:rsidRDefault="00560644">
      <w:pPr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t>Direct mapping: β is proportional to Re. A 50% increase in Re signals a 50% increase in β coefficient. Example: Re shift from 1.0 to 1.5 = β factor of 1.5.</w:t>
      </w:r>
    </w:p>
    <w:p w14:paraId="70E28960" w14:textId="77777777" w:rsidR="00D519C9" w:rsidRPr="007F19E9" w:rsidRDefault="00560644">
      <w:pPr>
        <w:pStyle w:val="Heading1"/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t>Index 3: Genetic Diversity / Nucleotide Diversity (π)</w:t>
      </w:r>
    </w:p>
    <w:p w14:paraId="3DBD1B4D" w14:textId="77777777" w:rsidR="00D519C9" w:rsidRPr="007F19E9" w:rsidRDefault="00560644">
      <w:pPr>
        <w:pStyle w:val="Heading2"/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t>3.1 Definition</w:t>
      </w:r>
    </w:p>
    <w:p w14:paraId="1ACD3F1A" w14:textId="77777777" w:rsidR="00D519C9" w:rsidRPr="007F19E9" w:rsidRDefault="00560644">
      <w:pPr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  <w:b/>
          <w:bCs/>
        </w:rPr>
        <w:t xml:space="preserve">Formal Definition: </w:t>
      </w:r>
      <w:r w:rsidRPr="007F19E9">
        <w:rPr>
          <w:rFonts w:ascii="Times New Roman" w:hAnsi="Times New Roman" w:cs="Times New Roman"/>
        </w:rPr>
        <w:t>π (nucleotide diversity) is the average number of pairwise nucleotide differences per site between all sequences in a population, calculated as:</w:t>
      </w:r>
    </w:p>
    <w:p w14:paraId="4EFA9206" w14:textId="77777777" w:rsidR="00D519C9" w:rsidRPr="007F19E9" w:rsidRDefault="00560644">
      <w:pPr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t>π = (sum of all pairwise differences) / (number of pairwise comparisons × alignment length)</w:t>
      </w:r>
    </w:p>
    <w:p w14:paraId="7DC0D840" w14:textId="77777777" w:rsidR="00D519C9" w:rsidRPr="007F19E9" w:rsidRDefault="00560644">
      <w:pPr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t>Range: 0 ≤ π ≤ 0.25 (maximum diversity when each nucleotide equally frequent at random positions)</w:t>
      </w:r>
    </w:p>
    <w:p w14:paraId="6A351AEA" w14:textId="77777777" w:rsidR="00D519C9" w:rsidRPr="007F19E9" w:rsidRDefault="00560644">
      <w:pPr>
        <w:pStyle w:val="Heading2"/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t>3.2 Biological Interpretation</w:t>
      </w:r>
    </w:p>
    <w:p w14:paraId="12567307" w14:textId="77777777" w:rsidR="00D519C9" w:rsidRPr="007F19E9" w:rsidRDefault="00560644">
      <w:pPr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  <w:b/>
          <w:bCs/>
        </w:rPr>
        <w:t xml:space="preserve">Population Genetic Structure: </w:t>
      </w:r>
      <w:r w:rsidRPr="007F19E9">
        <w:rPr>
          <w:rFonts w:ascii="Times New Roman" w:hAnsi="Times New Roman" w:cs="Times New Roman"/>
        </w:rPr>
        <w:t>π measures within-population genetic heterogeneity. High π = diverse viral population with multiple co-circulating lineages. Low π = homogeneous population, recent bottleneck, or founder effect.</w:t>
      </w:r>
    </w:p>
    <w:p w14:paraId="19879C3A" w14:textId="77777777" w:rsidR="00D519C9" w:rsidRPr="007F19E9" w:rsidRDefault="00560644">
      <w:pPr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t>Mutation Accumulation vs. Purifying Selection: If π increases over time, the population is accumulating mutations (endemic circulation). If π remains low despite ongoing transmission, purifying selection is removing deleterious variants.</w:t>
      </w:r>
    </w:p>
    <w:p w14:paraId="028117E5" w14:textId="0101BB3A" w:rsidR="00D519C9" w:rsidRPr="007F19E9" w:rsidRDefault="00560644">
      <w:pPr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t>Evolutionary Potential: High π indicates more genetic variation on which natural selection can act</w:t>
      </w:r>
      <w:r w:rsidR="008C3AEB">
        <w:rPr>
          <w:rFonts w:ascii="Times New Roman" w:hAnsi="Times New Roman" w:cs="Times New Roman"/>
        </w:rPr>
        <w:t xml:space="preserve">, </w:t>
      </w:r>
      <w:r w:rsidRPr="007F19E9">
        <w:rPr>
          <w:rFonts w:ascii="Times New Roman" w:hAnsi="Times New Roman" w:cs="Times New Roman"/>
        </w:rPr>
        <w:t>higher probability of adaptive mutations (escape variants, virulence factors). Low π reduces adaptive capacity.</w:t>
      </w:r>
    </w:p>
    <w:p w14:paraId="2D7E4FDC" w14:textId="77777777" w:rsidR="00D519C9" w:rsidRPr="007F19E9" w:rsidRDefault="00560644">
      <w:pPr>
        <w:pStyle w:val="Heading2"/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lastRenderedPageBreak/>
        <w:t>3.3 Epidemiological Use Cases</w:t>
      </w:r>
    </w:p>
    <w:tbl>
      <w:tblPr>
        <w:tblW w:w="91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95"/>
        <w:gridCol w:w="2865"/>
        <w:gridCol w:w="3654"/>
      </w:tblGrid>
      <w:tr w:rsidR="008C3AEB" w:rsidRPr="007F19E9" w14:paraId="0311234F" w14:textId="77777777" w:rsidTr="008C3AE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A7015" w14:textId="77777777" w:rsidR="008C3AEB" w:rsidRPr="007F19E9" w:rsidRDefault="008C3AEB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  <w:b/>
                <w:bCs/>
                <w:color w:val="FFFFFF"/>
              </w:rPr>
              <w:t>Use Case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AB936" w14:textId="77777777" w:rsidR="008C3AEB" w:rsidRPr="007F19E9" w:rsidRDefault="008C3AEB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  <w:b/>
                <w:bCs/>
                <w:color w:val="FFFFFF"/>
              </w:rPr>
              <w:t>Application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00F75" w14:textId="77777777" w:rsidR="008C3AEB" w:rsidRPr="007F19E9" w:rsidRDefault="008C3AEB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  <w:b/>
                <w:bCs/>
                <w:color w:val="FFFFFF"/>
              </w:rPr>
              <w:t>Decision Point</w:t>
            </w:r>
          </w:p>
        </w:tc>
      </w:tr>
      <w:tr w:rsidR="008C3AEB" w:rsidRPr="007F19E9" w14:paraId="564EE28D" w14:textId="77777777" w:rsidTr="008C3AE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435A3" w14:textId="77777777" w:rsidR="008C3AEB" w:rsidRPr="007F19E9" w:rsidRDefault="008C3AEB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Outbreak source identification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A80F0" w14:textId="77777777" w:rsidR="008C3AEB" w:rsidRPr="007F19E9" w:rsidRDefault="008C3AEB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π increases = local amplification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1560C" w14:textId="77777777" w:rsidR="008C3AEB" w:rsidRPr="007F19E9" w:rsidRDefault="008C3AEB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Confirm endemic circulation vs. single source</w:t>
            </w:r>
          </w:p>
        </w:tc>
      </w:tr>
      <w:tr w:rsidR="008C3AEB" w:rsidRPr="007F19E9" w14:paraId="2A9A9F38" w14:textId="77777777" w:rsidTr="008C3AE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60D0C" w14:textId="77777777" w:rsidR="008C3AEB" w:rsidRPr="007F19E9" w:rsidRDefault="008C3AEB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Variant detection readiness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F4653" w14:textId="77777777" w:rsidR="008C3AEB" w:rsidRPr="007F19E9" w:rsidRDefault="008C3AEB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High π + high Re = high risk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9A422" w14:textId="77777777" w:rsidR="008C3AEB" w:rsidRPr="007F19E9" w:rsidRDefault="008C3AEB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Ramp up sequencing capacity</w:t>
            </w:r>
          </w:p>
        </w:tc>
      </w:tr>
      <w:tr w:rsidR="008C3AEB" w:rsidRPr="007F19E9" w14:paraId="30F290F3" w14:textId="77777777" w:rsidTr="008C3AE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AEC48" w14:textId="77777777" w:rsidR="008C3AEB" w:rsidRPr="007F19E9" w:rsidRDefault="008C3AEB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Treatment heterogeneity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73DD4" w14:textId="77777777" w:rsidR="008C3AEB" w:rsidRPr="007F19E9" w:rsidRDefault="008C3AEB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High π = diverse fitness landscape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BC649" w14:textId="77777777" w:rsidR="008C3AEB" w:rsidRPr="007F19E9" w:rsidRDefault="008C3AEB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Use combination therapy; rotate drugs</w:t>
            </w:r>
          </w:p>
        </w:tc>
      </w:tr>
      <w:tr w:rsidR="008C3AEB" w:rsidRPr="007F19E9" w14:paraId="79AF51B6" w14:textId="77777777" w:rsidTr="008C3AE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F771E" w14:textId="77777777" w:rsidR="008C3AEB" w:rsidRPr="007F19E9" w:rsidRDefault="008C3AEB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Vaccine coverage targets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9A69F" w14:textId="77777777" w:rsidR="008C3AEB" w:rsidRPr="007F19E9" w:rsidRDefault="008C3AEB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π determines antigenic space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9EABD" w14:textId="77777777" w:rsidR="008C3AEB" w:rsidRPr="007F19E9" w:rsidRDefault="008C3AEB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Multi-valent vs. monovalent vaccine design</w:t>
            </w:r>
          </w:p>
        </w:tc>
      </w:tr>
    </w:tbl>
    <w:p w14:paraId="55DEB963" w14:textId="77777777" w:rsidR="00D519C9" w:rsidRPr="007F19E9" w:rsidRDefault="00560644">
      <w:pPr>
        <w:pStyle w:val="Heading2"/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t>3.4 Reference Values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9"/>
        <w:gridCol w:w="2395"/>
        <w:gridCol w:w="2693"/>
        <w:gridCol w:w="3083"/>
      </w:tblGrid>
      <w:tr w:rsidR="00D519C9" w:rsidRPr="007F19E9" w14:paraId="04523B3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AF7FC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  <w:b/>
                <w:bCs/>
                <w:color w:val="FFFFFF"/>
              </w:rPr>
              <w:t>π Range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86366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  <w:b/>
                <w:bCs/>
                <w:color w:val="FFFFFF"/>
              </w:rPr>
              <w:t>Scenario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A2CA1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  <w:b/>
                <w:bCs/>
                <w:color w:val="FFFFFF"/>
              </w:rPr>
              <w:t>Interpretation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ED79C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  <w:b/>
                <w:bCs/>
                <w:color w:val="FFFFFF"/>
              </w:rPr>
              <w:t>Implication</w:t>
            </w:r>
          </w:p>
        </w:tc>
      </w:tr>
      <w:tr w:rsidR="00D519C9" w:rsidRPr="007F19E9" w14:paraId="7235971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661A7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&lt;0.0005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D381C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Acute outbreak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E47FD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Very low diversity; single clone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C8921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Originated from single introduction</w:t>
            </w:r>
          </w:p>
        </w:tc>
      </w:tr>
      <w:tr w:rsidR="00D519C9" w:rsidRPr="007F19E9" w14:paraId="7EE794B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35BE7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0.0005–0.005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96616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Established outbreak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E4A89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Moderate diversity; chains of transmission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E3D03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Multiple lineages co-circulate; endemic risk</w:t>
            </w:r>
          </w:p>
        </w:tc>
      </w:tr>
      <w:tr w:rsidR="00D519C9" w:rsidRPr="007F19E9" w14:paraId="36BE53D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16822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0.005–0.02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49BA0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Endemic circulation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2F03D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High diversity; years of transmission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726F4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Likely antigenically variable; vaccine updates needed</w:t>
            </w:r>
          </w:p>
        </w:tc>
      </w:tr>
      <w:tr w:rsidR="00D519C9" w:rsidRPr="007F19E9" w14:paraId="1557F7B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2C927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&gt;0.02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BAE8B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Hyperendemic / highly recombinant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3C804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Very high diversity; multiple species/types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CF9CD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Complex epidemiology; multiple control targets</w:t>
            </w:r>
          </w:p>
        </w:tc>
      </w:tr>
    </w:tbl>
    <w:p w14:paraId="6AC774A2" w14:textId="77777777" w:rsidR="00D519C9" w:rsidRPr="007F19E9" w:rsidRDefault="00560644">
      <w:pPr>
        <w:pStyle w:val="Heading2"/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t>3.5 Integration into β</w:t>
      </w:r>
    </w:p>
    <w:p w14:paraId="00D2516F" w14:textId="77777777" w:rsidR="00D519C9" w:rsidRPr="007F19E9" w:rsidRDefault="00560644">
      <w:pPr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t>Indirect effect via escape potential: High π → increased probability of adaptive variants → effective Re increases over time → upward pressure on β. Weight in GVI typically moderate (0.08–0.15) due to lag effect.</w:t>
      </w:r>
    </w:p>
    <w:p w14:paraId="1F8AB611" w14:textId="77777777" w:rsidR="00D519C9" w:rsidRPr="007F19E9" w:rsidRDefault="00560644">
      <w:pPr>
        <w:pStyle w:val="Heading1"/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t>Index 4: Mutation Burden (MB)</w:t>
      </w:r>
    </w:p>
    <w:p w14:paraId="27775A22" w14:textId="77777777" w:rsidR="00D519C9" w:rsidRPr="007F19E9" w:rsidRDefault="00560644">
      <w:pPr>
        <w:pStyle w:val="Heading2"/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t>4.1 Definition</w:t>
      </w:r>
    </w:p>
    <w:p w14:paraId="28C992EC" w14:textId="77777777" w:rsidR="00D519C9" w:rsidRPr="007F19E9" w:rsidRDefault="00560644">
      <w:pPr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  <w:b/>
          <w:bCs/>
        </w:rPr>
        <w:t xml:space="preserve">Formal Definition: </w:t>
      </w:r>
      <w:r w:rsidRPr="007F19E9">
        <w:rPr>
          <w:rFonts w:ascii="Times New Roman" w:hAnsi="Times New Roman" w:cs="Times New Roman"/>
        </w:rPr>
        <w:t>MB is the total count of nucleotide variants (SNPs + indels) present in a viral genome sequence relative to a defined reference strain. Single SNP = 1 mutation; single indel (regardless of length) = 1 mutation.</w:t>
      </w:r>
    </w:p>
    <w:p w14:paraId="58162B48" w14:textId="77777777" w:rsidR="00D519C9" w:rsidRPr="007F19E9" w:rsidRDefault="00560644">
      <w:pPr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t>Quantification: MB = number of positions where query sequence differs from reference (excluding regions below coverage threshold, typically ≥10×)</w:t>
      </w:r>
    </w:p>
    <w:p w14:paraId="65874C8C" w14:textId="77777777" w:rsidR="00D519C9" w:rsidRPr="007F19E9" w:rsidRDefault="00560644">
      <w:pPr>
        <w:pStyle w:val="Heading2"/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t>4.2 Biological Interpretation</w:t>
      </w:r>
    </w:p>
    <w:p w14:paraId="129081DC" w14:textId="77777777" w:rsidR="00D519C9" w:rsidRPr="007F19E9" w:rsidRDefault="00560644">
      <w:pPr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  <w:b/>
          <w:bCs/>
        </w:rPr>
        <w:t xml:space="preserve">Replication History: </w:t>
      </w:r>
      <w:r w:rsidRPr="007F19E9">
        <w:rPr>
          <w:rFonts w:ascii="Times New Roman" w:hAnsi="Times New Roman" w:cs="Times New Roman"/>
        </w:rPr>
        <w:t>MB accumulates with each viral generation. An isolate with MB = 40 has undergone ~40 mutation-fixing events since divergence from reference. MB correlates with transmission chain length.</w:t>
      </w:r>
    </w:p>
    <w:p w14:paraId="4CD29715" w14:textId="77777777" w:rsidR="00D519C9" w:rsidRPr="007F19E9" w:rsidRDefault="00560644">
      <w:pPr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lastRenderedPageBreak/>
        <w:t>Phenotypic Potential: Each mutation may confer a trait change (virulence, transmissibility, drug resistance, antigenicity). High MB = greater likelihood of functional changes. However, most mutations are neutral or deleterious.</w:t>
      </w:r>
    </w:p>
    <w:p w14:paraId="45FAE961" w14:textId="77777777" w:rsidR="00D519C9" w:rsidRPr="007F19E9" w:rsidRDefault="00560644">
      <w:pPr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t>Temporal Signal: MB increases linearly with time if mutation rate is constant. MB can reveal transmission bottlenecks (sudden drops), multi-generation chains (accumulation), or long-term circulation (saturation at plateau).</w:t>
      </w:r>
    </w:p>
    <w:p w14:paraId="45D80588" w14:textId="77777777" w:rsidR="00D519C9" w:rsidRPr="007F19E9" w:rsidRDefault="00560644">
      <w:pPr>
        <w:pStyle w:val="Heading2"/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t>4.3 Epidemiological Use Cases</w:t>
      </w:r>
    </w:p>
    <w:tbl>
      <w:tblPr>
        <w:tblW w:w="82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8"/>
        <w:gridCol w:w="3346"/>
        <w:gridCol w:w="2810"/>
      </w:tblGrid>
      <w:tr w:rsidR="00AA09FD" w:rsidRPr="007F19E9" w14:paraId="2052FC72" w14:textId="77777777" w:rsidTr="00AA09F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8FD57" w14:textId="77777777" w:rsidR="00AA09FD" w:rsidRPr="007F19E9" w:rsidRDefault="00AA09FD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  <w:b/>
                <w:bCs/>
                <w:color w:val="FFFFFF"/>
              </w:rPr>
              <w:t>Use Case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B984B" w14:textId="77777777" w:rsidR="00AA09FD" w:rsidRPr="007F19E9" w:rsidRDefault="00AA09FD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  <w:b/>
                <w:bCs/>
                <w:color w:val="FFFFFF"/>
              </w:rPr>
              <w:t>Application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E5D19" w14:textId="277073BA" w:rsidR="00AA09FD" w:rsidRPr="007F19E9" w:rsidRDefault="00AA09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Outcome</w:t>
            </w:r>
          </w:p>
        </w:tc>
      </w:tr>
      <w:tr w:rsidR="00AA09FD" w:rsidRPr="007F19E9" w14:paraId="36DD8417" w14:textId="77777777" w:rsidTr="00AA09F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B60BB" w14:textId="77777777" w:rsidR="00AA09FD" w:rsidRPr="007F19E9" w:rsidRDefault="00AA09FD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Variant maturation tracking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AAC12" w14:textId="77777777" w:rsidR="00AA09FD" w:rsidRPr="007F19E9" w:rsidRDefault="00AA09FD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MB plateau vs. linear increase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7E29E" w14:textId="77777777" w:rsidR="00AA09FD" w:rsidRPr="007F19E9" w:rsidRDefault="00AA09FD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Predict if variant will remain dominant</w:t>
            </w:r>
          </w:p>
        </w:tc>
      </w:tr>
      <w:tr w:rsidR="00AA09FD" w:rsidRPr="007F19E9" w14:paraId="02DD3A0A" w14:textId="77777777" w:rsidTr="00AA09F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14523" w14:textId="77777777" w:rsidR="00AA09FD" w:rsidRPr="007F19E9" w:rsidRDefault="00AA09FD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Outbreak age estimation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6474C" w14:textId="77777777" w:rsidR="00AA09FD" w:rsidRPr="007F19E9" w:rsidRDefault="00AA09FD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MB ÷ μ = approximate weeks of circulation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A2AEA" w14:textId="77777777" w:rsidR="00AA09FD" w:rsidRPr="007F19E9" w:rsidRDefault="00AA09FD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Retrospective control assessment</w:t>
            </w:r>
          </w:p>
        </w:tc>
      </w:tr>
      <w:tr w:rsidR="00AA09FD" w:rsidRPr="007F19E9" w14:paraId="6597C419" w14:textId="77777777" w:rsidTr="00AA09F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83BBD" w14:textId="77777777" w:rsidR="00AA09FD" w:rsidRPr="007F19E9" w:rsidRDefault="00AA09FD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Antiviral resistance risk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8C503" w14:textId="77777777" w:rsidR="00AA09FD" w:rsidRPr="007F19E9" w:rsidRDefault="00AA09FD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High MB + in vital genes (polymerase, protease)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ADE88" w14:textId="77777777" w:rsidR="00AA09FD" w:rsidRPr="007F19E9" w:rsidRDefault="00AA09FD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Switch antivirals; combination therapy</w:t>
            </w:r>
          </w:p>
        </w:tc>
      </w:tr>
      <w:tr w:rsidR="00AA09FD" w:rsidRPr="007F19E9" w14:paraId="49EC49AB" w14:textId="77777777" w:rsidTr="00AA09F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AD1DF" w14:textId="77777777" w:rsidR="00AA09FD" w:rsidRPr="007F19E9" w:rsidRDefault="00AA09FD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Vaccine escape prediction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202DE" w14:textId="77777777" w:rsidR="00AA09FD" w:rsidRPr="007F19E9" w:rsidRDefault="00AA09FD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High MB in immunogenic regions (S protein)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4FAF5" w14:textId="77777777" w:rsidR="00AA09FD" w:rsidRPr="007F19E9" w:rsidRDefault="00AA09FD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Update vaccine; prioritize coverage</w:t>
            </w:r>
          </w:p>
        </w:tc>
      </w:tr>
    </w:tbl>
    <w:p w14:paraId="08D2F599" w14:textId="77777777" w:rsidR="00D519C9" w:rsidRPr="007F19E9" w:rsidRDefault="00560644">
      <w:pPr>
        <w:pStyle w:val="Heading2"/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t>4.4 Reference Values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"/>
        <w:gridCol w:w="2053"/>
        <w:gridCol w:w="1195"/>
        <w:gridCol w:w="2303"/>
        <w:gridCol w:w="2819"/>
      </w:tblGrid>
      <w:tr w:rsidR="00D519C9" w:rsidRPr="007F19E9" w14:paraId="5C41FAF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4A535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  <w:b/>
                <w:bCs/>
                <w:color w:val="FFFFFF"/>
              </w:rPr>
              <w:t>MB Count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2A5B1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  <w:b/>
                <w:bCs/>
                <w:color w:val="FFFFFF"/>
              </w:rPr>
              <w:t>Pathogen Example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B3D0F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  <w:b/>
                <w:bCs/>
                <w:color w:val="FFFFFF"/>
              </w:rPr>
              <w:t>Timeline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24668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  <w:b/>
                <w:bCs/>
                <w:color w:val="FFFFFF"/>
              </w:rPr>
              <w:t>Characteristics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3FB71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  <w:b/>
                <w:bCs/>
                <w:color w:val="FFFFFF"/>
              </w:rPr>
              <w:t>Control Implication</w:t>
            </w:r>
          </w:p>
        </w:tc>
      </w:tr>
      <w:tr w:rsidR="00D519C9" w:rsidRPr="007F19E9" w14:paraId="777443D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59232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0–5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67869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Within-household transmission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60B5E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Days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EE9F7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proofErr w:type="gramStart"/>
            <w:r w:rsidRPr="007F19E9">
              <w:rPr>
                <w:rFonts w:ascii="Times New Roman" w:hAnsi="Times New Roman" w:cs="Times New Roman"/>
              </w:rPr>
              <w:t>Near-identical</w:t>
            </w:r>
            <w:proofErr w:type="gramEnd"/>
            <w:r w:rsidRPr="007F19E9">
              <w:rPr>
                <w:rFonts w:ascii="Times New Roman" w:hAnsi="Times New Roman" w:cs="Times New Roman"/>
              </w:rPr>
              <w:t xml:space="preserve"> to reference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29A3F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Genetic link confirmable</w:t>
            </w:r>
          </w:p>
        </w:tc>
      </w:tr>
      <w:tr w:rsidR="00D519C9" w:rsidRPr="007F19E9" w14:paraId="3F7D1C5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B90F5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5–15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4D89A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Community chain (1–2 weeks)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65E5D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1–2 weeks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F0E7F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Early divergence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E997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Traceable contact history</w:t>
            </w:r>
          </w:p>
        </w:tc>
      </w:tr>
      <w:tr w:rsidR="00D519C9" w:rsidRPr="007F19E9" w14:paraId="359FF9A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46728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15–40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63C8D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Established outbreak (months)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DD0F4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1–3 months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5F16A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Recognizable variant signature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B4202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Variant of interest (VOI) classification</w:t>
            </w:r>
          </w:p>
        </w:tc>
      </w:tr>
      <w:tr w:rsidR="00D519C9" w:rsidRPr="007F19E9" w14:paraId="732F763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A4F77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40–100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77E78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Pandemic variant (6–18 months)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B8D32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6–18 months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49B91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Multiple functional changes likely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0F2CD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Variant of concern (VOC); major public health action</w:t>
            </w:r>
          </w:p>
        </w:tc>
      </w:tr>
    </w:tbl>
    <w:p w14:paraId="7ED80535" w14:textId="77777777" w:rsidR="00D519C9" w:rsidRPr="007F19E9" w:rsidRDefault="00560644">
      <w:pPr>
        <w:pStyle w:val="Heading2"/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t>4.5 Integration into β</w:t>
      </w:r>
    </w:p>
    <w:p w14:paraId="404CB69E" w14:textId="77777777" w:rsidR="00D519C9" w:rsidRPr="007F19E9" w:rsidRDefault="00560644">
      <w:pPr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t>Direct indicator of adaptive capacity: High MB (especially in receptor-binding or fusion domains) = increased transmissibility and escape potential. MB is typically one of the highest-weighted components in GVI (weight 0.18–0.25).</w:t>
      </w:r>
    </w:p>
    <w:p w14:paraId="5A06A8AF" w14:textId="77777777" w:rsidR="00D519C9" w:rsidRPr="007F19E9" w:rsidRDefault="00560644">
      <w:pPr>
        <w:pStyle w:val="Heading1"/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t xml:space="preserve">Index 5: </w:t>
      </w:r>
      <w:proofErr w:type="spellStart"/>
      <w:r w:rsidRPr="007F19E9">
        <w:rPr>
          <w:rFonts w:ascii="Times New Roman" w:hAnsi="Times New Roman" w:cs="Times New Roman"/>
        </w:rPr>
        <w:t>dN</w:t>
      </w:r>
      <w:proofErr w:type="spellEnd"/>
      <w:r w:rsidRPr="007F19E9">
        <w:rPr>
          <w:rFonts w:ascii="Times New Roman" w:hAnsi="Times New Roman" w:cs="Times New Roman"/>
        </w:rPr>
        <w:t>/</w:t>
      </w:r>
      <w:proofErr w:type="spellStart"/>
      <w:r w:rsidRPr="007F19E9">
        <w:rPr>
          <w:rFonts w:ascii="Times New Roman" w:hAnsi="Times New Roman" w:cs="Times New Roman"/>
        </w:rPr>
        <w:t>dS</w:t>
      </w:r>
      <w:proofErr w:type="spellEnd"/>
      <w:r w:rsidRPr="007F19E9">
        <w:rPr>
          <w:rFonts w:ascii="Times New Roman" w:hAnsi="Times New Roman" w:cs="Times New Roman"/>
        </w:rPr>
        <w:t xml:space="preserve"> Ratio (Nonsynonymous/Synonymous Substitutions)</w:t>
      </w:r>
    </w:p>
    <w:p w14:paraId="4C8220E2" w14:textId="77777777" w:rsidR="00D519C9" w:rsidRPr="007F19E9" w:rsidRDefault="00560644">
      <w:pPr>
        <w:pStyle w:val="Heading2"/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t>5.1 Definition</w:t>
      </w:r>
    </w:p>
    <w:p w14:paraId="373459BD" w14:textId="77777777" w:rsidR="00D519C9" w:rsidRPr="007F19E9" w:rsidRDefault="00560644">
      <w:pPr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  <w:b/>
          <w:bCs/>
        </w:rPr>
        <w:t xml:space="preserve">Formal Definition: </w:t>
      </w:r>
      <w:proofErr w:type="spellStart"/>
      <w:r w:rsidRPr="007F19E9">
        <w:rPr>
          <w:rFonts w:ascii="Times New Roman" w:hAnsi="Times New Roman" w:cs="Times New Roman"/>
        </w:rPr>
        <w:t>dN</w:t>
      </w:r>
      <w:proofErr w:type="spellEnd"/>
      <w:r w:rsidRPr="007F19E9">
        <w:rPr>
          <w:rFonts w:ascii="Times New Roman" w:hAnsi="Times New Roman" w:cs="Times New Roman"/>
        </w:rPr>
        <w:t>/</w:t>
      </w:r>
      <w:proofErr w:type="spellStart"/>
      <w:r w:rsidRPr="007F19E9">
        <w:rPr>
          <w:rFonts w:ascii="Times New Roman" w:hAnsi="Times New Roman" w:cs="Times New Roman"/>
        </w:rPr>
        <w:t>dS</w:t>
      </w:r>
      <w:proofErr w:type="spellEnd"/>
      <w:r w:rsidRPr="007F19E9">
        <w:rPr>
          <w:rFonts w:ascii="Times New Roman" w:hAnsi="Times New Roman" w:cs="Times New Roman"/>
        </w:rPr>
        <w:t xml:space="preserve"> (often written as ω) is the ratio of the rate of nonsynonymous (amino acid-changing) substitutions to the rate of synonymous (silent) substitutions at the codon level.</w:t>
      </w:r>
    </w:p>
    <w:p w14:paraId="6E63871E" w14:textId="77777777" w:rsidR="00D519C9" w:rsidRPr="007F19E9" w:rsidRDefault="00560644">
      <w:pPr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lastRenderedPageBreak/>
        <w:t xml:space="preserve">Calculation: </w:t>
      </w:r>
      <w:proofErr w:type="spellStart"/>
      <w:r w:rsidRPr="007F19E9">
        <w:rPr>
          <w:rFonts w:ascii="Times New Roman" w:hAnsi="Times New Roman" w:cs="Times New Roman"/>
        </w:rPr>
        <w:t>dN</w:t>
      </w:r>
      <w:proofErr w:type="spellEnd"/>
      <w:r w:rsidRPr="007F19E9">
        <w:rPr>
          <w:rFonts w:ascii="Times New Roman" w:hAnsi="Times New Roman" w:cs="Times New Roman"/>
        </w:rPr>
        <w:t>/</w:t>
      </w:r>
      <w:proofErr w:type="spellStart"/>
      <w:r w:rsidRPr="007F19E9">
        <w:rPr>
          <w:rFonts w:ascii="Times New Roman" w:hAnsi="Times New Roman" w:cs="Times New Roman"/>
        </w:rPr>
        <w:t>dS</w:t>
      </w:r>
      <w:proofErr w:type="spellEnd"/>
      <w:r w:rsidRPr="007F19E9">
        <w:rPr>
          <w:rFonts w:ascii="Times New Roman" w:hAnsi="Times New Roman" w:cs="Times New Roman"/>
        </w:rPr>
        <w:t xml:space="preserve"> = (observed nonsynonymous changes / expected nonsynonymous sites) / (observed synonymous changes / expected synonymous sites)</w:t>
      </w:r>
    </w:p>
    <w:p w14:paraId="7B437378" w14:textId="77777777" w:rsidR="00D519C9" w:rsidRPr="007F19E9" w:rsidRDefault="00560644">
      <w:pPr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t xml:space="preserve">At equilibrium under neutral evolution, </w:t>
      </w:r>
      <w:proofErr w:type="spellStart"/>
      <w:r w:rsidRPr="007F19E9">
        <w:rPr>
          <w:rFonts w:ascii="Times New Roman" w:hAnsi="Times New Roman" w:cs="Times New Roman"/>
        </w:rPr>
        <w:t>dN</w:t>
      </w:r>
      <w:proofErr w:type="spellEnd"/>
      <w:r w:rsidRPr="007F19E9">
        <w:rPr>
          <w:rFonts w:ascii="Times New Roman" w:hAnsi="Times New Roman" w:cs="Times New Roman"/>
        </w:rPr>
        <w:t>/</w:t>
      </w:r>
      <w:proofErr w:type="spellStart"/>
      <w:r w:rsidRPr="007F19E9">
        <w:rPr>
          <w:rFonts w:ascii="Times New Roman" w:hAnsi="Times New Roman" w:cs="Times New Roman"/>
        </w:rPr>
        <w:t>dS</w:t>
      </w:r>
      <w:proofErr w:type="spellEnd"/>
      <w:r w:rsidRPr="007F19E9">
        <w:rPr>
          <w:rFonts w:ascii="Times New Roman" w:hAnsi="Times New Roman" w:cs="Times New Roman"/>
        </w:rPr>
        <w:t xml:space="preserve"> ≈ 1 (equal substitution rates). Deviations indicate selection.</w:t>
      </w:r>
    </w:p>
    <w:p w14:paraId="65B1C03F" w14:textId="77777777" w:rsidR="00D519C9" w:rsidRPr="007F19E9" w:rsidRDefault="00560644">
      <w:pPr>
        <w:pStyle w:val="Heading2"/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t>5.2 Biological Interpretation</w:t>
      </w:r>
    </w:p>
    <w:p w14:paraId="6F292240" w14:textId="77777777" w:rsidR="00D519C9" w:rsidRPr="007F19E9" w:rsidRDefault="00560644">
      <w:pPr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  <w:b/>
          <w:bCs/>
        </w:rPr>
        <w:t xml:space="preserve">Selection Pressure Indicator: </w:t>
      </w:r>
      <w:proofErr w:type="spellStart"/>
      <w:r w:rsidRPr="007F19E9">
        <w:rPr>
          <w:rFonts w:ascii="Times New Roman" w:hAnsi="Times New Roman" w:cs="Times New Roman"/>
        </w:rPr>
        <w:t>dN</w:t>
      </w:r>
      <w:proofErr w:type="spellEnd"/>
      <w:r w:rsidRPr="007F19E9">
        <w:rPr>
          <w:rFonts w:ascii="Times New Roman" w:hAnsi="Times New Roman" w:cs="Times New Roman"/>
        </w:rPr>
        <w:t>/</w:t>
      </w:r>
      <w:proofErr w:type="spellStart"/>
      <w:r w:rsidRPr="007F19E9">
        <w:rPr>
          <w:rFonts w:ascii="Times New Roman" w:hAnsi="Times New Roman" w:cs="Times New Roman"/>
        </w:rPr>
        <w:t>dS</w:t>
      </w:r>
      <w:proofErr w:type="spellEnd"/>
      <w:r w:rsidRPr="007F19E9">
        <w:rPr>
          <w:rFonts w:ascii="Times New Roman" w:hAnsi="Times New Roman" w:cs="Times New Roman"/>
        </w:rPr>
        <w:t xml:space="preserve"> </w:t>
      </w:r>
      <w:proofErr w:type="gramStart"/>
      <w:r w:rsidRPr="007F19E9">
        <w:rPr>
          <w:rFonts w:ascii="Times New Roman" w:hAnsi="Times New Roman" w:cs="Times New Roman"/>
        </w:rPr>
        <w:t>quantifies</w:t>
      </w:r>
      <w:proofErr w:type="gramEnd"/>
      <w:r w:rsidRPr="007F19E9">
        <w:rPr>
          <w:rFonts w:ascii="Times New Roman" w:hAnsi="Times New Roman" w:cs="Times New Roman"/>
        </w:rPr>
        <w:t xml:space="preserve"> the evolutionary pressure acting on protein sequences.</w:t>
      </w:r>
    </w:p>
    <w:p w14:paraId="1813EAA3" w14:textId="77777777" w:rsidR="00D519C9" w:rsidRPr="007F19E9" w:rsidRDefault="0056064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7F19E9">
        <w:rPr>
          <w:rFonts w:ascii="Times New Roman" w:hAnsi="Times New Roman" w:cs="Times New Roman"/>
        </w:rPr>
        <w:t>dN</w:t>
      </w:r>
      <w:proofErr w:type="spellEnd"/>
      <w:r w:rsidRPr="007F19E9">
        <w:rPr>
          <w:rFonts w:ascii="Times New Roman" w:hAnsi="Times New Roman" w:cs="Times New Roman"/>
        </w:rPr>
        <w:t>/</w:t>
      </w:r>
      <w:proofErr w:type="spellStart"/>
      <w:r w:rsidRPr="007F19E9">
        <w:rPr>
          <w:rFonts w:ascii="Times New Roman" w:hAnsi="Times New Roman" w:cs="Times New Roman"/>
        </w:rPr>
        <w:t>dS</w:t>
      </w:r>
      <w:proofErr w:type="spellEnd"/>
      <w:r w:rsidRPr="007F19E9">
        <w:rPr>
          <w:rFonts w:ascii="Times New Roman" w:hAnsi="Times New Roman" w:cs="Times New Roman"/>
        </w:rPr>
        <w:t xml:space="preserve"> &lt; 1: Purifying selection. Most amino acid changes are deleterious and removed. Indicates functional constraint (structural proteins, active sites).</w:t>
      </w:r>
    </w:p>
    <w:p w14:paraId="4F1D2C95" w14:textId="77777777" w:rsidR="00D519C9" w:rsidRPr="007F19E9" w:rsidRDefault="0056064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7F19E9">
        <w:rPr>
          <w:rFonts w:ascii="Times New Roman" w:hAnsi="Times New Roman" w:cs="Times New Roman"/>
        </w:rPr>
        <w:t>dN</w:t>
      </w:r>
      <w:proofErr w:type="spellEnd"/>
      <w:r w:rsidRPr="007F19E9">
        <w:rPr>
          <w:rFonts w:ascii="Times New Roman" w:hAnsi="Times New Roman" w:cs="Times New Roman"/>
        </w:rPr>
        <w:t>/</w:t>
      </w:r>
      <w:proofErr w:type="spellStart"/>
      <w:r w:rsidRPr="007F19E9">
        <w:rPr>
          <w:rFonts w:ascii="Times New Roman" w:hAnsi="Times New Roman" w:cs="Times New Roman"/>
        </w:rPr>
        <w:t>dS</w:t>
      </w:r>
      <w:proofErr w:type="spellEnd"/>
      <w:r w:rsidRPr="007F19E9">
        <w:rPr>
          <w:rFonts w:ascii="Times New Roman" w:hAnsi="Times New Roman" w:cs="Times New Roman"/>
        </w:rPr>
        <w:t xml:space="preserve"> ≈ 1: Neutral evolution. Substitutions at silent and coding positions accumulate equally. Relaxed selection.</w:t>
      </w:r>
    </w:p>
    <w:p w14:paraId="2D4420E7" w14:textId="77777777" w:rsidR="00D519C9" w:rsidRPr="007F19E9" w:rsidRDefault="0056064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7F19E9">
        <w:rPr>
          <w:rFonts w:ascii="Times New Roman" w:hAnsi="Times New Roman" w:cs="Times New Roman"/>
        </w:rPr>
        <w:t>dN</w:t>
      </w:r>
      <w:proofErr w:type="spellEnd"/>
      <w:r w:rsidRPr="007F19E9">
        <w:rPr>
          <w:rFonts w:ascii="Times New Roman" w:hAnsi="Times New Roman" w:cs="Times New Roman"/>
        </w:rPr>
        <w:t>/</w:t>
      </w:r>
      <w:proofErr w:type="spellStart"/>
      <w:r w:rsidRPr="007F19E9">
        <w:rPr>
          <w:rFonts w:ascii="Times New Roman" w:hAnsi="Times New Roman" w:cs="Times New Roman"/>
        </w:rPr>
        <w:t>dS</w:t>
      </w:r>
      <w:proofErr w:type="spellEnd"/>
      <w:r w:rsidRPr="007F19E9">
        <w:rPr>
          <w:rFonts w:ascii="Times New Roman" w:hAnsi="Times New Roman" w:cs="Times New Roman"/>
        </w:rPr>
        <w:t xml:space="preserve"> &gt; 1: Positive selection. Amino acid-changing mutations spread faster than neutral drift. Indicates adaptive advantage (immune escape, transmissibility).</w:t>
      </w:r>
    </w:p>
    <w:p w14:paraId="29AF106A" w14:textId="77777777" w:rsidR="00D519C9" w:rsidRPr="007F19E9" w:rsidRDefault="00560644">
      <w:pPr>
        <w:pStyle w:val="Heading2"/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t>5.3 Epidemiological Use Cases</w:t>
      </w:r>
    </w:p>
    <w:tbl>
      <w:tblPr>
        <w:tblW w:w="82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6"/>
        <w:gridCol w:w="2663"/>
        <w:gridCol w:w="3235"/>
      </w:tblGrid>
      <w:tr w:rsidR="002466F8" w:rsidRPr="007F19E9" w14:paraId="3A9DCEC7" w14:textId="77777777" w:rsidTr="002466F8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58BD3" w14:textId="77777777" w:rsidR="002466F8" w:rsidRPr="007F19E9" w:rsidRDefault="002466F8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  <w:b/>
                <w:bCs/>
                <w:color w:val="FFFFFF"/>
              </w:rPr>
              <w:t>Use Case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1E4E9" w14:textId="77777777" w:rsidR="002466F8" w:rsidRPr="007F19E9" w:rsidRDefault="002466F8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  <w:b/>
                <w:bCs/>
                <w:color w:val="FFFFFF"/>
              </w:rPr>
              <w:t>Application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78E84" w14:textId="77777777" w:rsidR="002466F8" w:rsidRPr="007F19E9" w:rsidRDefault="002466F8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  <w:b/>
                <w:bCs/>
                <w:color w:val="FFFFFF"/>
              </w:rPr>
              <w:t>Decision Point</w:t>
            </w:r>
          </w:p>
        </w:tc>
      </w:tr>
      <w:tr w:rsidR="002466F8" w:rsidRPr="007F19E9" w14:paraId="4D69D7D0" w14:textId="77777777" w:rsidTr="002466F8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26B0E" w14:textId="77777777" w:rsidR="002466F8" w:rsidRPr="007F19E9" w:rsidRDefault="002466F8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Adaptive variant detection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1CBDC" w14:textId="77777777" w:rsidR="002466F8" w:rsidRPr="007F19E9" w:rsidRDefault="002466F8">
            <w:pPr>
              <w:rPr>
                <w:rFonts w:ascii="Times New Roman" w:hAnsi="Times New Roman" w:cs="Times New Roman"/>
              </w:rPr>
            </w:pPr>
            <w:proofErr w:type="spellStart"/>
            <w:r w:rsidRPr="007F19E9">
              <w:rPr>
                <w:rFonts w:ascii="Times New Roman" w:hAnsi="Times New Roman" w:cs="Times New Roman"/>
              </w:rPr>
              <w:t>dN</w:t>
            </w:r>
            <w:proofErr w:type="spellEnd"/>
            <w:r w:rsidRPr="007F19E9">
              <w:rPr>
                <w:rFonts w:ascii="Times New Roman" w:hAnsi="Times New Roman" w:cs="Times New Roman"/>
              </w:rPr>
              <w:t>/</w:t>
            </w:r>
            <w:proofErr w:type="spellStart"/>
            <w:r w:rsidRPr="007F19E9">
              <w:rPr>
                <w:rFonts w:ascii="Times New Roman" w:hAnsi="Times New Roman" w:cs="Times New Roman"/>
              </w:rPr>
              <w:t>dS</w:t>
            </w:r>
            <w:proofErr w:type="spellEnd"/>
            <w:r w:rsidRPr="007F19E9">
              <w:rPr>
                <w:rFonts w:ascii="Times New Roman" w:hAnsi="Times New Roman" w:cs="Times New Roman"/>
              </w:rPr>
              <w:t xml:space="preserve"> &gt; 1 in S protein / surface antigens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66D3F" w14:textId="77777777" w:rsidR="002466F8" w:rsidRPr="007F19E9" w:rsidRDefault="002466F8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Upgrade variant status; monitor closely</w:t>
            </w:r>
          </w:p>
        </w:tc>
      </w:tr>
      <w:tr w:rsidR="002466F8" w:rsidRPr="007F19E9" w14:paraId="14C70BA0" w14:textId="77777777" w:rsidTr="002466F8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91CCD" w14:textId="77777777" w:rsidR="002466F8" w:rsidRPr="007F19E9" w:rsidRDefault="002466F8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Functional constraint identification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2E74C" w14:textId="77777777" w:rsidR="002466F8" w:rsidRPr="007F19E9" w:rsidRDefault="002466F8">
            <w:pPr>
              <w:rPr>
                <w:rFonts w:ascii="Times New Roman" w:hAnsi="Times New Roman" w:cs="Times New Roman"/>
              </w:rPr>
            </w:pPr>
            <w:proofErr w:type="spellStart"/>
            <w:r w:rsidRPr="007F19E9">
              <w:rPr>
                <w:rFonts w:ascii="Times New Roman" w:hAnsi="Times New Roman" w:cs="Times New Roman"/>
              </w:rPr>
              <w:t>dN</w:t>
            </w:r>
            <w:proofErr w:type="spellEnd"/>
            <w:r w:rsidRPr="007F19E9">
              <w:rPr>
                <w:rFonts w:ascii="Times New Roman" w:hAnsi="Times New Roman" w:cs="Times New Roman"/>
              </w:rPr>
              <w:t>/</w:t>
            </w:r>
            <w:proofErr w:type="spellStart"/>
            <w:r w:rsidRPr="007F19E9">
              <w:rPr>
                <w:rFonts w:ascii="Times New Roman" w:hAnsi="Times New Roman" w:cs="Times New Roman"/>
              </w:rPr>
              <w:t>dS</w:t>
            </w:r>
            <w:proofErr w:type="spellEnd"/>
            <w:r w:rsidRPr="007F19E9">
              <w:rPr>
                <w:rFonts w:ascii="Times New Roman" w:hAnsi="Times New Roman" w:cs="Times New Roman"/>
              </w:rPr>
              <w:t xml:space="preserve"> &lt; 0.5 in polymerase, protease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02E24" w14:textId="77777777" w:rsidR="002466F8" w:rsidRPr="007F19E9" w:rsidRDefault="002466F8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Target these for antivirals; expect robustness to resistance</w:t>
            </w:r>
          </w:p>
        </w:tc>
      </w:tr>
      <w:tr w:rsidR="002466F8" w:rsidRPr="007F19E9" w14:paraId="1D2458C4" w14:textId="77777777" w:rsidTr="002466F8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5A602" w14:textId="77777777" w:rsidR="002466F8" w:rsidRPr="007F19E9" w:rsidRDefault="002466F8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Zoonotic adaptation tracking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E6CFF" w14:textId="77777777" w:rsidR="002466F8" w:rsidRPr="007F19E9" w:rsidRDefault="002466F8">
            <w:pPr>
              <w:rPr>
                <w:rFonts w:ascii="Times New Roman" w:hAnsi="Times New Roman" w:cs="Times New Roman"/>
              </w:rPr>
            </w:pPr>
            <w:proofErr w:type="spellStart"/>
            <w:r w:rsidRPr="007F19E9">
              <w:rPr>
                <w:rFonts w:ascii="Times New Roman" w:hAnsi="Times New Roman" w:cs="Times New Roman"/>
              </w:rPr>
              <w:t>dN</w:t>
            </w:r>
            <w:proofErr w:type="spellEnd"/>
            <w:r w:rsidRPr="007F19E9">
              <w:rPr>
                <w:rFonts w:ascii="Times New Roman" w:hAnsi="Times New Roman" w:cs="Times New Roman"/>
              </w:rPr>
              <w:t>/</w:t>
            </w:r>
            <w:proofErr w:type="spellStart"/>
            <w:r w:rsidRPr="007F19E9">
              <w:rPr>
                <w:rFonts w:ascii="Times New Roman" w:hAnsi="Times New Roman" w:cs="Times New Roman"/>
              </w:rPr>
              <w:t>dS</w:t>
            </w:r>
            <w:proofErr w:type="spellEnd"/>
            <w:r w:rsidRPr="007F19E9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7F19E9">
              <w:rPr>
                <w:rFonts w:ascii="Times New Roman" w:hAnsi="Times New Roman" w:cs="Times New Roman"/>
              </w:rPr>
              <w:t>increases</w:t>
            </w:r>
            <w:proofErr w:type="gramEnd"/>
            <w:r w:rsidRPr="007F19E9">
              <w:rPr>
                <w:rFonts w:ascii="Times New Roman" w:hAnsi="Times New Roman" w:cs="Times New Roman"/>
              </w:rPr>
              <w:t xml:space="preserve"> over successive spillovers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85D69" w14:textId="77777777" w:rsidR="002466F8" w:rsidRPr="007F19E9" w:rsidRDefault="002466F8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Monitor for human adaptation signals</w:t>
            </w:r>
          </w:p>
        </w:tc>
      </w:tr>
      <w:tr w:rsidR="002466F8" w:rsidRPr="007F19E9" w14:paraId="64976ACE" w14:textId="77777777" w:rsidTr="002466F8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E25F5" w14:textId="77777777" w:rsidR="002466F8" w:rsidRPr="007F19E9" w:rsidRDefault="002466F8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Vaccine target validation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2D7D0" w14:textId="77777777" w:rsidR="002466F8" w:rsidRPr="007F19E9" w:rsidRDefault="002466F8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 xml:space="preserve">High </w:t>
            </w:r>
            <w:proofErr w:type="spellStart"/>
            <w:r w:rsidRPr="007F19E9">
              <w:rPr>
                <w:rFonts w:ascii="Times New Roman" w:hAnsi="Times New Roman" w:cs="Times New Roman"/>
              </w:rPr>
              <w:t>dN</w:t>
            </w:r>
            <w:proofErr w:type="spellEnd"/>
            <w:r w:rsidRPr="007F19E9">
              <w:rPr>
                <w:rFonts w:ascii="Times New Roman" w:hAnsi="Times New Roman" w:cs="Times New Roman"/>
              </w:rPr>
              <w:t>/</w:t>
            </w:r>
            <w:proofErr w:type="spellStart"/>
            <w:r w:rsidRPr="007F19E9">
              <w:rPr>
                <w:rFonts w:ascii="Times New Roman" w:hAnsi="Times New Roman" w:cs="Times New Roman"/>
              </w:rPr>
              <w:t>dS</w:t>
            </w:r>
            <w:proofErr w:type="spellEnd"/>
            <w:r w:rsidRPr="007F19E9">
              <w:rPr>
                <w:rFonts w:ascii="Times New Roman" w:hAnsi="Times New Roman" w:cs="Times New Roman"/>
              </w:rPr>
              <w:t xml:space="preserve"> in RBD = escape risk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DF5B1" w14:textId="77777777" w:rsidR="002466F8" w:rsidRPr="007F19E9" w:rsidRDefault="002466F8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Design multi-epitope vaccine; plan updates</w:t>
            </w:r>
          </w:p>
        </w:tc>
      </w:tr>
    </w:tbl>
    <w:p w14:paraId="1FE94312" w14:textId="77777777" w:rsidR="00D519C9" w:rsidRPr="007F19E9" w:rsidRDefault="00560644">
      <w:pPr>
        <w:pStyle w:val="Heading2"/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t>5.4 Gene-Specific Reference Values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7"/>
        <w:gridCol w:w="1242"/>
        <w:gridCol w:w="1923"/>
        <w:gridCol w:w="2598"/>
        <w:gridCol w:w="1940"/>
      </w:tblGrid>
      <w:tr w:rsidR="00D519C9" w:rsidRPr="007F19E9" w14:paraId="7A3B647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EC209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  <w:b/>
                <w:bCs/>
                <w:color w:val="FFFFFF"/>
              </w:rPr>
              <w:t>Gene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6AB75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proofErr w:type="spellStart"/>
            <w:r w:rsidRPr="007F19E9">
              <w:rPr>
                <w:rFonts w:ascii="Times New Roman" w:hAnsi="Times New Roman" w:cs="Times New Roman"/>
                <w:b/>
                <w:bCs/>
                <w:color w:val="FFFFFF"/>
              </w:rPr>
              <w:t>dN</w:t>
            </w:r>
            <w:proofErr w:type="spellEnd"/>
            <w:r w:rsidRPr="007F19E9">
              <w:rPr>
                <w:rFonts w:ascii="Times New Roman" w:hAnsi="Times New Roman" w:cs="Times New Roman"/>
                <w:b/>
                <w:bCs/>
                <w:color w:val="FFFFFF"/>
              </w:rPr>
              <w:t>/</w:t>
            </w:r>
            <w:proofErr w:type="spellStart"/>
            <w:r w:rsidRPr="007F19E9">
              <w:rPr>
                <w:rFonts w:ascii="Times New Roman" w:hAnsi="Times New Roman" w:cs="Times New Roman"/>
                <w:b/>
                <w:bCs/>
                <w:color w:val="FFFFFF"/>
              </w:rPr>
              <w:t>dS</w:t>
            </w:r>
            <w:proofErr w:type="spellEnd"/>
            <w:r w:rsidRPr="007F19E9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Range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C9FB1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  <w:b/>
                <w:bCs/>
                <w:color w:val="FFFFFF"/>
              </w:rPr>
              <w:t>Selection Type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70A43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  <w:b/>
                <w:bCs/>
                <w:color w:val="FFFFFF"/>
              </w:rPr>
              <w:t>Biological Role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198B0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  <w:b/>
                <w:bCs/>
                <w:color w:val="FFFFFF"/>
              </w:rPr>
              <w:t>Pandemic Risk</w:t>
            </w:r>
          </w:p>
        </w:tc>
      </w:tr>
      <w:tr w:rsidR="00D519C9" w:rsidRPr="007F19E9" w14:paraId="040B192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907FC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RNA Polymerase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42C95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&lt;0.3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F2864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Strong purifying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D837A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Replication fidelity; essential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9E8F7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Low (resistance rare)</w:t>
            </w:r>
          </w:p>
        </w:tc>
      </w:tr>
      <w:tr w:rsidR="00D519C9" w:rsidRPr="007F19E9" w14:paraId="2CD5B9D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FF92E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Protease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72CA9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0.3–0.6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905CB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Moderate purifying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011A4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Substrate specificity; essential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192B2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Low–moderate</w:t>
            </w:r>
          </w:p>
        </w:tc>
      </w:tr>
      <w:tr w:rsidR="00D519C9" w:rsidRPr="007F19E9" w14:paraId="1E408D0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82F39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Nucleocapsid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872AD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0.6–1.0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42FF0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Neutral–weak purifying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FE2E7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Packaging; less constrained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09427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Moderate</w:t>
            </w:r>
          </w:p>
        </w:tc>
      </w:tr>
      <w:tr w:rsidR="00D519C9" w:rsidRPr="007F19E9" w14:paraId="02A5DA0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E74B2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Spike / Surface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FAAE2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1.0–3.0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B47E4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Positive (often) / relaxed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1BA9E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Host cell entry; immune target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0F4A3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High (escape hotspot)</w:t>
            </w:r>
          </w:p>
        </w:tc>
      </w:tr>
      <w:tr w:rsidR="00D519C9" w:rsidRPr="007F19E9" w14:paraId="72A8BD4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95725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Envelope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0E6CF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1.5–2.5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35ECE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Positive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8C2E1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Membrane incorporation; variable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8F480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High (immune pressure)</w:t>
            </w:r>
          </w:p>
        </w:tc>
      </w:tr>
    </w:tbl>
    <w:p w14:paraId="4E71FA0D" w14:textId="77777777" w:rsidR="00D519C9" w:rsidRPr="007F19E9" w:rsidRDefault="00560644">
      <w:pPr>
        <w:pStyle w:val="Heading2"/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t>5.5 Integration into β</w:t>
      </w:r>
    </w:p>
    <w:p w14:paraId="0592937A" w14:textId="77777777" w:rsidR="00D519C9" w:rsidRPr="007F19E9" w:rsidRDefault="00560644">
      <w:pPr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t xml:space="preserve">Adaptive potential indicator: </w:t>
      </w:r>
      <w:proofErr w:type="spellStart"/>
      <w:r w:rsidRPr="007F19E9">
        <w:rPr>
          <w:rFonts w:ascii="Times New Roman" w:hAnsi="Times New Roman" w:cs="Times New Roman"/>
        </w:rPr>
        <w:t>dN</w:t>
      </w:r>
      <w:proofErr w:type="spellEnd"/>
      <w:r w:rsidRPr="007F19E9">
        <w:rPr>
          <w:rFonts w:ascii="Times New Roman" w:hAnsi="Times New Roman" w:cs="Times New Roman"/>
        </w:rPr>
        <w:t>/</w:t>
      </w:r>
      <w:proofErr w:type="spellStart"/>
      <w:r w:rsidRPr="007F19E9">
        <w:rPr>
          <w:rFonts w:ascii="Times New Roman" w:hAnsi="Times New Roman" w:cs="Times New Roman"/>
        </w:rPr>
        <w:t>dS</w:t>
      </w:r>
      <w:proofErr w:type="spellEnd"/>
      <w:r w:rsidRPr="007F19E9">
        <w:rPr>
          <w:rFonts w:ascii="Times New Roman" w:hAnsi="Times New Roman" w:cs="Times New Roman"/>
        </w:rPr>
        <w:t xml:space="preserve"> &gt; 1 in transmissibility-linked genes (Spike, envelope fusion domains) directly increases predicted Re and β. Weight in GVI typically 0.12–0.18.</w:t>
      </w:r>
    </w:p>
    <w:p w14:paraId="63305F1F" w14:textId="77777777" w:rsidR="00D519C9" w:rsidRPr="007F19E9" w:rsidRDefault="00560644">
      <w:pPr>
        <w:pStyle w:val="Heading1"/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lastRenderedPageBreak/>
        <w:t>Index 6: Genetic Distance (GD)</w:t>
      </w:r>
    </w:p>
    <w:p w14:paraId="51BE241E" w14:textId="77777777" w:rsidR="00D519C9" w:rsidRPr="007F19E9" w:rsidRDefault="00560644">
      <w:pPr>
        <w:pStyle w:val="Heading2"/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t>6.1 Definition</w:t>
      </w:r>
    </w:p>
    <w:p w14:paraId="067C7668" w14:textId="77777777" w:rsidR="00D519C9" w:rsidRPr="007F19E9" w:rsidRDefault="00560644">
      <w:pPr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  <w:b/>
          <w:bCs/>
        </w:rPr>
        <w:t xml:space="preserve">Formal Definition: </w:t>
      </w:r>
      <w:r w:rsidRPr="007F19E9">
        <w:rPr>
          <w:rFonts w:ascii="Times New Roman" w:hAnsi="Times New Roman" w:cs="Times New Roman"/>
        </w:rPr>
        <w:t>GD is the evolutionary distance between two sequences, measured as the expected number of substitutions per site under an evolutionary model. Common metrics:</w:t>
      </w:r>
    </w:p>
    <w:p w14:paraId="6FD72FA5" w14:textId="77777777" w:rsidR="00D519C9" w:rsidRPr="007F19E9" w:rsidRDefault="0056064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t>Hamming Distance: Simple count of differing positions; no correction for multiple hits. Used for closely related sequences.</w:t>
      </w:r>
    </w:p>
    <w:p w14:paraId="2D4BD22A" w14:textId="77777777" w:rsidR="00D519C9" w:rsidRPr="007F19E9" w:rsidRDefault="0056064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t xml:space="preserve">Jukes-Cantor Distance (JC): Assumes equal transition/transversion rates and nucleotide frequencies. Formula: </w:t>
      </w:r>
      <w:proofErr w:type="spellStart"/>
      <w:r w:rsidRPr="007F19E9">
        <w:rPr>
          <w:rFonts w:ascii="Times New Roman" w:hAnsi="Times New Roman" w:cs="Times New Roman"/>
        </w:rPr>
        <w:t>d_JC</w:t>
      </w:r>
      <w:proofErr w:type="spellEnd"/>
      <w:r w:rsidRPr="007F19E9">
        <w:rPr>
          <w:rFonts w:ascii="Times New Roman" w:hAnsi="Times New Roman" w:cs="Times New Roman"/>
        </w:rPr>
        <w:t xml:space="preserve"> = −¾ </w:t>
      </w:r>
      <w:proofErr w:type="gramStart"/>
      <w:r w:rsidRPr="007F19E9">
        <w:rPr>
          <w:rFonts w:ascii="Times New Roman" w:hAnsi="Times New Roman" w:cs="Times New Roman"/>
        </w:rPr>
        <w:t>ln(</w:t>
      </w:r>
      <w:proofErr w:type="gramEnd"/>
      <w:r w:rsidRPr="007F19E9">
        <w:rPr>
          <w:rFonts w:ascii="Times New Roman" w:hAnsi="Times New Roman" w:cs="Times New Roman"/>
        </w:rPr>
        <w:t>1 − 4/3 × p), where p = proportion of differences.</w:t>
      </w:r>
    </w:p>
    <w:p w14:paraId="50CA6D99" w14:textId="77777777" w:rsidR="00D519C9" w:rsidRPr="007F19E9" w:rsidRDefault="0056064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t>Kimura 2-Parameter (K80): Distinguishes transitions (A↔G, C↔T) from transversions (A↔C, A↔T, G↔C, G↔T). More realistic for real data.</w:t>
      </w:r>
    </w:p>
    <w:p w14:paraId="00DB6658" w14:textId="77777777" w:rsidR="00D519C9" w:rsidRPr="007F19E9" w:rsidRDefault="00560644">
      <w:pPr>
        <w:pStyle w:val="Heading2"/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t>6.2 Biological Interpretation</w:t>
      </w:r>
    </w:p>
    <w:p w14:paraId="7BF1F6B0" w14:textId="77777777" w:rsidR="00D519C9" w:rsidRPr="007F19E9" w:rsidRDefault="00560644">
      <w:pPr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  <w:b/>
          <w:bCs/>
        </w:rPr>
        <w:t xml:space="preserve">Evolutionary Relatedness: </w:t>
      </w:r>
      <w:r w:rsidRPr="007F19E9">
        <w:rPr>
          <w:rFonts w:ascii="Times New Roman" w:hAnsi="Times New Roman" w:cs="Times New Roman"/>
        </w:rPr>
        <w:t>GD indicates the time since divergence from a common ancestor. Small GD = recent split; large GD = distant relationship.</w:t>
      </w:r>
    </w:p>
    <w:p w14:paraId="0C91AB0A" w14:textId="77777777" w:rsidR="00D519C9" w:rsidRPr="007F19E9" w:rsidRDefault="00560644">
      <w:pPr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t>Phylogenetic Placement: Used to classify isolates into clades, lineages, or genotypes. Threshold GD typically distinguishes species/types/subtypes.</w:t>
      </w:r>
    </w:p>
    <w:p w14:paraId="4B5B4944" w14:textId="77777777" w:rsidR="00D519C9" w:rsidRPr="007F19E9" w:rsidRDefault="00560644">
      <w:pPr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t>Outbreak Epidemiology: GD links isolates within chains of transmission. Very low GD (0–0.002) within same household; higher GD (0.005–0.02) indicates geographic spread or multi-generation chains.</w:t>
      </w:r>
    </w:p>
    <w:p w14:paraId="08169D1C" w14:textId="77777777" w:rsidR="00D519C9" w:rsidRPr="007F19E9" w:rsidRDefault="00560644">
      <w:pPr>
        <w:pStyle w:val="Heading2"/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t>6.3 Epidemiological Use Cases</w:t>
      </w:r>
    </w:p>
    <w:tbl>
      <w:tblPr>
        <w:tblW w:w="82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4"/>
        <w:gridCol w:w="2675"/>
        <w:gridCol w:w="3185"/>
      </w:tblGrid>
      <w:tr w:rsidR="002466F8" w:rsidRPr="007F19E9" w14:paraId="77703AC0" w14:textId="77777777" w:rsidTr="002466F8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5E1C2" w14:textId="77777777" w:rsidR="002466F8" w:rsidRPr="007F19E9" w:rsidRDefault="002466F8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  <w:b/>
                <w:bCs/>
                <w:color w:val="FFFFFF"/>
              </w:rPr>
              <w:t>Use Case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2BE39" w14:textId="77777777" w:rsidR="002466F8" w:rsidRPr="007F19E9" w:rsidRDefault="002466F8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  <w:b/>
                <w:bCs/>
                <w:color w:val="FFFFFF"/>
              </w:rPr>
              <w:t>Application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85604" w14:textId="77777777" w:rsidR="002466F8" w:rsidRPr="007F19E9" w:rsidRDefault="002466F8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  <w:b/>
                <w:bCs/>
                <w:color w:val="FFFFFF"/>
              </w:rPr>
              <w:t>Decision Point</w:t>
            </w:r>
          </w:p>
        </w:tc>
      </w:tr>
      <w:tr w:rsidR="002466F8" w:rsidRPr="007F19E9" w14:paraId="038A5962" w14:textId="77777777" w:rsidTr="002466F8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AD8C7" w14:textId="77777777" w:rsidR="002466F8" w:rsidRPr="007F19E9" w:rsidRDefault="002466F8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Phylogenetic classification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B1C0B" w14:textId="77777777" w:rsidR="002466F8" w:rsidRPr="007F19E9" w:rsidRDefault="002466F8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GD to VOC reference &lt; GD to WT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F8BFF" w14:textId="77777777" w:rsidR="002466F8" w:rsidRPr="007F19E9" w:rsidRDefault="002466F8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Formal variant classification; report to authorities</w:t>
            </w:r>
          </w:p>
        </w:tc>
      </w:tr>
      <w:tr w:rsidR="002466F8" w:rsidRPr="007F19E9" w14:paraId="2ED0FEC2" w14:textId="77777777" w:rsidTr="002466F8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3AA5D" w14:textId="77777777" w:rsidR="002466F8" w:rsidRPr="007F19E9" w:rsidRDefault="002466F8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Epidemiological linkage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BA09A" w14:textId="77777777" w:rsidR="002466F8" w:rsidRPr="007F19E9" w:rsidRDefault="002466F8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GD &lt; 0.005 + timeline + contact history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D26A9" w14:textId="77777777" w:rsidR="002466F8" w:rsidRPr="007F19E9" w:rsidRDefault="002466F8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Establish evidence for prosecution or quarantine</w:t>
            </w:r>
          </w:p>
        </w:tc>
      </w:tr>
      <w:tr w:rsidR="002466F8" w:rsidRPr="007F19E9" w14:paraId="4B0E1906" w14:textId="77777777" w:rsidTr="002466F8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A1864" w14:textId="77777777" w:rsidR="002466F8" w:rsidRPr="007F19E9" w:rsidRDefault="002466F8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Nosocomial outbreak detection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68BD8" w14:textId="77777777" w:rsidR="002466F8" w:rsidRPr="007F19E9" w:rsidRDefault="002466F8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All isolates within GD threshold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FBD4E" w14:textId="77777777" w:rsidR="002466F8" w:rsidRPr="007F19E9" w:rsidRDefault="002466F8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Activate IPC measures; test contacts</w:t>
            </w:r>
          </w:p>
        </w:tc>
      </w:tr>
      <w:tr w:rsidR="002466F8" w:rsidRPr="007F19E9" w14:paraId="06D1720A" w14:textId="77777777" w:rsidTr="002466F8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2E427" w14:textId="77777777" w:rsidR="002466F8" w:rsidRPr="007F19E9" w:rsidRDefault="002466F8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Geographic import vs. local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7AF5D" w14:textId="77777777" w:rsidR="002466F8" w:rsidRPr="007F19E9" w:rsidRDefault="002466F8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GD to local strains vs. distant strains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F8516" w14:textId="77777777" w:rsidR="002466F8" w:rsidRPr="007F19E9" w:rsidRDefault="002466F8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Activate border / entry screening</w:t>
            </w:r>
          </w:p>
        </w:tc>
      </w:tr>
    </w:tbl>
    <w:p w14:paraId="2C10A354" w14:textId="77777777" w:rsidR="00D519C9" w:rsidRPr="007F19E9" w:rsidRDefault="00560644">
      <w:pPr>
        <w:pStyle w:val="Heading2"/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t>6.4 Reference Thresholds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5"/>
        <w:gridCol w:w="1865"/>
        <w:gridCol w:w="1664"/>
        <w:gridCol w:w="2137"/>
        <w:gridCol w:w="2149"/>
      </w:tblGrid>
      <w:tr w:rsidR="00D519C9" w:rsidRPr="007F19E9" w14:paraId="505F6CC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6A21D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  <w:b/>
                <w:bCs/>
                <w:color w:val="FFFFFF"/>
              </w:rPr>
              <w:t>GD (Jukes-Cantor)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5E8C9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  <w:b/>
                <w:bCs/>
                <w:color w:val="FFFFFF"/>
              </w:rPr>
              <w:t>Time Since Divergence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02DFB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  <w:b/>
                <w:bCs/>
                <w:color w:val="FFFFFF"/>
              </w:rPr>
              <w:t>Interpretation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0AA2F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  <w:b/>
                <w:bCs/>
                <w:color w:val="FFFFFF"/>
              </w:rPr>
              <w:t>Classification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DA929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  <w:b/>
                <w:bCs/>
                <w:color w:val="FFFFFF"/>
              </w:rPr>
              <w:t>Confidence</w:t>
            </w:r>
          </w:p>
        </w:tc>
      </w:tr>
      <w:tr w:rsidR="00D519C9" w:rsidRPr="007F19E9" w14:paraId="5A40042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DC551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0–0.001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7B442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&lt;1 week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AF6F6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Nearly identical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0EA93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Same transmission event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3CD83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Very high</w:t>
            </w:r>
          </w:p>
        </w:tc>
      </w:tr>
      <w:tr w:rsidR="00D519C9" w:rsidRPr="007F19E9" w14:paraId="573D2A5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C968C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0.001–0.005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86A26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1–4 weeks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D2638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Closely related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01A33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Linked outbreak cluster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9C090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High</w:t>
            </w:r>
          </w:p>
        </w:tc>
      </w:tr>
      <w:tr w:rsidR="00D519C9" w:rsidRPr="007F19E9" w14:paraId="6F6CF22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DC66F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0.005–0.015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27C12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1–3 months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EA006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Distinct lineage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DC5B9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Separate introduction event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6FEE1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Moderate</w:t>
            </w:r>
          </w:p>
        </w:tc>
      </w:tr>
      <w:tr w:rsidR="00D519C9" w:rsidRPr="007F19E9" w14:paraId="20E7A3E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38C87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lastRenderedPageBreak/>
              <w:t>0.015–0.05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2EB56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3–12 months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B2958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Divergent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DEC6A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Different geographic source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35102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Low–moderate</w:t>
            </w:r>
          </w:p>
        </w:tc>
      </w:tr>
      <w:tr w:rsidR="00D519C9" w:rsidRPr="007F19E9" w14:paraId="47038FE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7973A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&gt;0.05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182C1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&gt;1 year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21B87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Highly divergent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6D5CC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Different strain / serotype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4BF17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Low (ambiguous without tree)</w:t>
            </w:r>
          </w:p>
        </w:tc>
      </w:tr>
    </w:tbl>
    <w:p w14:paraId="6EB358E4" w14:textId="77777777" w:rsidR="00D519C9" w:rsidRPr="007F19E9" w:rsidRDefault="00560644">
      <w:pPr>
        <w:pStyle w:val="Heading2"/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t>6.5 Integration into β</w:t>
      </w:r>
    </w:p>
    <w:p w14:paraId="71661ED5" w14:textId="77777777" w:rsidR="00D519C9" w:rsidRPr="007F19E9" w:rsidRDefault="00560644">
      <w:pPr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t>Indirect marker of variant classification: GD helps identify which variant a sequence belongs to, and known variants have associated Re/transmissibility values. Weight in GVI 0.08–0.12 (lower, as Re is direct).</w:t>
      </w:r>
    </w:p>
    <w:p w14:paraId="75B9C2E4" w14:textId="77777777" w:rsidR="00D519C9" w:rsidRPr="007F19E9" w:rsidRDefault="00560644">
      <w:pPr>
        <w:pStyle w:val="Heading1"/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t>Index 7: Recombination Index (RI)</w:t>
      </w:r>
    </w:p>
    <w:p w14:paraId="7276AC39" w14:textId="77777777" w:rsidR="00D519C9" w:rsidRPr="007F19E9" w:rsidRDefault="00560644">
      <w:pPr>
        <w:pStyle w:val="Heading2"/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t>7.1 Definition</w:t>
      </w:r>
    </w:p>
    <w:p w14:paraId="4DB9E93D" w14:textId="77777777" w:rsidR="00D519C9" w:rsidRPr="007F19E9" w:rsidRDefault="00560644">
      <w:pPr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  <w:b/>
          <w:bCs/>
        </w:rPr>
        <w:t xml:space="preserve">Formal Definition: </w:t>
      </w:r>
      <w:r w:rsidRPr="007F19E9">
        <w:rPr>
          <w:rFonts w:ascii="Times New Roman" w:hAnsi="Times New Roman" w:cs="Times New Roman"/>
        </w:rPr>
        <w:t>RI is the proportion of recombinant sequences detected in a sample, or the rate of recombination events per site per unit time (r/m ratio = recombination/mutation rate).</w:t>
      </w:r>
    </w:p>
    <w:p w14:paraId="70359D9A" w14:textId="77777777" w:rsidR="00D519C9" w:rsidRPr="007F19E9" w:rsidRDefault="00560644">
      <w:pPr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t>Operationally: RI = (number of recombinant isolates) / (total number of isolates) or RI = detected breakpoints per genome.</w:t>
      </w:r>
    </w:p>
    <w:p w14:paraId="53EC11FC" w14:textId="77777777" w:rsidR="00D519C9" w:rsidRPr="007F19E9" w:rsidRDefault="00560644">
      <w:pPr>
        <w:pStyle w:val="Heading2"/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t>7.2 Biological Interpretation</w:t>
      </w:r>
    </w:p>
    <w:p w14:paraId="227ABFE6" w14:textId="77777777" w:rsidR="00D519C9" w:rsidRPr="007F19E9" w:rsidRDefault="00560644">
      <w:pPr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  <w:b/>
          <w:bCs/>
        </w:rPr>
        <w:t xml:space="preserve">Sexual or Genomic Mixing: </w:t>
      </w:r>
      <w:r w:rsidRPr="007F19E9">
        <w:rPr>
          <w:rFonts w:ascii="Times New Roman" w:hAnsi="Times New Roman" w:cs="Times New Roman"/>
        </w:rPr>
        <w:t>Recombination occurs when two divergent viral genomes co-infect a cell (in RNA viruses via template switching during replication; in DNA viruses via homologous recombination). High RI indicates co-circulation of distinct lineages and frequent co-infections.</w:t>
      </w:r>
    </w:p>
    <w:p w14:paraId="5A209BBE" w14:textId="77777777" w:rsidR="00D519C9" w:rsidRPr="007F19E9" w:rsidRDefault="00560644">
      <w:pPr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t>Evolutionary Consequence: Recombination breaks linkage disequilibrium, allowing beneficial mutations to recombine with other adaptive changes on different genetic backgrounds. This accelerates evolution faster than mutation alone.</w:t>
      </w:r>
    </w:p>
    <w:p w14:paraId="3003A2EA" w14:textId="77777777" w:rsidR="00D519C9" w:rsidRPr="007F19E9" w:rsidRDefault="00560644">
      <w:pPr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t>Phylogenetic Complexity: Recombinant genomes have mosaic ancestry and do not fit simple phylogenetic trees. High RI violates assumptions of phylodynamic inference (birth-death models assume vertical transmission only).</w:t>
      </w:r>
    </w:p>
    <w:p w14:paraId="168DAB26" w14:textId="77777777" w:rsidR="00D519C9" w:rsidRPr="007F19E9" w:rsidRDefault="00560644">
      <w:pPr>
        <w:pStyle w:val="Heading2"/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t>7.3 Epidemiological Use Cases</w:t>
      </w:r>
    </w:p>
    <w:tbl>
      <w:tblPr>
        <w:tblW w:w="82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2"/>
        <w:gridCol w:w="2886"/>
        <w:gridCol w:w="3096"/>
      </w:tblGrid>
      <w:tr w:rsidR="00DC6B6B" w:rsidRPr="007F19E9" w14:paraId="3EA4E8FE" w14:textId="77777777" w:rsidTr="00DC6B6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B96DD" w14:textId="77777777" w:rsidR="00DC6B6B" w:rsidRPr="007F19E9" w:rsidRDefault="00DC6B6B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  <w:b/>
                <w:bCs/>
                <w:color w:val="FFFFFF"/>
              </w:rPr>
              <w:t>Use Case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76FC2" w14:textId="77777777" w:rsidR="00DC6B6B" w:rsidRPr="007F19E9" w:rsidRDefault="00DC6B6B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  <w:b/>
                <w:bCs/>
                <w:color w:val="FFFFFF"/>
              </w:rPr>
              <w:t>Application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7264B" w14:textId="77777777" w:rsidR="00DC6B6B" w:rsidRPr="007F19E9" w:rsidRDefault="00DC6B6B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  <w:b/>
                <w:bCs/>
                <w:color w:val="FFFFFF"/>
              </w:rPr>
              <w:t>Decision Point</w:t>
            </w:r>
          </w:p>
        </w:tc>
      </w:tr>
      <w:tr w:rsidR="00DC6B6B" w:rsidRPr="007F19E9" w14:paraId="3BCC5391" w14:textId="77777777" w:rsidTr="00DC6B6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B1C75" w14:textId="77777777" w:rsidR="00DC6B6B" w:rsidRPr="007F19E9" w:rsidRDefault="00DC6B6B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Phylodynamic validity check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F9996" w14:textId="77777777" w:rsidR="00DC6B6B" w:rsidRPr="007F19E9" w:rsidRDefault="00DC6B6B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RI &gt; 0.1 → recombination significant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3C43E" w14:textId="77777777" w:rsidR="00DC6B6B" w:rsidRPr="007F19E9" w:rsidRDefault="00DC6B6B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Exclude or partition sequences; rerun analysis</w:t>
            </w:r>
          </w:p>
        </w:tc>
      </w:tr>
      <w:tr w:rsidR="00DC6B6B" w:rsidRPr="007F19E9" w14:paraId="73A00601" w14:textId="77777777" w:rsidTr="00DC6B6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EC1BC" w14:textId="77777777" w:rsidR="00DC6B6B" w:rsidRPr="007F19E9" w:rsidRDefault="00DC6B6B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Co-circulation assessment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B1DE4" w14:textId="77777777" w:rsidR="00DC6B6B" w:rsidRPr="007F19E9" w:rsidRDefault="00DC6B6B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RI &gt; 0.05 + temporal overlap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69072" w14:textId="77777777" w:rsidR="00DC6B6B" w:rsidRPr="007F19E9" w:rsidRDefault="00DC6B6B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Expect rapid new chimeric variants</w:t>
            </w:r>
          </w:p>
        </w:tc>
      </w:tr>
      <w:tr w:rsidR="00DC6B6B" w:rsidRPr="007F19E9" w14:paraId="34C52FA2" w14:textId="77777777" w:rsidTr="00DC6B6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35517" w14:textId="77777777" w:rsidR="00DC6B6B" w:rsidRPr="007F19E9" w:rsidRDefault="00DC6B6B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Reassortment-prone pathogens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42F98" w14:textId="77777777" w:rsidR="00DC6B6B" w:rsidRPr="007F19E9" w:rsidRDefault="00DC6B6B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High RI = high reassortment risk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2A4B3" w14:textId="77777777" w:rsidR="00DC6B6B" w:rsidRPr="007F19E9" w:rsidRDefault="00DC6B6B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Increase virological surveillance; update vaccines</w:t>
            </w:r>
          </w:p>
        </w:tc>
      </w:tr>
      <w:tr w:rsidR="00DC6B6B" w:rsidRPr="007F19E9" w14:paraId="78B61711" w14:textId="77777777" w:rsidTr="00DC6B6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13412" w14:textId="77777777" w:rsidR="00DC6B6B" w:rsidRPr="007F19E9" w:rsidRDefault="00DC6B6B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Novel variant origin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73E54" w14:textId="77777777" w:rsidR="00DC6B6B" w:rsidRPr="007F19E9" w:rsidRDefault="00DC6B6B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Breakpoints + parental sequences identified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EE14C" w14:textId="77777777" w:rsidR="00DC6B6B" w:rsidRPr="007F19E9" w:rsidRDefault="00DC6B6B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Trace back to source lineages; assess risk</w:t>
            </w:r>
          </w:p>
        </w:tc>
      </w:tr>
    </w:tbl>
    <w:p w14:paraId="7C9FEE0B" w14:textId="77777777" w:rsidR="00D519C9" w:rsidRPr="007F19E9" w:rsidRDefault="00560644">
      <w:pPr>
        <w:pStyle w:val="Heading2"/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t>7.4 Reference Values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"/>
        <w:gridCol w:w="2107"/>
        <w:gridCol w:w="1971"/>
        <w:gridCol w:w="2433"/>
        <w:gridCol w:w="1899"/>
      </w:tblGrid>
      <w:tr w:rsidR="00D519C9" w:rsidRPr="007F19E9" w14:paraId="15AC15D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C1A67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  <w:b/>
                <w:bCs/>
                <w:color w:val="FFFFFF"/>
              </w:rPr>
              <w:lastRenderedPageBreak/>
              <w:t>RI Range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DA561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  <w:b/>
                <w:bCs/>
                <w:color w:val="FFFFFF"/>
              </w:rPr>
              <w:t>Pathogen Context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E4A6A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  <w:b/>
                <w:bCs/>
                <w:color w:val="FFFFFF"/>
              </w:rPr>
              <w:t>Interpretation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9859F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  <w:b/>
                <w:bCs/>
                <w:color w:val="FFFFFF"/>
              </w:rPr>
              <w:t>Control Implication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7F8AF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  <w:b/>
                <w:bCs/>
                <w:color w:val="FFFFFF"/>
              </w:rPr>
              <w:t>Example</w:t>
            </w:r>
          </w:p>
        </w:tc>
      </w:tr>
      <w:tr w:rsidR="00D519C9" w:rsidRPr="007F19E9" w14:paraId="3BA3391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E786E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&lt;0.02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EC497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Single-lineage outbreak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8AA46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No/minimal recombination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91BF8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Simple phylogeny; standard analysis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2B915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Early Ebola outbreaks</w:t>
            </w:r>
          </w:p>
        </w:tc>
      </w:tr>
      <w:tr w:rsidR="00D519C9" w:rsidRPr="007F19E9" w14:paraId="4E0F81B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2E93E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0.02–0.10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AFC50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Endemic multi-type circulation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E98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Occasional recombinants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5756B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Exclude from phylodynamic analysis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64631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Dengue endemic countries</w:t>
            </w:r>
          </w:p>
        </w:tc>
      </w:tr>
      <w:tr w:rsidR="00D519C9" w:rsidRPr="007F19E9" w14:paraId="47EB61B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13BDA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0.10–0.30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1EE45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High co-circulation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E78E7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Common recombination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0F35B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Partition analysis; expect chimeric variants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4E829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Influenza (co-infection moderate)</w:t>
            </w:r>
          </w:p>
        </w:tc>
      </w:tr>
      <w:tr w:rsidR="00D519C9" w:rsidRPr="007F19E9" w14:paraId="001FE83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03D6A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&gt;0.30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0CB20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Reassortment-prone / segmented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D4644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Very high mixing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D8F06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Annual strain emergence expected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4975E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Influenza pandemic strains</w:t>
            </w:r>
          </w:p>
        </w:tc>
      </w:tr>
    </w:tbl>
    <w:p w14:paraId="631C2B25" w14:textId="77777777" w:rsidR="00D519C9" w:rsidRPr="007F19E9" w:rsidRDefault="00560644">
      <w:pPr>
        <w:pStyle w:val="Heading2"/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t>7.5 Integration into β</w:t>
      </w:r>
    </w:p>
    <w:p w14:paraId="4AB007E1" w14:textId="77777777" w:rsidR="00D519C9" w:rsidRPr="007F19E9" w:rsidRDefault="00560644">
      <w:pPr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t>High RI amplifies transmissibility risk: Recombinants can combine high-transmission Spike with escape mutations elsewhere. Weight in GVI typically 0.02–0.05 (lower, as rare in most pathogens; higher for influenza, bunyaviruses).</w:t>
      </w:r>
    </w:p>
    <w:p w14:paraId="5E2B1801" w14:textId="77777777" w:rsidR="00D519C9" w:rsidRPr="007F19E9" w:rsidRDefault="00560644">
      <w:pPr>
        <w:pStyle w:val="Heading1"/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t>Index 8: Codon Adaptation Index (CAI) &amp; GC Content Deviation</w:t>
      </w:r>
    </w:p>
    <w:p w14:paraId="3644D354" w14:textId="77777777" w:rsidR="00D519C9" w:rsidRPr="007F19E9" w:rsidRDefault="00560644">
      <w:pPr>
        <w:pStyle w:val="Heading2"/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t>8.1 Definitions</w:t>
      </w:r>
    </w:p>
    <w:p w14:paraId="096C05C0" w14:textId="77777777" w:rsidR="00D519C9" w:rsidRPr="007F19E9" w:rsidRDefault="00560644">
      <w:pPr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  <w:b/>
          <w:bCs/>
        </w:rPr>
        <w:t xml:space="preserve">Codon Adaptation Index (CAI): </w:t>
      </w:r>
      <w:r w:rsidRPr="007F19E9">
        <w:rPr>
          <w:rFonts w:ascii="Times New Roman" w:hAnsi="Times New Roman" w:cs="Times New Roman"/>
        </w:rPr>
        <w:t>A measure of how frequently each codon in a gene is used relative to the expected frequency in a reference codon usage table (e.g., host organism). Ranges 0–1; higher = more optimization.</w:t>
      </w:r>
    </w:p>
    <w:p w14:paraId="10254E20" w14:textId="77777777" w:rsidR="00D519C9" w:rsidRPr="007F19E9" w:rsidRDefault="00560644">
      <w:pPr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t>Calculation: CAI = (geometric mean of codon adaptation values) / (maximum possible geometric mean). Weights codons by their relative frequency in highly expressed host genes.</w:t>
      </w:r>
    </w:p>
    <w:p w14:paraId="0232DE05" w14:textId="77777777" w:rsidR="00D519C9" w:rsidRPr="007F19E9" w:rsidRDefault="00560644">
      <w:pPr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  <w:b/>
          <w:bCs/>
        </w:rPr>
        <w:t xml:space="preserve">GC Content Deviation: </w:t>
      </w:r>
      <w:r w:rsidRPr="007F19E9">
        <w:rPr>
          <w:rFonts w:ascii="Times New Roman" w:hAnsi="Times New Roman" w:cs="Times New Roman"/>
        </w:rPr>
        <w:t>The absolute difference between observed GC% (fraction of G+C nucleotides) in viral genome and the GC% of reference (host or species-matched genotype).</w:t>
      </w:r>
    </w:p>
    <w:p w14:paraId="747C28B9" w14:textId="77777777" w:rsidR="00D519C9" w:rsidRPr="007F19E9" w:rsidRDefault="00560644">
      <w:pPr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t xml:space="preserve">Calculation: </w:t>
      </w:r>
      <w:proofErr w:type="spellStart"/>
      <w:r w:rsidRPr="007F19E9">
        <w:rPr>
          <w:rFonts w:ascii="Times New Roman" w:hAnsi="Times New Roman" w:cs="Times New Roman"/>
        </w:rPr>
        <w:t>GC_Deviation</w:t>
      </w:r>
      <w:proofErr w:type="spellEnd"/>
      <w:r w:rsidRPr="007F19E9">
        <w:rPr>
          <w:rFonts w:ascii="Times New Roman" w:hAnsi="Times New Roman" w:cs="Times New Roman"/>
        </w:rPr>
        <w:t xml:space="preserve"> = |</w:t>
      </w:r>
      <w:proofErr w:type="spellStart"/>
      <w:r w:rsidRPr="007F19E9">
        <w:rPr>
          <w:rFonts w:ascii="Times New Roman" w:hAnsi="Times New Roman" w:cs="Times New Roman"/>
        </w:rPr>
        <w:t>GC%_observed</w:t>
      </w:r>
      <w:proofErr w:type="spellEnd"/>
      <w:r w:rsidRPr="007F19E9">
        <w:rPr>
          <w:rFonts w:ascii="Times New Roman" w:hAnsi="Times New Roman" w:cs="Times New Roman"/>
        </w:rPr>
        <w:t xml:space="preserve"> − </w:t>
      </w:r>
      <w:proofErr w:type="spellStart"/>
      <w:r w:rsidRPr="007F19E9">
        <w:rPr>
          <w:rFonts w:ascii="Times New Roman" w:hAnsi="Times New Roman" w:cs="Times New Roman"/>
        </w:rPr>
        <w:t>GC%_reference</w:t>
      </w:r>
      <w:proofErr w:type="spellEnd"/>
      <w:r w:rsidRPr="007F19E9">
        <w:rPr>
          <w:rFonts w:ascii="Times New Roman" w:hAnsi="Times New Roman" w:cs="Times New Roman"/>
        </w:rPr>
        <w:t xml:space="preserve">|. Range 0–50 (percent); </w:t>
      </w:r>
      <w:proofErr w:type="gramStart"/>
      <w:r w:rsidRPr="007F19E9">
        <w:rPr>
          <w:rFonts w:ascii="Times New Roman" w:hAnsi="Times New Roman" w:cs="Times New Roman"/>
        </w:rPr>
        <w:t>typically</w:t>
      </w:r>
      <w:proofErr w:type="gramEnd"/>
      <w:r w:rsidRPr="007F19E9">
        <w:rPr>
          <w:rFonts w:ascii="Times New Roman" w:hAnsi="Times New Roman" w:cs="Times New Roman"/>
        </w:rPr>
        <w:t xml:space="preserve"> &lt;5 for native sequences.</w:t>
      </w:r>
    </w:p>
    <w:p w14:paraId="5A334947" w14:textId="77777777" w:rsidR="00D519C9" w:rsidRPr="007F19E9" w:rsidRDefault="00560644">
      <w:pPr>
        <w:pStyle w:val="Heading2"/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t>8.2 Biological Interpretation</w:t>
      </w:r>
    </w:p>
    <w:p w14:paraId="7C8F1450" w14:textId="77777777" w:rsidR="00D519C9" w:rsidRPr="007F19E9" w:rsidRDefault="00560644">
      <w:pPr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  <w:b/>
          <w:bCs/>
        </w:rPr>
        <w:t xml:space="preserve">Codon Adaptation (CAI): </w:t>
      </w:r>
      <w:r w:rsidRPr="007F19E9">
        <w:rPr>
          <w:rFonts w:ascii="Times New Roman" w:hAnsi="Times New Roman" w:cs="Times New Roman"/>
        </w:rPr>
        <w:t>Translational efficiency. Host ribosomes are optimized to decode abundant host codons; pathogens with high CAI benefit from faster, more accurate translation, leading to higher protein yields and better fitness in that host.</w:t>
      </w:r>
    </w:p>
    <w:p w14:paraId="180B3401" w14:textId="77777777" w:rsidR="00D519C9" w:rsidRPr="007F19E9" w:rsidRDefault="0056064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t>CAI &gt; 0.80: Highly adapted; expected in endemic pathogens or laboratory-adapted strains.</w:t>
      </w:r>
    </w:p>
    <w:p w14:paraId="00D6D66B" w14:textId="77777777" w:rsidR="00D519C9" w:rsidRPr="007F19E9" w:rsidRDefault="0056064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t>CAI 0.60–0.80: Moderately adapted; suggests partial host adjustment or older divergence.</w:t>
      </w:r>
    </w:p>
    <w:p w14:paraId="4CEC885C" w14:textId="77777777" w:rsidR="00D519C9" w:rsidRPr="007F19E9" w:rsidRDefault="0056064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t>CAI &lt; 0.60: Poor adaptation; typical of recent zoonotic spillovers or arthropod-acquired viruses.</w:t>
      </w:r>
    </w:p>
    <w:p w14:paraId="293801D3" w14:textId="77777777" w:rsidR="00D519C9" w:rsidRPr="007F19E9" w:rsidRDefault="00560644">
      <w:pPr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  <w:b/>
          <w:bCs/>
        </w:rPr>
        <w:t xml:space="preserve">GC Content (Genomic Signature): </w:t>
      </w:r>
      <w:r w:rsidRPr="007F19E9">
        <w:rPr>
          <w:rFonts w:ascii="Times New Roman" w:hAnsi="Times New Roman" w:cs="Times New Roman"/>
        </w:rPr>
        <w:t>Pathogen GC% is evolutionarily constrained by replication fidelity, host immune recognition, and secondary structure formation.</w:t>
      </w:r>
    </w:p>
    <w:p w14:paraId="64AAB6C5" w14:textId="77777777" w:rsidR="00D519C9" w:rsidRPr="007F19E9" w:rsidRDefault="0056064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7F19E9">
        <w:rPr>
          <w:rFonts w:ascii="Times New Roman" w:hAnsi="Times New Roman" w:cs="Times New Roman"/>
        </w:rPr>
        <w:t>GC_Deviation</w:t>
      </w:r>
      <w:proofErr w:type="spellEnd"/>
      <w:r w:rsidRPr="007F19E9">
        <w:rPr>
          <w:rFonts w:ascii="Times New Roman" w:hAnsi="Times New Roman" w:cs="Times New Roman"/>
        </w:rPr>
        <w:t xml:space="preserve"> &lt; 1%: Native sequence; no evidence of horizontal gene transfer (HGT) or recent recombination with divergent source.</w:t>
      </w:r>
    </w:p>
    <w:p w14:paraId="04328979" w14:textId="77777777" w:rsidR="00D519C9" w:rsidRPr="007F19E9" w:rsidRDefault="0056064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7F19E9">
        <w:rPr>
          <w:rFonts w:ascii="Times New Roman" w:hAnsi="Times New Roman" w:cs="Times New Roman"/>
        </w:rPr>
        <w:t>GC_Deviation</w:t>
      </w:r>
      <w:proofErr w:type="spellEnd"/>
      <w:r w:rsidRPr="007F19E9">
        <w:rPr>
          <w:rFonts w:ascii="Times New Roman" w:hAnsi="Times New Roman" w:cs="Times New Roman"/>
        </w:rPr>
        <w:t xml:space="preserve"> 1–3%: Minor compositional drift; possible reassortment or recombination with related strain.</w:t>
      </w:r>
    </w:p>
    <w:p w14:paraId="21D09BA2" w14:textId="77777777" w:rsidR="00D519C9" w:rsidRPr="007F19E9" w:rsidRDefault="0056064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7F19E9">
        <w:rPr>
          <w:rFonts w:ascii="Times New Roman" w:hAnsi="Times New Roman" w:cs="Times New Roman"/>
        </w:rPr>
        <w:t>GC_Deviation</w:t>
      </w:r>
      <w:proofErr w:type="spellEnd"/>
      <w:r w:rsidRPr="007F19E9">
        <w:rPr>
          <w:rFonts w:ascii="Times New Roman" w:hAnsi="Times New Roman" w:cs="Times New Roman"/>
        </w:rPr>
        <w:t xml:space="preserve"> &gt; 3%: Significant anomaly; suspect HGT, foreign DNA insertion, or extreme adaptation to new host environment.</w:t>
      </w:r>
    </w:p>
    <w:p w14:paraId="5AEF63ED" w14:textId="77777777" w:rsidR="00D519C9" w:rsidRPr="007F19E9" w:rsidRDefault="00560644">
      <w:pPr>
        <w:pStyle w:val="Heading2"/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lastRenderedPageBreak/>
        <w:t>8.3 Epidemiological Use Cases</w:t>
      </w:r>
    </w:p>
    <w:tbl>
      <w:tblPr>
        <w:tblW w:w="82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5"/>
        <w:gridCol w:w="3016"/>
        <w:gridCol w:w="2863"/>
      </w:tblGrid>
      <w:tr w:rsidR="00DC6B6B" w:rsidRPr="007F19E9" w14:paraId="57A34F8F" w14:textId="77777777" w:rsidTr="00DC6B6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95F47" w14:textId="77777777" w:rsidR="00DC6B6B" w:rsidRPr="007F19E9" w:rsidRDefault="00DC6B6B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  <w:b/>
                <w:bCs/>
                <w:color w:val="FFFFFF"/>
              </w:rPr>
              <w:t>Use Case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8FB04" w14:textId="77777777" w:rsidR="00DC6B6B" w:rsidRPr="007F19E9" w:rsidRDefault="00DC6B6B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  <w:b/>
                <w:bCs/>
                <w:color w:val="FFFFFF"/>
              </w:rPr>
              <w:t>Application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2823A" w14:textId="77777777" w:rsidR="00DC6B6B" w:rsidRPr="007F19E9" w:rsidRDefault="00DC6B6B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  <w:b/>
                <w:bCs/>
                <w:color w:val="FFFFFF"/>
              </w:rPr>
              <w:t>Decision Point</w:t>
            </w:r>
          </w:p>
        </w:tc>
      </w:tr>
      <w:tr w:rsidR="00DC6B6B" w:rsidRPr="007F19E9" w14:paraId="3F0671A4" w14:textId="77777777" w:rsidTr="00DC6B6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FF3C9" w14:textId="77777777" w:rsidR="00DC6B6B" w:rsidRPr="007F19E9" w:rsidRDefault="00DC6B6B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Host adaptation trajectory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8251C" w14:textId="77777777" w:rsidR="00DC6B6B" w:rsidRPr="007F19E9" w:rsidRDefault="00DC6B6B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CAI increases over successive cases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47AC4" w14:textId="77777777" w:rsidR="00DC6B6B" w:rsidRPr="007F19E9" w:rsidRDefault="00DC6B6B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Pandemic risk escalation; increase surveillance</w:t>
            </w:r>
          </w:p>
        </w:tc>
      </w:tr>
      <w:tr w:rsidR="00DC6B6B" w:rsidRPr="007F19E9" w14:paraId="5E85CD54" w14:textId="77777777" w:rsidTr="00DC6B6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28282" w14:textId="77777777" w:rsidR="00DC6B6B" w:rsidRPr="007F19E9" w:rsidRDefault="00DC6B6B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Laboratory contamination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59E94" w14:textId="77777777" w:rsidR="00DC6B6B" w:rsidRPr="007F19E9" w:rsidRDefault="00DC6B6B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 xml:space="preserve">CAI &gt;&gt; </w:t>
            </w:r>
            <w:proofErr w:type="gramStart"/>
            <w:r w:rsidRPr="007F19E9">
              <w:rPr>
                <w:rFonts w:ascii="Times New Roman" w:hAnsi="Times New Roman" w:cs="Times New Roman"/>
              </w:rPr>
              <w:t>wild-type</w:t>
            </w:r>
            <w:proofErr w:type="gramEnd"/>
            <w:r w:rsidRPr="007F19E9">
              <w:rPr>
                <w:rFonts w:ascii="Times New Roman" w:hAnsi="Times New Roman" w:cs="Times New Roman"/>
              </w:rPr>
              <w:t>; GC stable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15639" w14:textId="77777777" w:rsidR="00DC6B6B" w:rsidRPr="007F19E9" w:rsidRDefault="00DC6B6B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Exclude from epidemiological analysis</w:t>
            </w:r>
          </w:p>
        </w:tc>
      </w:tr>
      <w:tr w:rsidR="00DC6B6B" w:rsidRPr="007F19E9" w14:paraId="16AD5719" w14:textId="77777777" w:rsidTr="00DC6B6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2FCD6" w14:textId="77777777" w:rsidR="00DC6B6B" w:rsidRPr="007F19E9" w:rsidRDefault="00DC6B6B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Horizontal gene transfer detection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A781B" w14:textId="77777777" w:rsidR="00DC6B6B" w:rsidRPr="007F19E9" w:rsidRDefault="00DC6B6B">
            <w:pPr>
              <w:rPr>
                <w:rFonts w:ascii="Times New Roman" w:hAnsi="Times New Roman" w:cs="Times New Roman"/>
              </w:rPr>
            </w:pPr>
            <w:proofErr w:type="spellStart"/>
            <w:r w:rsidRPr="007F19E9">
              <w:rPr>
                <w:rFonts w:ascii="Times New Roman" w:hAnsi="Times New Roman" w:cs="Times New Roman"/>
              </w:rPr>
              <w:t>GC_Deviation</w:t>
            </w:r>
            <w:proofErr w:type="spellEnd"/>
            <w:r w:rsidRPr="007F19E9">
              <w:rPr>
                <w:rFonts w:ascii="Times New Roman" w:hAnsi="Times New Roman" w:cs="Times New Roman"/>
              </w:rPr>
              <w:t xml:space="preserve"> &gt; 3% in specific region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E7FE5" w14:textId="77777777" w:rsidR="00DC6B6B" w:rsidRPr="007F19E9" w:rsidRDefault="00DC6B6B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Investigate genomic region; assess stability</w:t>
            </w:r>
          </w:p>
        </w:tc>
      </w:tr>
      <w:tr w:rsidR="00DC6B6B" w:rsidRPr="007F19E9" w14:paraId="053C06E2" w14:textId="77777777" w:rsidTr="00DC6B6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32AEF" w14:textId="77777777" w:rsidR="00DC6B6B" w:rsidRPr="007F19E9" w:rsidRDefault="00DC6B6B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Cross-species spillover identification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2C5EE" w14:textId="77777777" w:rsidR="00DC6B6B" w:rsidRPr="007F19E9" w:rsidRDefault="00DC6B6B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Low CAI for human reference; high for original host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FEA4A" w14:textId="77777777" w:rsidR="00DC6B6B" w:rsidRPr="007F19E9" w:rsidRDefault="00DC6B6B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Risk stratification; enhance monitoring</w:t>
            </w:r>
          </w:p>
        </w:tc>
      </w:tr>
    </w:tbl>
    <w:p w14:paraId="6AE0B217" w14:textId="77777777" w:rsidR="00D519C9" w:rsidRPr="007F19E9" w:rsidRDefault="00560644">
      <w:pPr>
        <w:pStyle w:val="Heading2"/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t>8.4 Reference Values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9"/>
        <w:gridCol w:w="1034"/>
        <w:gridCol w:w="1352"/>
        <w:gridCol w:w="2936"/>
        <w:gridCol w:w="2279"/>
      </w:tblGrid>
      <w:tr w:rsidR="00D519C9" w:rsidRPr="007F19E9" w14:paraId="0E89646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CF9B7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  <w:b/>
                <w:bCs/>
                <w:color w:val="FFFFFF"/>
              </w:rPr>
              <w:t>Metric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4C7E8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  <w:b/>
                <w:bCs/>
                <w:color w:val="FFFFFF"/>
              </w:rPr>
              <w:t>Value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5F4BD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  <w:b/>
                <w:bCs/>
                <w:color w:val="FFFFFF"/>
              </w:rPr>
              <w:t>Status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AA80A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  <w:b/>
                <w:bCs/>
                <w:color w:val="FFFFFF"/>
              </w:rPr>
              <w:t>Interpretation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D5602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  <w:b/>
                <w:bCs/>
                <w:color w:val="FFFFFF"/>
              </w:rPr>
              <w:t>Evolutionary Age</w:t>
            </w:r>
          </w:p>
        </w:tc>
      </w:tr>
      <w:tr w:rsidR="00D519C9" w:rsidRPr="007F19E9" w14:paraId="0E1F2A1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E209B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CAI (human host)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5BBF1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&gt;0.80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7DA07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Optimized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41157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Long-term human adaptation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A056E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Years–decades</w:t>
            </w:r>
          </w:p>
        </w:tc>
      </w:tr>
      <w:tr w:rsidR="00D519C9" w:rsidRPr="007F19E9" w14:paraId="0876691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ED274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CAI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9005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0.70–0.80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DEE87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Adapted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47B4C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Established circulation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AECAD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Months–years</w:t>
            </w:r>
          </w:p>
        </w:tc>
      </w:tr>
      <w:tr w:rsidR="00D519C9" w:rsidRPr="007F19E9" w14:paraId="014C169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957D7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CAI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BA275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0.50–0.70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423B2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Intermediate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A1831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Emerging; partial adaptation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ECFF1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Weeks–months</w:t>
            </w:r>
          </w:p>
        </w:tc>
      </w:tr>
      <w:tr w:rsidR="00D519C9" w:rsidRPr="007F19E9" w14:paraId="5E249C2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C3224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CAI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C7641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&lt;0.50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1857D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proofErr w:type="spellStart"/>
            <w:r w:rsidRPr="007F19E9">
              <w:rPr>
                <w:rFonts w:ascii="Times New Roman" w:hAnsi="Times New Roman" w:cs="Times New Roman"/>
              </w:rPr>
              <w:t>Unadapted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AD936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Recent spillover / zoonotic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BCD6C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Days–weeks</w:t>
            </w:r>
          </w:p>
        </w:tc>
      </w:tr>
      <w:tr w:rsidR="00D519C9" w:rsidRPr="007F19E9" w14:paraId="578DA4C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737A5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proofErr w:type="spellStart"/>
            <w:r w:rsidRPr="007F19E9">
              <w:rPr>
                <w:rFonts w:ascii="Times New Roman" w:hAnsi="Times New Roman" w:cs="Times New Roman"/>
              </w:rPr>
              <w:t>GC_Deviation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E869E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&lt;1%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F0E6D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Native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939D3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No HGT signal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C1F69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Stable, expected</w:t>
            </w:r>
          </w:p>
        </w:tc>
      </w:tr>
      <w:tr w:rsidR="00D519C9" w:rsidRPr="007F19E9" w14:paraId="5E9563A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6875C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proofErr w:type="spellStart"/>
            <w:r w:rsidRPr="007F19E9">
              <w:rPr>
                <w:rFonts w:ascii="Times New Roman" w:hAnsi="Times New Roman" w:cs="Times New Roman"/>
              </w:rPr>
              <w:t>GC_Deviation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3BFF1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1–3%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77392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Minor drift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9548D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Minor recombination / reassortment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D54A7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Possible but not recent</w:t>
            </w:r>
          </w:p>
        </w:tc>
      </w:tr>
      <w:tr w:rsidR="00D519C9" w:rsidRPr="007F19E9" w14:paraId="4FB9373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E0253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proofErr w:type="spellStart"/>
            <w:r w:rsidRPr="007F19E9">
              <w:rPr>
                <w:rFonts w:ascii="Times New Roman" w:hAnsi="Times New Roman" w:cs="Times New Roman"/>
              </w:rPr>
              <w:t>GC_Deviation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BE426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&gt;3%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C4FE9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Anomaly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269C6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HGT suspected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09962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Recent foreign acquisition</w:t>
            </w:r>
          </w:p>
        </w:tc>
      </w:tr>
    </w:tbl>
    <w:p w14:paraId="0F891BEB" w14:textId="77777777" w:rsidR="00D519C9" w:rsidRPr="007F19E9" w:rsidRDefault="00560644">
      <w:pPr>
        <w:pStyle w:val="Heading2"/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t>8.5 Integration into β</w:t>
      </w:r>
    </w:p>
    <w:p w14:paraId="1A00CA69" w14:textId="77777777" w:rsidR="00D519C9" w:rsidRPr="007F19E9" w:rsidRDefault="00560644">
      <w:pPr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t>Moderate indirect effect: High CAI → more efficient protein synthesis → higher viral load potential → increased transmission. CAI &amp; GC typically weighted together (0.03–0.08 combined) due to slower adaptation timescale.</w:t>
      </w:r>
    </w:p>
    <w:p w14:paraId="2B61CEED" w14:textId="77777777" w:rsidR="00D519C9" w:rsidRPr="007F19E9" w:rsidRDefault="00560644">
      <w:pPr>
        <w:pStyle w:val="Heading1"/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t>GVI 2.0 Composite Index: Synthesis &amp; Weights</w:t>
      </w:r>
    </w:p>
    <w:p w14:paraId="624C1716" w14:textId="77777777" w:rsidR="00D519C9" w:rsidRPr="007F19E9" w:rsidRDefault="00560644">
      <w:pPr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t>The GVI integrates all 8 indices into a single scalar value that adjusts the transmission rate (β) in epidemiological models:</w:t>
      </w:r>
    </w:p>
    <w:p w14:paraId="1C1EA1A7" w14:textId="77777777" w:rsidR="00D519C9" w:rsidRPr="0057546F" w:rsidRDefault="00560644" w:rsidP="0057546F">
      <w:pPr>
        <w:jc w:val="center"/>
        <w:rPr>
          <w:rFonts w:ascii="Times New Roman" w:hAnsi="Times New Roman" w:cs="Times New Roman"/>
          <w:sz w:val="28"/>
          <w:szCs w:val="28"/>
        </w:rPr>
      </w:pPr>
      <w:r w:rsidRPr="0057546F">
        <w:rPr>
          <w:rFonts w:ascii="Times New Roman" w:hAnsi="Times New Roman" w:cs="Times New Roman"/>
          <w:b/>
          <w:bCs/>
          <w:sz w:val="28"/>
          <w:szCs w:val="28"/>
        </w:rPr>
        <w:t xml:space="preserve">GVI(t) = </w:t>
      </w:r>
      <w:r w:rsidRPr="0057546F">
        <w:rPr>
          <w:rFonts w:ascii="Times New Roman" w:hAnsi="Times New Roman" w:cs="Times New Roman"/>
          <w:sz w:val="28"/>
          <w:szCs w:val="28"/>
        </w:rPr>
        <w:t>w₁·μ + w₂·Re + w₃·π + w₄·MB + w₅·</w:t>
      </w:r>
      <w:proofErr w:type="spellStart"/>
      <w:r w:rsidRPr="0057546F">
        <w:rPr>
          <w:rFonts w:ascii="Times New Roman" w:hAnsi="Times New Roman" w:cs="Times New Roman"/>
          <w:sz w:val="28"/>
          <w:szCs w:val="28"/>
        </w:rPr>
        <w:t>dN</w:t>
      </w:r>
      <w:proofErr w:type="spellEnd"/>
      <w:r w:rsidRPr="0057546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7546F">
        <w:rPr>
          <w:rFonts w:ascii="Times New Roman" w:hAnsi="Times New Roman" w:cs="Times New Roman"/>
          <w:sz w:val="28"/>
          <w:szCs w:val="28"/>
        </w:rPr>
        <w:t>dS</w:t>
      </w:r>
      <w:proofErr w:type="spellEnd"/>
      <w:r w:rsidRPr="0057546F">
        <w:rPr>
          <w:rFonts w:ascii="Times New Roman" w:hAnsi="Times New Roman" w:cs="Times New Roman"/>
          <w:sz w:val="28"/>
          <w:szCs w:val="28"/>
        </w:rPr>
        <w:t xml:space="preserve"> + w₆·GD + w₇·CAI + w₈·RI</w:t>
      </w:r>
    </w:p>
    <w:p w14:paraId="5E2C4468" w14:textId="77777777" w:rsidR="00D519C9" w:rsidRPr="007F19E9" w:rsidRDefault="00560644">
      <w:pPr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t>where each parameter is scaled 0–1 and weights (</w:t>
      </w:r>
      <w:proofErr w:type="spellStart"/>
      <w:r w:rsidRPr="007F19E9">
        <w:rPr>
          <w:rFonts w:ascii="Times New Roman" w:hAnsi="Times New Roman" w:cs="Times New Roman"/>
        </w:rPr>
        <w:t>Σw</w:t>
      </w:r>
      <w:proofErr w:type="spellEnd"/>
      <w:r w:rsidRPr="007F19E9">
        <w:rPr>
          <w:rFonts w:ascii="Times New Roman" w:hAnsi="Times New Roman" w:cs="Times New Roman"/>
        </w:rPr>
        <w:t>ᵢ</w:t>
      </w:r>
      <w:r w:rsidRPr="007F19E9">
        <w:rPr>
          <w:rFonts w:ascii="Times New Roman" w:hAnsi="Times New Roman" w:cs="Times New Roman"/>
        </w:rPr>
        <w:t xml:space="preserve"> = 1) reflect relative importance: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9"/>
        <w:gridCol w:w="1074"/>
        <w:gridCol w:w="1802"/>
        <w:gridCol w:w="1753"/>
        <w:gridCol w:w="1850"/>
        <w:gridCol w:w="1992"/>
      </w:tblGrid>
      <w:tr w:rsidR="00D519C9" w:rsidRPr="007F19E9" w14:paraId="1DEBADF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92139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  <w:b/>
                <w:bCs/>
                <w:color w:val="FFFFFF"/>
              </w:rPr>
              <w:t>Index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C6093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  <w:b/>
                <w:bCs/>
                <w:color w:val="FFFFFF"/>
              </w:rPr>
              <w:t>w (typical)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1AB37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  <w:b/>
                <w:bCs/>
                <w:color w:val="FFFFFF"/>
              </w:rPr>
              <w:t>Mechanistic Role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21F37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  <w:b/>
                <w:bCs/>
                <w:color w:val="FFFFFF"/>
              </w:rPr>
              <w:t>Biological Domain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470B2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  <w:b/>
                <w:bCs/>
                <w:color w:val="FFFFFF"/>
              </w:rPr>
              <w:t>Temporal Scale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45634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  <w:b/>
                <w:bCs/>
                <w:color w:val="FFFFFF"/>
              </w:rPr>
              <w:t>Use Priority</w:t>
            </w:r>
          </w:p>
        </w:tc>
      </w:tr>
      <w:tr w:rsidR="00D519C9" w:rsidRPr="007F19E9" w14:paraId="0549A92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E4CA6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lastRenderedPageBreak/>
              <w:t>μ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F6DAD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0.12–0.15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F3294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Escape kinetics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44276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Evolutionary rate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69BE2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Months–years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7000D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High (long-term strategy)</w:t>
            </w:r>
          </w:p>
        </w:tc>
      </w:tr>
      <w:tr w:rsidR="00D519C9" w:rsidRPr="007F19E9" w14:paraId="3727E49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9DF27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2D3A8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0.25–0.35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E8A81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Direct transmissibility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452BA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Population dynamics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67792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Weeks (real-time)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5F940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Very high (immediate response)</w:t>
            </w:r>
          </w:p>
        </w:tc>
      </w:tr>
      <w:tr w:rsidR="00D519C9" w:rsidRPr="007F19E9" w14:paraId="0D7DA3D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9549E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π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FEA1F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0.08–0.12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56DFF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Adaptive capacity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99519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Population genetics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9A22B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Months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F2D67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Moderate (variant risk)</w:t>
            </w:r>
          </w:p>
        </w:tc>
      </w:tr>
      <w:tr w:rsidR="00D519C9" w:rsidRPr="007F19E9" w14:paraId="159A0A3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2ECEF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MB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85C67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0.18–0.25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D8B25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Phenotypic change load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FFF54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Genomic burden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32125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Weeks–months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B43F0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Very high (classification)</w:t>
            </w:r>
          </w:p>
        </w:tc>
      </w:tr>
      <w:tr w:rsidR="00D519C9" w:rsidRPr="007F19E9" w14:paraId="2210C7A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659B0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proofErr w:type="spellStart"/>
            <w:r w:rsidRPr="007F19E9">
              <w:rPr>
                <w:rFonts w:ascii="Times New Roman" w:hAnsi="Times New Roman" w:cs="Times New Roman"/>
              </w:rPr>
              <w:t>dN</w:t>
            </w:r>
            <w:proofErr w:type="spellEnd"/>
            <w:r w:rsidRPr="007F19E9">
              <w:rPr>
                <w:rFonts w:ascii="Times New Roman" w:hAnsi="Times New Roman" w:cs="Times New Roman"/>
              </w:rPr>
              <w:t>/</w:t>
            </w:r>
            <w:proofErr w:type="spellStart"/>
            <w:r w:rsidRPr="007F19E9">
              <w:rPr>
                <w:rFonts w:ascii="Times New Roman" w:hAnsi="Times New Roman" w:cs="Times New Roman"/>
              </w:rPr>
              <w:t>dS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B84E3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0.12–0.18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5CB09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Adaptive selection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AF88E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Functional evolution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E22B8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Months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6E375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High (escape prediction)</w:t>
            </w:r>
          </w:p>
        </w:tc>
      </w:tr>
      <w:tr w:rsidR="00D519C9" w:rsidRPr="007F19E9" w14:paraId="7091972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87529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GD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38CC6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0.08–0.12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C4A8A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Phylogenetic placement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47C55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Variant classification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28773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Weeks (diagnostic)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2ED97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Moderate–high (variant ID)</w:t>
            </w:r>
          </w:p>
        </w:tc>
      </w:tr>
      <w:tr w:rsidR="00D519C9" w:rsidRPr="007F19E9" w14:paraId="488CB55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01F64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RI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0F49B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0.02–0.05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49767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Chimeric emergence risk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133FE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Reassortment potential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46E91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Weeks–months (reassortment)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27B9B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Low–moderate (context-dependent)</w:t>
            </w:r>
          </w:p>
        </w:tc>
      </w:tr>
      <w:tr w:rsidR="00D519C9" w:rsidRPr="007F19E9" w14:paraId="61B7099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67245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CAI + GC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AB7D4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0.03–0.08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B1608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Host adaptation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91ED4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Codon usage &amp; composition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0707A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Months–years (slow)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7BA68" w14:textId="77777777" w:rsidR="00D519C9" w:rsidRPr="007F19E9" w:rsidRDefault="00560644">
            <w:pPr>
              <w:rPr>
                <w:rFonts w:ascii="Times New Roman" w:hAnsi="Times New Roman" w:cs="Times New Roman"/>
              </w:rPr>
            </w:pPr>
            <w:r w:rsidRPr="007F19E9">
              <w:rPr>
                <w:rFonts w:ascii="Times New Roman" w:hAnsi="Times New Roman" w:cs="Times New Roman"/>
              </w:rPr>
              <w:t>Low–moderate (spillover tracking)</w:t>
            </w:r>
          </w:p>
        </w:tc>
      </w:tr>
    </w:tbl>
    <w:p w14:paraId="45F6B4BA" w14:textId="77777777" w:rsidR="00D519C9" w:rsidRPr="007F19E9" w:rsidRDefault="00560644">
      <w:pPr>
        <w:pStyle w:val="Heading2"/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t>Use in Epidemic Forecasting</w:t>
      </w:r>
    </w:p>
    <w:p w14:paraId="24800E20" w14:textId="77777777" w:rsidR="00D519C9" w:rsidRPr="007F19E9" w:rsidRDefault="00560644">
      <w:pPr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t xml:space="preserve">β_genomic(t) = β₀ × [1 + GVI(t) × </w:t>
      </w:r>
      <w:proofErr w:type="spellStart"/>
      <w:r w:rsidRPr="007F19E9">
        <w:rPr>
          <w:rFonts w:ascii="Times New Roman" w:hAnsi="Times New Roman" w:cs="Times New Roman"/>
        </w:rPr>
        <w:t>scale_factor</w:t>
      </w:r>
      <w:proofErr w:type="spellEnd"/>
      <w:r w:rsidRPr="007F19E9">
        <w:rPr>
          <w:rFonts w:ascii="Times New Roman" w:hAnsi="Times New Roman" w:cs="Times New Roman"/>
        </w:rPr>
        <w:t>]</w:t>
      </w:r>
    </w:p>
    <w:p w14:paraId="5FAAB132" w14:textId="77777777" w:rsidR="00D519C9" w:rsidRPr="007F19E9" w:rsidRDefault="00560644">
      <w:pPr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t xml:space="preserve">If GVI = 0.5 and </w:t>
      </w:r>
      <w:proofErr w:type="spellStart"/>
      <w:r w:rsidRPr="007F19E9">
        <w:rPr>
          <w:rFonts w:ascii="Times New Roman" w:hAnsi="Times New Roman" w:cs="Times New Roman"/>
        </w:rPr>
        <w:t>scale_factor</w:t>
      </w:r>
      <w:proofErr w:type="spellEnd"/>
      <w:r w:rsidRPr="007F19E9">
        <w:rPr>
          <w:rFonts w:ascii="Times New Roman" w:hAnsi="Times New Roman" w:cs="Times New Roman"/>
        </w:rPr>
        <w:t xml:space="preserve"> = 2.0: β increases by 100%. This </w:t>
      </w:r>
      <w:proofErr w:type="gramStart"/>
      <w:r w:rsidRPr="007F19E9">
        <w:rPr>
          <w:rFonts w:ascii="Times New Roman" w:hAnsi="Times New Roman" w:cs="Times New Roman"/>
        </w:rPr>
        <w:t>upward-adjusted</w:t>
      </w:r>
      <w:proofErr w:type="gramEnd"/>
      <w:r w:rsidRPr="007F19E9">
        <w:rPr>
          <w:rFonts w:ascii="Times New Roman" w:hAnsi="Times New Roman" w:cs="Times New Roman"/>
        </w:rPr>
        <w:t xml:space="preserve"> β feeds into SEIR model, yielding higher predicted doubling time and attack rate.</w:t>
      </w:r>
    </w:p>
    <w:p w14:paraId="325CC79F" w14:textId="77777777" w:rsidR="00D519C9" w:rsidRPr="007F19E9" w:rsidRDefault="00560644">
      <w:pPr>
        <w:pStyle w:val="Heading2"/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t>Validation &amp; Calibration</w:t>
      </w:r>
    </w:p>
    <w:p w14:paraId="2C62ED4A" w14:textId="77777777" w:rsidR="00D519C9" w:rsidRPr="007F19E9" w:rsidRDefault="0056064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t>Weights can be calibrated using particle filter or ABC against observed epidemic curves (case counts, hospitalizations).</w:t>
      </w:r>
    </w:p>
    <w:p w14:paraId="6A35F125" w14:textId="77777777" w:rsidR="00D519C9" w:rsidRPr="007F19E9" w:rsidRDefault="0056064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t>Hold-out validation: Predict 20% of data; compare predicted vs. observed; RMSE should be &lt;15% of mean.</w:t>
      </w:r>
    </w:p>
    <w:p w14:paraId="3270FA4D" w14:textId="77777777" w:rsidR="00D519C9" w:rsidRPr="007F19E9" w:rsidRDefault="0056064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F19E9">
        <w:rPr>
          <w:rFonts w:ascii="Times New Roman" w:hAnsi="Times New Roman" w:cs="Times New Roman"/>
        </w:rPr>
        <w:t>Sensitivity analysis: Vary each weight ±20%; assess impact on R₀, attack rate, and healthcare demand.</w:t>
      </w:r>
    </w:p>
    <w:sectPr w:rsidR="00D519C9" w:rsidRPr="007F19E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95E7C"/>
    <w:multiLevelType w:val="hybridMultilevel"/>
    <w:tmpl w:val="1C4E452E"/>
    <w:lvl w:ilvl="0" w:tplc="4D74E8CE">
      <w:start w:val="1"/>
      <w:numFmt w:val="bullet"/>
      <w:lvlText w:val="●"/>
      <w:lvlJc w:val="left"/>
      <w:pPr>
        <w:ind w:left="720" w:hanging="360"/>
      </w:pPr>
    </w:lvl>
    <w:lvl w:ilvl="1" w:tplc="BD62D0E2">
      <w:start w:val="1"/>
      <w:numFmt w:val="bullet"/>
      <w:lvlText w:val="○"/>
      <w:lvlJc w:val="left"/>
      <w:pPr>
        <w:ind w:left="1440" w:hanging="360"/>
      </w:pPr>
    </w:lvl>
    <w:lvl w:ilvl="2" w:tplc="0132406A">
      <w:start w:val="1"/>
      <w:numFmt w:val="bullet"/>
      <w:lvlText w:val="■"/>
      <w:lvlJc w:val="left"/>
      <w:pPr>
        <w:ind w:left="2160" w:hanging="360"/>
      </w:pPr>
    </w:lvl>
    <w:lvl w:ilvl="3" w:tplc="8ADA4492">
      <w:start w:val="1"/>
      <w:numFmt w:val="bullet"/>
      <w:lvlText w:val="●"/>
      <w:lvlJc w:val="left"/>
      <w:pPr>
        <w:ind w:left="2880" w:hanging="360"/>
      </w:pPr>
    </w:lvl>
    <w:lvl w:ilvl="4" w:tplc="FFF4E060">
      <w:start w:val="1"/>
      <w:numFmt w:val="bullet"/>
      <w:lvlText w:val="○"/>
      <w:lvlJc w:val="left"/>
      <w:pPr>
        <w:ind w:left="3600" w:hanging="360"/>
      </w:pPr>
    </w:lvl>
    <w:lvl w:ilvl="5" w:tplc="86305E3C">
      <w:start w:val="1"/>
      <w:numFmt w:val="bullet"/>
      <w:lvlText w:val="■"/>
      <w:lvlJc w:val="left"/>
      <w:pPr>
        <w:ind w:left="4320" w:hanging="360"/>
      </w:pPr>
    </w:lvl>
    <w:lvl w:ilvl="6" w:tplc="9C0E6D5A">
      <w:start w:val="1"/>
      <w:numFmt w:val="bullet"/>
      <w:lvlText w:val="●"/>
      <w:lvlJc w:val="left"/>
      <w:pPr>
        <w:ind w:left="5040" w:hanging="360"/>
      </w:pPr>
    </w:lvl>
    <w:lvl w:ilvl="7" w:tplc="80D4C404">
      <w:start w:val="1"/>
      <w:numFmt w:val="bullet"/>
      <w:lvlText w:val="●"/>
      <w:lvlJc w:val="left"/>
      <w:pPr>
        <w:ind w:left="5760" w:hanging="360"/>
      </w:pPr>
    </w:lvl>
    <w:lvl w:ilvl="8" w:tplc="5378964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7E63EEF"/>
    <w:multiLevelType w:val="hybridMultilevel"/>
    <w:tmpl w:val="25E40BF0"/>
    <w:lvl w:ilvl="0" w:tplc="384C445E">
      <w:start w:val="1"/>
      <w:numFmt w:val="bullet"/>
      <w:lvlText w:val="•"/>
      <w:lvlJc w:val="left"/>
      <w:pPr>
        <w:ind w:left="720" w:hanging="360"/>
      </w:pPr>
    </w:lvl>
    <w:lvl w:ilvl="1" w:tplc="3B9ACC02">
      <w:numFmt w:val="decimal"/>
      <w:lvlText w:val=""/>
      <w:lvlJc w:val="left"/>
    </w:lvl>
    <w:lvl w:ilvl="2" w:tplc="0C22F084">
      <w:numFmt w:val="decimal"/>
      <w:lvlText w:val=""/>
      <w:lvlJc w:val="left"/>
    </w:lvl>
    <w:lvl w:ilvl="3" w:tplc="7BA25D2E">
      <w:numFmt w:val="decimal"/>
      <w:lvlText w:val=""/>
      <w:lvlJc w:val="left"/>
    </w:lvl>
    <w:lvl w:ilvl="4" w:tplc="09FC526A">
      <w:numFmt w:val="decimal"/>
      <w:lvlText w:val=""/>
      <w:lvlJc w:val="left"/>
    </w:lvl>
    <w:lvl w:ilvl="5" w:tplc="0F1C08D0">
      <w:numFmt w:val="decimal"/>
      <w:lvlText w:val=""/>
      <w:lvlJc w:val="left"/>
    </w:lvl>
    <w:lvl w:ilvl="6" w:tplc="7EE813E2">
      <w:numFmt w:val="decimal"/>
      <w:lvlText w:val=""/>
      <w:lvlJc w:val="left"/>
    </w:lvl>
    <w:lvl w:ilvl="7" w:tplc="0AA80B10">
      <w:numFmt w:val="decimal"/>
      <w:lvlText w:val=""/>
      <w:lvlJc w:val="left"/>
    </w:lvl>
    <w:lvl w:ilvl="8" w:tplc="B4AA60D0">
      <w:numFmt w:val="decimal"/>
      <w:lvlText w:val=""/>
      <w:lvlJc w:val="left"/>
    </w:lvl>
  </w:abstractNum>
  <w:num w:numId="1" w16cid:durableId="2107535620">
    <w:abstractNumId w:val="0"/>
    <w:lvlOverride w:ilvl="0">
      <w:startOverride w:val="1"/>
    </w:lvlOverride>
  </w:num>
  <w:num w:numId="2" w16cid:durableId="102760836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9C9"/>
    <w:rsid w:val="000153DF"/>
    <w:rsid w:val="000765E9"/>
    <w:rsid w:val="001513BE"/>
    <w:rsid w:val="00210227"/>
    <w:rsid w:val="002466F8"/>
    <w:rsid w:val="002910CC"/>
    <w:rsid w:val="00361615"/>
    <w:rsid w:val="00367866"/>
    <w:rsid w:val="00393C13"/>
    <w:rsid w:val="00560644"/>
    <w:rsid w:val="0057546F"/>
    <w:rsid w:val="005E172A"/>
    <w:rsid w:val="007F19E9"/>
    <w:rsid w:val="008C3AEB"/>
    <w:rsid w:val="009D3F9C"/>
    <w:rsid w:val="00AA09FD"/>
    <w:rsid w:val="00B21C94"/>
    <w:rsid w:val="00D519C9"/>
    <w:rsid w:val="00DC6B6B"/>
    <w:rsid w:val="00DE7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F17F6"/>
  <w15:docId w15:val="{BC89E30B-5B74-4AE4-8779-D38651424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788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5C9A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20" w:after="8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11</Pages>
  <Words>3340</Words>
  <Characters>19040</Characters>
  <Application>Microsoft Office Word</Application>
  <DocSecurity>0</DocSecurity>
  <Lines>158</Lines>
  <Paragraphs>44</Paragraphs>
  <ScaleCrop>false</ScaleCrop>
  <Company/>
  <LinksUpToDate>false</LinksUpToDate>
  <CharactersWithSpaces>22336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Varsha Ramesh</cp:lastModifiedBy>
  <cp:revision>29</cp:revision>
  <dcterms:created xsi:type="dcterms:W3CDTF">2026-06-23T09:13:00Z</dcterms:created>
  <dcterms:modified xsi:type="dcterms:W3CDTF">2026-06-23T11:03:00Z</dcterms:modified>
</cp:coreProperties>
</file>