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766E"/>
          <w:sz w:val="68"/>
        </w:rPr>
        <w:t>VetGenomeHub v2</w:t>
      </w:r>
    </w:p>
    <w:p>
      <w:pPr>
        <w:jc w:val="center"/>
      </w:pPr>
      <w:r>
        <w:rPr>
          <w:color w:val="1F2937"/>
          <w:sz w:val="30"/>
        </w:rPr>
        <w:t>Technical Architecture, Methodology &amp; Implementation Report</w:t>
      </w:r>
    </w:p>
    <w:p>
      <w:pPr>
        <w:jc w:val="center"/>
      </w:pPr>
      <w:r>
        <w:rPr>
          <w:i/>
          <w:color w:val="55606B"/>
          <w:sz w:val="23"/>
        </w:rPr>
        <w:t>An Oxford Nanopore (ONT) bacterial genomics &amp; antimicrobial-resistance surveillance platform</w:t>
      </w:r>
    </w:p>
    <w:p/>
    <w:p/>
    <w:p>
      <w:pPr>
        <w:jc w:val="center"/>
      </w:pPr>
      <w:r>
        <w:rPr>
          <w:b/>
          <w:color w:val="1F2937"/>
          <w:sz w:val="24"/>
        </w:rPr>
        <w:t>ICAR – National Institute of Veterinary Epidemiology and Disease Informatics (NIVEDI)</w:t>
      </w:r>
    </w:p>
    <w:p>
      <w:pPr>
        <w:jc w:val="center"/>
      </w:pPr>
      <w:r>
        <w:rPr>
          <w:color w:val="55606B"/>
          <w:sz w:val="22"/>
        </w:rPr>
        <w:t>VetGenome Hub · Genomic Surveillance Facility</w:t>
      </w:r>
    </w:p>
    <w:p/>
    <w:p/>
    <w:p/>
    <w:p/>
    <w:p/>
    <w:p/>
    <w:p>
      <w:pPr>
        <w:jc w:val="center"/>
      </w:pPr>
      <w:r>
        <w:rPr>
          <w:color w:val="55606B"/>
          <w:sz w:val="21"/>
        </w:rPr>
        <w:t>Document: Technical Report</w:t>
      </w:r>
    </w:p>
    <w:p>
      <w:pPr>
        <w:jc w:val="center"/>
      </w:pPr>
      <w:r>
        <w:rPr>
          <w:color w:val="55606B"/>
          <w:sz w:val="21"/>
        </w:rPr>
        <w:t>Platform version: v2 (static-HTML interface)</w:t>
      </w:r>
    </w:p>
    <w:p>
      <w:pPr>
        <w:jc w:val="center"/>
      </w:pPr>
      <w:r>
        <w:rPr>
          <w:color w:val="55606B"/>
          <w:sz w:val="21"/>
        </w:rPr>
        <w:t>Prepared: 2026</w:t>
      </w:r>
    </w:p>
    <w:p>
      <w:pPr>
        <w:jc w:val="center"/>
      </w:pPr>
      <w:r>
        <w:rPr>
          <w:color w:val="55606B"/>
          <w:sz w:val="21"/>
        </w:rPr>
        <w:t>Status: Production pipeline — batch, cohort &amp; resistome operational</w:t>
      </w:r>
    </w:p>
    <w:p>
      <w:r>
        <w:br w:type="page"/>
      </w:r>
    </w:p>
    <w:p>
      <w:pPr>
        <w:pStyle w:val="Heading1"/>
      </w:pPr>
      <w:r>
        <w:t>1. Executive Summary</w:t>
      </w:r>
    </w:p>
    <w:p>
      <w:pPr>
        <w:spacing w:after="120"/>
        <w:jc w:val="both"/>
      </w:pPr>
      <w:r>
        <w:rPr>
          <w:b w:val="0"/>
          <w:i w:val="0"/>
        </w:rPr>
        <w:t>VetGenomeHub v2 is a web-based bioinformatics platform that takes raw Oxford Nanopore (ONT/MinION) sequencing reads of bacterial pathogens and carries them, fully automatically, all the way to a finished, annotated answer: a polished consensus genome, a called and filtered variant set, a contamination/taxonomy profile, an antimicrobial-resistance (AMR) resistome, a mobile-genetic-element (MGE) inventory, and cohort-level surveillance views across many isolates. It was built for the ICAR–NIVEDI VetGenome Hub to support routine genomic surveillance of livestock pathogens and AMR at a throughput of roughly 1,000–1,500 samples per year.</w:t>
      </w:r>
    </w:p>
    <w:p>
      <w:pPr>
        <w:spacing w:after="120"/>
        <w:jc w:val="both"/>
      </w:pPr>
      <w:r>
        <w:rPr>
          <w:b w:val="0"/>
          <w:i w:val="0"/>
        </w:rPr>
        <w:t>The platform is deliberately lightweight. Rather than adopting a heavy workflow engine such as Nextflow, or a distributed task broker such as Celery, it runs a single-node stack: a Python/FastAPI backend, a thread-pool job executor with a custom sequential chain orchestrator, an SQLite metadata store, and a static HTML/CSS/JavaScript frontend (no build step, no React). This keeps the system easy to deploy, inspect and maintain on modest hardware while still delivering a reproducible, checkpoint-resumable, multi-step genomics pipeline with isolated per-run working directories.</w:t>
      </w:r>
    </w:p>
    <w:p>
      <w:pPr>
        <w:spacing w:after="120"/>
        <w:jc w:val="both"/>
      </w:pPr>
      <w:r>
        <w:rPr>
          <w:b w:val="0"/>
          <w:i w:val="0"/>
        </w:rPr>
        <w:t>This report documents the complete system: its architecture and layering, the languages and frameworks used, every bioinformatics tool in the chain, the databases and storage model, the REST API surface, the rationale for the custom orchestration that replaces Nextflow, the scientific methodology of each pipeline stage, the downstream AMR and MGE analyses, the cohort/surveillance capabilities, the reliability and recovery design, the full record of engineering work performed, and a forward-looking roadmap.</w:t>
      </w:r>
    </w:p>
    <w:p>
      <w:r>
        <w:br w:type="page"/>
      </w:r>
    </w:p>
    <w:p>
      <w:pPr>
        <w:pStyle w:val="Heading1"/>
      </w:pPr>
      <w:r>
        <w:t>2. System Architecture</w:t>
      </w:r>
    </w:p>
    <w:p>
      <w:pPr>
        <w:spacing w:after="120"/>
        <w:jc w:val="both"/>
      </w:pPr>
      <w:r>
        <w:rPr>
          <w:b w:val="0"/>
          <w:i w:val="0"/>
        </w:rPr>
        <w:t>The platform is organised as five cooperating layers. A request flows top-to-bottom; results and status flow back up. Each layer is independently replaceable, which is what makes the lightweight stack viable for future scale-out.</w:t>
      </w:r>
    </w:p>
    <w:p>
      <w:pPr>
        <w:pStyle w:val="Heading2"/>
      </w:pPr>
      <w:r>
        <w:t>2.1 Architectural layers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F766E"/>
          </w:tcPr>
          <w:p>
            <w:r/>
            <w:r>
              <w:rPr>
                <w:b/>
                <w:color w:val="FFFFFF"/>
                <w:sz w:val="19"/>
              </w:rPr>
              <w:t>Layer</w:t>
            </w:r>
          </w:p>
        </w:tc>
        <w:tc>
          <w:tcPr>
            <w:tcW w:type="dxa" w:w="3216"/>
            <w:shd w:val="clear" w:fill="0F766E"/>
          </w:tcPr>
          <w:p>
            <w:r/>
            <w:r>
              <w:rPr>
                <w:b/>
                <w:color w:val="FFFFFF"/>
                <w:sz w:val="19"/>
              </w:rPr>
              <w:t>Responsibility</w:t>
            </w:r>
          </w:p>
        </w:tc>
        <w:tc>
          <w:tcPr>
            <w:tcW w:type="dxa" w:w="3216"/>
            <w:shd w:val="clear" w:fill="0F766E"/>
          </w:tcPr>
          <w:p>
            <w:r/>
            <w:r>
              <w:rPr>
                <w:b/>
                <w:color w:val="FFFFFF"/>
                <w:sz w:val="19"/>
              </w:rPr>
              <w:t>Implemented with</w:t>
            </w:r>
          </w:p>
        </w:tc>
      </w:tr>
      <w:tr>
        <w:tc>
          <w:tcPr>
            <w:tcW w:type="dxa" w:w="3216"/>
          </w:tcPr>
          <w:p>
            <w:r/>
            <w:r>
              <w:rPr>
                <w:sz w:val="18"/>
              </w:rPr>
              <w:t>Presentation</w:t>
            </w:r>
          </w:p>
        </w:tc>
        <w:tc>
          <w:tcPr>
            <w:tcW w:type="dxa" w:w="3216"/>
          </w:tcPr>
          <w:p>
            <w:r/>
            <w:r>
              <w:rPr>
                <w:sz w:val="18"/>
              </w:rPr>
              <w:t>Operator dashboard: upload, run, live progress, results, charts, logs, antibiogram, cohort views</w:t>
            </w:r>
          </w:p>
        </w:tc>
        <w:tc>
          <w:tcPr>
            <w:tcW w:type="dxa" w:w="3216"/>
          </w:tcPr>
          <w:p>
            <w:r/>
            <w:r>
              <w:rPr>
                <w:sz w:val="18"/>
              </w:rPr>
              <w:t>Static HTML + CSS + vanilla JavaScript</w:t>
            </w:r>
          </w:p>
        </w:tc>
      </w:tr>
      <w:tr>
        <w:tc>
          <w:tcPr>
            <w:tcW w:type="dxa" w:w="3216"/>
            <w:shd w:val="clear" w:fill="E8F2F1"/>
          </w:tcPr>
          <w:p>
            <w:r/>
            <w:r>
              <w:rPr>
                <w:sz w:val="18"/>
              </w:rPr>
              <w:t>API</w:t>
            </w:r>
          </w:p>
        </w:tc>
        <w:tc>
          <w:tcPr>
            <w:tcW w:type="dxa" w:w="3216"/>
            <w:shd w:val="clear" w:fill="E8F2F1"/>
          </w:tcPr>
          <w:p>
            <w:r/>
            <w:r>
              <w:rPr>
                <w:sz w:val="18"/>
              </w:rPr>
              <w:t>REST endpoints for pipelines, jobs, files, reports, contamination, AMR, MGE, cohort</w:t>
            </w:r>
          </w:p>
        </w:tc>
        <w:tc>
          <w:tcPr>
            <w:tcW w:type="dxa" w:w="3216"/>
            <w:shd w:val="clear" w:fill="E8F2F1"/>
          </w:tcPr>
          <w:p>
            <w:r/>
            <w:r>
              <w:rPr>
                <w:sz w:val="18"/>
              </w:rPr>
              <w:t>FastAPI (ASGI) served by Uvicorn</w:t>
            </w:r>
          </w:p>
        </w:tc>
      </w:tr>
      <w:tr>
        <w:tc>
          <w:tcPr>
            <w:tcW w:type="dxa" w:w="3216"/>
          </w:tcPr>
          <w:p>
            <w:r/>
            <w:r>
              <w:rPr>
                <w:sz w:val="18"/>
              </w:rPr>
              <w:t>Orchestration</w:t>
            </w:r>
          </w:p>
        </w:tc>
        <w:tc>
          <w:tcPr>
            <w:tcW w:type="dxa" w:w="3216"/>
          </w:tcPr>
          <w:p>
            <w:r/>
            <w:r>
              <w:rPr>
                <w:sz w:val="18"/>
              </w:rPr>
              <w:t>Per-run chain driver, job store, concurrency-bounded executor, restart recovery</w:t>
            </w:r>
          </w:p>
        </w:tc>
        <w:tc>
          <w:tcPr>
            <w:tcW w:type="dxa" w:w="3216"/>
          </w:tcPr>
          <w:p>
            <w:r/>
            <w:r>
              <w:rPr>
                <w:sz w:val="18"/>
              </w:rPr>
              <w:t>Python: custom _run_chain + ThreadPoolExecutor</w:t>
            </w:r>
          </w:p>
        </w:tc>
      </w:tr>
      <w:tr>
        <w:tc>
          <w:tcPr>
            <w:tcW w:type="dxa" w:w="3216"/>
            <w:shd w:val="clear" w:fill="E8F2F1"/>
          </w:tcPr>
          <w:p>
            <w:r/>
            <w:r>
              <w:rPr>
                <w:sz w:val="18"/>
              </w:rPr>
              <w:t>Tool adapters</w:t>
            </w:r>
          </w:p>
        </w:tc>
        <w:tc>
          <w:tcPr>
            <w:tcW w:type="dxa" w:w="3216"/>
            <w:shd w:val="clear" w:fill="E8F2F1"/>
          </w:tcPr>
          <w:p>
            <w:r/>
            <w:r>
              <w:rPr>
                <w:sz w:val="18"/>
              </w:rPr>
              <w:t>Uniform wrappers that build &amp; run each bioinformatics tool</w:t>
            </w:r>
          </w:p>
        </w:tc>
        <w:tc>
          <w:tcPr>
            <w:tcW w:type="dxa" w:w="3216"/>
            <w:shd w:val="clear" w:fill="E8F2F1"/>
          </w:tcPr>
          <w:p>
            <w:r/>
            <w:r>
              <w:rPr>
                <w:sz w:val="18"/>
              </w:rPr>
              <w:t>Python adapter contract (tools/&lt;id&gt;/) + Bash</w:t>
            </w:r>
          </w:p>
        </w:tc>
      </w:tr>
      <w:tr>
        <w:tc>
          <w:tcPr>
            <w:tcW w:type="dxa" w:w="3216"/>
          </w:tcPr>
          <w:p>
            <w:r/>
            <w:r>
              <w:rPr>
                <w:sz w:val="18"/>
              </w:rPr>
              <w:t>Execution &amp; data</w:t>
            </w:r>
          </w:p>
        </w:tc>
        <w:tc>
          <w:tcPr>
            <w:tcW w:type="dxa" w:w="3216"/>
          </w:tcPr>
          <w:p>
            <w:r/>
            <w:r>
              <w:rPr>
                <w:sz w:val="18"/>
              </w:rPr>
              <w:t>Real tool execution in WSL/conda envs; isolated working dirs; reference databases</w:t>
            </w:r>
          </w:p>
        </w:tc>
        <w:tc>
          <w:tcPr>
            <w:tcW w:type="dxa" w:w="3216"/>
          </w:tcPr>
          <w:p>
            <w:r/>
            <w:r>
              <w:rPr>
                <w:sz w:val="18"/>
              </w:rPr>
              <w:t>Conda/mamba envs, WSL, filesystem, SQLite/MySQL</w:t>
            </w:r>
          </w:p>
        </w:tc>
      </w:tr>
    </w:tbl>
    <w:p>
      <w:pPr>
        <w:pStyle w:val="Heading2"/>
      </w:pPr>
      <w:r>
        <w:t>2.2 Request-to-result flow (high level)</w:t>
      </w:r>
    </w:p>
    <w:p>
      <w:pPr>
        <w:spacing w:after="120"/>
        <w:jc w:val="both"/>
      </w:pPr>
      <w:r>
        <w:rPr>
          <w:b w:val="0"/>
          <w:i w:val="0"/>
        </w:rPr>
        <w:t>(1) The operator uploads reads and a reference and chooses a platform profile in the browser. (2) The frontend POSTs to the API, which creates a run, records an ordered list of pipeline steps, and launches a background chain thread. (3) The chain executes each step in topological order, submitting the underlying tool to the bounded thread pool, waiting for completion, and writing outputs into the run's isolated working directory. (4) The browser polls the run endpoint and renders live per-step status and, on completion, the full result dashboard. (5) Downstream analyses (Resistome, MGE-Sift) and cohort aggregation run on demand against the produced consensus genomes.</w:t>
      </w:r>
    </w:p>
    <w:p>
      <w:pPr>
        <w:pStyle w:val="Heading2"/>
      </w:pPr>
      <w:r>
        <w:t>2.3 Design principles</w:t>
      </w:r>
    </w:p>
    <w:p>
      <w:pPr>
        <w:pStyle w:val="ListBullet"/>
        <w:spacing w:after="60"/>
      </w:pPr>
      <w:r>
        <w:rPr>
          <w:b/>
        </w:rPr>
        <w:t xml:space="preserve">Per-run isolation — </w:t>
      </w:r>
      <w:r>
        <w:t>every single-sample run works in its own directory (work/&lt;run_id&gt;/), so two runs of the same sample can never overwrite each other's intermediates or reports.</w:t>
      </w:r>
    </w:p>
    <w:p>
      <w:pPr>
        <w:pStyle w:val="ListBullet"/>
        <w:spacing w:after="60"/>
      </w:pPr>
      <w:r>
        <w:rPr>
          <w:b/>
        </w:rPr>
        <w:t xml:space="preserve">Checkpoint/resume — </w:t>
      </w:r>
      <w:r>
        <w:t>a step whose output already exists is skipped, so an interrupted run resumes from where it stopped instead of recomputing the expensive assembly.</w:t>
      </w:r>
    </w:p>
    <w:p>
      <w:pPr>
        <w:pStyle w:val="ListBullet"/>
        <w:spacing w:after="60"/>
      </w:pPr>
      <w:r>
        <w:rPr>
          <w:b/>
        </w:rPr>
        <w:t xml:space="preserve">Report-only safety — </w:t>
      </w:r>
      <w:r>
        <w:t>contamination detection and QC gates inform routing and flag problems but never silently discard data.</w:t>
      </w:r>
    </w:p>
    <w:p>
      <w:pPr>
        <w:pStyle w:val="ListBullet"/>
        <w:spacing w:after="60"/>
      </w:pPr>
      <w:r>
        <w:rPr>
          <w:b/>
        </w:rPr>
        <w:t xml:space="preserve">Honest status — </w:t>
      </w:r>
      <w:r>
        <w:t>a step is marked done only if it produced credible, non-empty output; 'exit 0 but produced nothing' is reported as a failure.</w:t>
      </w:r>
    </w:p>
    <w:p>
      <w:pPr>
        <w:pStyle w:val="ListBullet"/>
        <w:spacing w:after="60"/>
      </w:pPr>
      <w:r>
        <w:rPr>
          <w:b/>
        </w:rPr>
        <w:t xml:space="preserve">Graceful degradation — </w:t>
      </w:r>
      <w:r>
        <w:t>optional components (e.g. the MySQL mirror) are best-effort and never able to break a run.</w:t>
      </w:r>
    </w:p>
    <w:p>
      <w:r>
        <w:br w:type="page"/>
      </w:r>
    </w:p>
    <w:p>
      <w:pPr>
        <w:pStyle w:val="Heading1"/>
      </w:pPr>
      <w:r>
        <w:t>3. Technology Stack — Languages &amp; Frameworks</w:t>
      </w:r>
    </w:p>
    <w:p>
      <w:pPr>
        <w:spacing w:after="120"/>
        <w:jc w:val="both"/>
      </w:pPr>
      <w:r>
        <w:rPr>
          <w:b w:val="0"/>
          <w:i w:val="0"/>
        </w:rPr>
        <w:t>The stack was chosen for transparency and low operational overhead on a single workstation/server, while keeping each component swappable.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F766E"/>
          </w:tcPr>
          <w:p>
            <w:r/>
            <w:r>
              <w:rPr>
                <w:b/>
                <w:color w:val="FFFFFF"/>
                <w:sz w:val="19"/>
              </w:rPr>
              <w:t>Concern</w:t>
            </w:r>
          </w:p>
        </w:tc>
        <w:tc>
          <w:tcPr>
            <w:tcW w:type="dxa" w:w="3216"/>
            <w:shd w:val="clear" w:fill="0F766E"/>
          </w:tcPr>
          <w:p>
            <w:r/>
            <w:r>
              <w:rPr>
                <w:b/>
                <w:color w:val="FFFFFF"/>
                <w:sz w:val="19"/>
              </w:rPr>
              <w:t>Choice</w:t>
            </w:r>
          </w:p>
        </w:tc>
        <w:tc>
          <w:tcPr>
            <w:tcW w:type="dxa" w:w="3216"/>
            <w:shd w:val="clear" w:fill="0F766E"/>
          </w:tcPr>
          <w:p>
            <w:r/>
            <w:r>
              <w:rPr>
                <w:b/>
                <w:color w:val="FFFFFF"/>
                <w:sz w:val="19"/>
              </w:rPr>
              <w:t>Why</w:t>
            </w:r>
          </w:p>
        </w:tc>
      </w:tr>
      <w:tr>
        <w:tc>
          <w:tcPr>
            <w:tcW w:type="dxa" w:w="3216"/>
          </w:tcPr>
          <w:p>
            <w:r/>
            <w:r>
              <w:rPr>
                <w:sz w:val="18"/>
              </w:rPr>
              <w:t>Backend language</w:t>
            </w:r>
          </w:p>
        </w:tc>
        <w:tc>
          <w:tcPr>
            <w:tcW w:type="dxa" w:w="3216"/>
          </w:tcPr>
          <w:p>
            <w:r/>
            <w:r>
              <w:rPr>
                <w:sz w:val="18"/>
              </w:rPr>
              <w:t>Python 3.10</w:t>
            </w:r>
          </w:p>
        </w:tc>
        <w:tc>
          <w:tcPr>
            <w:tcW w:type="dxa" w:w="3216"/>
          </w:tcPr>
          <w:p>
            <w:r/>
            <w:r>
              <w:rPr>
                <w:sz w:val="18"/>
              </w:rPr>
              <w:t>Dominant language of bioinformatics tooling; rich ecosystem; easy adapter pattern</w:t>
            </w:r>
          </w:p>
        </w:tc>
      </w:tr>
      <w:tr>
        <w:tc>
          <w:tcPr>
            <w:tcW w:type="dxa" w:w="3216"/>
            <w:shd w:val="clear" w:fill="E8F2F1"/>
          </w:tcPr>
          <w:p>
            <w:r/>
            <w:r>
              <w:rPr>
                <w:sz w:val="18"/>
              </w:rPr>
              <w:t>Web framework</w:t>
            </w:r>
          </w:p>
        </w:tc>
        <w:tc>
          <w:tcPr>
            <w:tcW w:type="dxa" w:w="3216"/>
            <w:shd w:val="clear" w:fill="E8F2F1"/>
          </w:tcPr>
          <w:p>
            <w:r/>
            <w:r>
              <w:rPr>
                <w:sz w:val="18"/>
              </w:rPr>
              <w:t>FastAPI + Uvicorn (ASGI)</w:t>
            </w:r>
          </w:p>
        </w:tc>
        <w:tc>
          <w:tcPr>
            <w:tcW w:type="dxa" w:w="3216"/>
            <w:shd w:val="clear" w:fill="E8F2F1"/>
          </w:tcPr>
          <w:p>
            <w:r/>
            <w:r>
              <w:rPr>
                <w:sz w:val="18"/>
              </w:rPr>
              <w:t>Modern, async-capable, automatic OpenAPI schema, minimal boilerplate</w:t>
            </w:r>
          </w:p>
        </w:tc>
      </w:tr>
      <w:tr>
        <w:tc>
          <w:tcPr>
            <w:tcW w:type="dxa" w:w="3216"/>
          </w:tcPr>
          <w:p>
            <w:r/>
            <w:r>
              <w:rPr>
                <w:sz w:val="18"/>
              </w:rPr>
              <w:t>Frontend</w:t>
            </w:r>
          </w:p>
        </w:tc>
        <w:tc>
          <w:tcPr>
            <w:tcW w:type="dxa" w:w="3216"/>
          </w:tcPr>
          <w:p>
            <w:r/>
            <w:r>
              <w:rPr>
                <w:sz w:val="18"/>
              </w:rPr>
              <w:t>HTML5 + CSS3 + vanilla JavaScript</w:t>
            </w:r>
          </w:p>
        </w:tc>
        <w:tc>
          <w:tcPr>
            <w:tcW w:type="dxa" w:w="3216"/>
          </w:tcPr>
          <w:p>
            <w:r/>
            <w:r>
              <w:rPr>
                <w:sz w:val="18"/>
              </w:rPr>
              <w:t>No build step, no framework lock-in; loads instantly; trivially deployable as static files</w:t>
            </w:r>
          </w:p>
        </w:tc>
      </w:tr>
      <w:tr>
        <w:tc>
          <w:tcPr>
            <w:tcW w:type="dxa" w:w="3216"/>
            <w:shd w:val="clear" w:fill="E8F2F1"/>
          </w:tcPr>
          <w:p>
            <w:r/>
            <w:r>
              <w:rPr>
                <w:sz w:val="18"/>
              </w:rPr>
              <w:t>Tool scripting</w:t>
            </w:r>
          </w:p>
        </w:tc>
        <w:tc>
          <w:tcPr>
            <w:tcW w:type="dxa" w:w="3216"/>
            <w:shd w:val="clear" w:fill="E8F2F1"/>
          </w:tcPr>
          <w:p>
            <w:r/>
            <w:r>
              <w:rPr>
                <w:sz w:val="18"/>
              </w:rPr>
              <w:t>Bash</w:t>
            </w:r>
          </w:p>
        </w:tc>
        <w:tc>
          <w:tcPr>
            <w:tcW w:type="dxa" w:w="3216"/>
            <w:shd w:val="clear" w:fill="E8F2F1"/>
          </w:tcPr>
          <w:p>
            <w:r/>
            <w:r>
              <w:rPr>
                <w:sz w:val="18"/>
              </w:rPr>
              <w:t>Native glue for CLI bioinformatics tools and the vendored MGE-Sift modules</w:t>
            </w:r>
          </w:p>
        </w:tc>
      </w:tr>
      <w:tr>
        <w:tc>
          <w:tcPr>
            <w:tcW w:type="dxa" w:w="3216"/>
          </w:tcPr>
          <w:p>
            <w:r/>
            <w:r>
              <w:rPr>
                <w:sz w:val="18"/>
              </w:rPr>
              <w:t>Query language</w:t>
            </w:r>
          </w:p>
        </w:tc>
        <w:tc>
          <w:tcPr>
            <w:tcW w:type="dxa" w:w="3216"/>
          </w:tcPr>
          <w:p>
            <w:r/>
            <w:r>
              <w:rPr>
                <w:sz w:val="18"/>
              </w:rPr>
              <w:t>SQL (SQLite dialect; MySQL for the mirror)</w:t>
            </w:r>
          </w:p>
        </w:tc>
        <w:tc>
          <w:tcPr>
            <w:tcW w:type="dxa" w:w="3216"/>
          </w:tcPr>
          <w:p>
            <w:r/>
            <w:r>
              <w:rPr>
                <w:sz w:val="18"/>
              </w:rPr>
              <w:t>Job &amp; run metadata; relational AMR result mirror</w:t>
            </w:r>
          </w:p>
        </w:tc>
      </w:tr>
      <w:tr>
        <w:tc>
          <w:tcPr>
            <w:tcW w:type="dxa" w:w="3216"/>
            <w:shd w:val="clear" w:fill="E8F2F1"/>
          </w:tcPr>
          <w:p>
            <w:r/>
            <w:r>
              <w:rPr>
                <w:sz w:val="18"/>
              </w:rPr>
              <w:t>Environment mgmt</w:t>
            </w:r>
          </w:p>
        </w:tc>
        <w:tc>
          <w:tcPr>
            <w:tcW w:type="dxa" w:w="3216"/>
            <w:shd w:val="clear" w:fill="E8F2F1"/>
          </w:tcPr>
          <w:p>
            <w:r/>
            <w:r>
              <w:rPr>
                <w:sz w:val="18"/>
              </w:rPr>
              <w:t>Conda / Mamba</w:t>
            </w:r>
          </w:p>
        </w:tc>
        <w:tc>
          <w:tcPr>
            <w:tcW w:type="dxa" w:w="3216"/>
            <w:shd w:val="clear" w:fill="E8F2F1"/>
          </w:tcPr>
          <w:p>
            <w:r/>
            <w:r>
              <w:rPr>
                <w:sz w:val="18"/>
              </w:rPr>
              <w:t>Reproducible, pinned bioinformatics toolchains in isolated environments</w:t>
            </w:r>
          </w:p>
        </w:tc>
      </w:tr>
      <w:tr>
        <w:tc>
          <w:tcPr>
            <w:tcW w:type="dxa" w:w="3216"/>
          </w:tcPr>
          <w:p>
            <w:r/>
            <w:r>
              <w:rPr>
                <w:sz w:val="18"/>
              </w:rPr>
              <w:t>Host platform</w:t>
            </w:r>
          </w:p>
        </w:tc>
        <w:tc>
          <w:tcPr>
            <w:tcW w:type="dxa" w:w="3216"/>
          </w:tcPr>
          <w:p>
            <w:r/>
            <w:r>
              <w:rPr>
                <w:sz w:val="18"/>
              </w:rPr>
              <w:t>WSL2 (Linux) on Windows</w:t>
            </w:r>
          </w:p>
        </w:tc>
        <w:tc>
          <w:tcPr>
            <w:tcW w:type="dxa" w:w="3216"/>
          </w:tcPr>
          <w:p>
            <w:r/>
            <w:r>
              <w:rPr>
                <w:sz w:val="18"/>
              </w:rPr>
              <w:t>Runs Linux-only bioinformatics tools on a Windows facility workstation</w:t>
            </w:r>
          </w:p>
        </w:tc>
      </w:tr>
    </w:tbl>
    <w:p>
      <w:pPr>
        <w:spacing w:after="120"/>
        <w:jc w:val="both"/>
      </w:pPr>
      <w:r>
        <w:rPr>
          <w:b w:val="0"/>
          <w:i w:val="0"/>
        </w:rPr>
        <w:t>The frontend follows the VetGenome Hub v1 design system — a warm-white surface with a deep-teal accent (#0F766E) — for visual continuity. It is intentionally a single static interface (no React/Vue/build pipeline), in line with the project decision to keep the presentation layer dependency-free.</w:t>
      </w:r>
    </w:p>
    <w:p>
      <w:r>
        <w:br w:type="page"/>
      </w:r>
    </w:p>
    <w:p>
      <w:pPr>
        <w:pStyle w:val="Heading1"/>
      </w:pPr>
      <w:r>
        <w:t>4. Databases &amp; Data Storage</w:t>
      </w:r>
    </w:p>
    <w:p>
      <w:pPr>
        <w:spacing w:after="120"/>
        <w:jc w:val="both"/>
      </w:pPr>
      <w:r>
        <w:rPr>
          <w:b w:val="0"/>
          <w:i w:val="0"/>
        </w:rPr>
        <w:t>The platform separates metadata (small, relational, queried constantly) from scientific artifacts (large files on disk). It uses SQLite as the primary metadata store and an optional MySQL/MariaDB instance as a relational mirror for AMR results.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F766E"/>
          </w:tcPr>
          <w:p>
            <w:r/>
            <w:r>
              <w:rPr>
                <w:b/>
                <w:color w:val="FFFFFF"/>
                <w:sz w:val="19"/>
              </w:rPr>
              <w:t>Store</w:t>
            </w:r>
          </w:p>
        </w:tc>
        <w:tc>
          <w:tcPr>
            <w:tcW w:type="dxa" w:w="2412"/>
            <w:shd w:val="clear" w:fill="0F766E"/>
          </w:tcPr>
          <w:p>
            <w:r/>
            <w:r>
              <w:rPr>
                <w:b/>
                <w:color w:val="FFFFFF"/>
                <w:sz w:val="19"/>
              </w:rPr>
              <w:t>Engine</w:t>
            </w:r>
          </w:p>
        </w:tc>
        <w:tc>
          <w:tcPr>
            <w:tcW w:type="dxa" w:w="2412"/>
            <w:shd w:val="clear" w:fill="0F766E"/>
          </w:tcPr>
          <w:p>
            <w:r/>
            <w:r>
              <w:rPr>
                <w:b/>
                <w:color w:val="FFFFFF"/>
                <w:sz w:val="19"/>
              </w:rPr>
              <w:t>Contents</w:t>
            </w:r>
          </w:p>
        </w:tc>
        <w:tc>
          <w:tcPr>
            <w:tcW w:type="dxa" w:w="2412"/>
            <w:shd w:val="clear" w:fill="0F766E"/>
          </w:tcPr>
          <w:p>
            <w:r/>
            <w:r>
              <w:rPr>
                <w:b/>
                <w:color w:val="FFFFFF"/>
                <w:sz w:val="19"/>
              </w:rPr>
              <w:t>Role</w:t>
            </w:r>
          </w:p>
        </w:tc>
      </w:tr>
      <w:tr>
        <w:tc>
          <w:tcPr>
            <w:tcW w:type="dxa" w:w="2412"/>
          </w:tcPr>
          <w:p>
            <w:r/>
            <w:r>
              <w:rPr>
                <w:sz w:val="18"/>
              </w:rPr>
              <w:t>jobs.db</w:t>
            </w:r>
          </w:p>
        </w:tc>
        <w:tc>
          <w:tcPr>
            <w:tcW w:type="dxa" w:w="2412"/>
          </w:tcPr>
          <w:p>
            <w:r/>
            <w:r>
              <w:rPr>
                <w:sz w:val="18"/>
              </w:rPr>
              <w:t>SQLite</w:t>
            </w:r>
          </w:p>
        </w:tc>
        <w:tc>
          <w:tcPr>
            <w:tcW w:type="dxa" w:w="2412"/>
          </w:tcPr>
          <w:p>
            <w:r/>
            <w:r>
              <w:rPr>
                <w:sz w:val="18"/>
              </w:rPr>
              <w:t>Every tool job: id, tool, mode, params, status, return code, outputs, timestamps</w:t>
            </w:r>
          </w:p>
        </w:tc>
        <w:tc>
          <w:tcPr>
            <w:tcW w:type="dxa" w:w="2412"/>
          </w:tcPr>
          <w:p>
            <w:r/>
            <w:r>
              <w:rPr>
                <w:sz w:val="18"/>
              </w:rPr>
              <w:t>Primary job store</w:t>
            </w:r>
          </w:p>
        </w:tc>
      </w:tr>
      <w:tr>
        <w:tc>
          <w:tcPr>
            <w:tcW w:type="dxa" w:w="2412"/>
            <w:shd w:val="clear" w:fill="E8F2F1"/>
          </w:tcPr>
          <w:p>
            <w:r/>
            <w:r>
              <w:rPr>
                <w:sz w:val="18"/>
              </w:rPr>
              <w:t>pipelines.db (runs)</w:t>
            </w:r>
          </w:p>
        </w:tc>
        <w:tc>
          <w:tcPr>
            <w:tcW w:type="dxa" w:w="2412"/>
            <w:shd w:val="clear" w:fill="E8F2F1"/>
          </w:tcPr>
          <w:p>
            <w:r/>
            <w:r>
              <w:rPr>
                <w:sz w:val="18"/>
              </w:rPr>
              <w:t>SQLite</w:t>
            </w:r>
          </w:p>
        </w:tc>
        <w:tc>
          <w:tcPr>
            <w:tcW w:type="dxa" w:w="2412"/>
            <w:shd w:val="clear" w:fill="E8F2F1"/>
          </w:tcPr>
          <w:p>
            <w:r/>
            <w:r>
              <w:rPr>
                <w:sz w:val="18"/>
              </w:rPr>
              <w:t>Run manifests: ordered step list, per-step status, sample, reference, cohort membership</w:t>
            </w:r>
          </w:p>
        </w:tc>
        <w:tc>
          <w:tcPr>
            <w:tcW w:type="dxa" w:w="2412"/>
            <w:shd w:val="clear" w:fill="E8F2F1"/>
          </w:tcPr>
          <w:p>
            <w:r/>
            <w:r>
              <w:rPr>
                <w:sz w:val="18"/>
              </w:rPr>
              <w:t>Primary run store</w:t>
            </w:r>
          </w:p>
        </w:tc>
      </w:tr>
      <w:tr>
        <w:tc>
          <w:tcPr>
            <w:tcW w:type="dxa" w:w="2412"/>
          </w:tcPr>
          <w:p>
            <w:r/>
            <w:r>
              <w:rPr>
                <w:sz w:val="18"/>
              </w:rPr>
              <w:t>resistome (MySQL)</w:t>
            </w:r>
          </w:p>
        </w:tc>
        <w:tc>
          <w:tcPr>
            <w:tcW w:type="dxa" w:w="2412"/>
          </w:tcPr>
          <w:p>
            <w:r/>
            <w:r>
              <w:rPr>
                <w:sz w:val="18"/>
              </w:rPr>
              <w:t>MariaDB / MySQL (XAMPP)</w:t>
            </w:r>
          </w:p>
        </w:tc>
        <w:tc>
          <w:tcPr>
            <w:tcW w:type="dxa" w:w="2412"/>
          </w:tcPr>
          <w:p>
            <w:r/>
            <w:r>
              <w:rPr>
                <w:sz w:val="18"/>
              </w:rPr>
              <w:t>amr_genes + resistance_mutations rows mirrored from each AMR report</w:t>
            </w:r>
          </w:p>
        </w:tc>
        <w:tc>
          <w:tcPr>
            <w:tcW w:type="dxa" w:w="2412"/>
          </w:tcPr>
          <w:p>
            <w:r/>
            <w:r>
              <w:rPr>
                <w:sz w:val="18"/>
              </w:rPr>
              <w:t>Optional relational mirror for cross-sample queries</w:t>
            </w:r>
          </w:p>
        </w:tc>
      </w:tr>
      <w:tr>
        <w:tc>
          <w:tcPr>
            <w:tcW w:type="dxa" w:w="2412"/>
            <w:shd w:val="clear" w:fill="E8F2F1"/>
          </w:tcPr>
          <w:p>
            <w:r/>
            <w:r>
              <w:rPr>
                <w:sz w:val="18"/>
              </w:rPr>
              <w:t>Per-run working dir</w:t>
            </w:r>
          </w:p>
        </w:tc>
        <w:tc>
          <w:tcPr>
            <w:tcW w:type="dxa" w:w="2412"/>
            <w:shd w:val="clear" w:fill="E8F2F1"/>
          </w:tcPr>
          <w:p>
            <w:r/>
            <w:r>
              <w:rPr>
                <w:sz w:val="18"/>
              </w:rPr>
              <w:t>Filesystem (work/&lt;run_id&gt;/)</w:t>
            </w:r>
          </w:p>
        </w:tc>
        <w:tc>
          <w:tcPr>
            <w:tcW w:type="dxa" w:w="2412"/>
            <w:shd w:val="clear" w:fill="E8F2F1"/>
          </w:tcPr>
          <w:p>
            <w:r/>
            <w:r>
              <w:rPr>
                <w:sz w:val="18"/>
              </w:rPr>
              <w:t>All intermediates and outputs: qc, trimmed, kraken, assembly, aligned, variants, consensus, amr, mge</w:t>
            </w:r>
          </w:p>
        </w:tc>
        <w:tc>
          <w:tcPr>
            <w:tcW w:type="dxa" w:w="2412"/>
            <w:shd w:val="clear" w:fill="E8F2F1"/>
          </w:tcPr>
          <w:p>
            <w:r/>
            <w:r>
              <w:rPr>
                <w:sz w:val="18"/>
              </w:rPr>
              <w:t>Scientific artifacts</w:t>
            </w:r>
          </w:p>
        </w:tc>
      </w:tr>
      <w:tr>
        <w:tc>
          <w:tcPr>
            <w:tcW w:type="dxa" w:w="2412"/>
          </w:tcPr>
          <w:p>
            <w:r/>
            <w:r>
              <w:rPr>
                <w:sz w:val="18"/>
              </w:rPr>
              <w:t>Consensus library</w:t>
            </w:r>
          </w:p>
        </w:tc>
        <w:tc>
          <w:tcPr>
            <w:tcW w:type="dxa" w:w="2412"/>
          </w:tcPr>
          <w:p>
            <w:r/>
            <w:r>
              <w:rPr>
                <w:sz w:val="18"/>
              </w:rPr>
              <w:t>Filesystem (shared)</w:t>
            </w:r>
          </w:p>
        </w:tc>
        <w:tc>
          <w:tcPr>
            <w:tcW w:type="dxa" w:w="2412"/>
          </w:tcPr>
          <w:p>
            <w:r/>
            <w:r>
              <w:rPr>
                <w:sz w:val="18"/>
              </w:rPr>
              <w:t>Published per-sample consensus FASTAs used by cohort analyses</w:t>
            </w:r>
          </w:p>
        </w:tc>
        <w:tc>
          <w:tcPr>
            <w:tcW w:type="dxa" w:w="2412"/>
          </w:tcPr>
          <w:p>
            <w:r/>
            <w:r>
              <w:rPr>
                <w:sz w:val="18"/>
              </w:rPr>
              <w:t>Cohort input</w:t>
            </w:r>
          </w:p>
        </w:tc>
      </w:tr>
    </w:tbl>
    <w:p>
      <w:pPr>
        <w:pStyle w:val="Heading2"/>
      </w:pPr>
      <w:r>
        <w:t>4.1 Reference databases</w:t>
      </w:r>
    </w:p>
    <w:p>
      <w:pPr>
        <w:spacing w:after="120"/>
        <w:jc w:val="both"/>
      </w:pPr>
      <w:r>
        <w:rPr>
          <w:b w:val="0"/>
          <w:i w:val="0"/>
        </w:rPr>
        <w:t>Several curated reference databases power classification and downstream analysis. They are version-pinned and fetched during environment setup:</w:t>
      </w:r>
    </w:p>
    <w:p>
      <w:pPr>
        <w:pStyle w:val="ListBullet"/>
        <w:spacing w:after="60"/>
      </w:pPr>
      <w:r>
        <w:rPr>
          <w:b/>
        </w:rPr>
        <w:t xml:space="preserve">Kraken2 Standard-16 — </w:t>
      </w:r>
      <w:r>
        <w:t>taxonomic classification and contamination profiling.</w:t>
      </w:r>
    </w:p>
    <w:p>
      <w:pPr>
        <w:pStyle w:val="ListBullet"/>
        <w:spacing w:after="60"/>
      </w:pPr>
      <w:r>
        <w:rPr>
          <w:b/>
        </w:rPr>
        <w:t xml:space="preserve">Host index (bovine Bowtie2 index) — </w:t>
      </w:r>
      <w:r>
        <w:t>host-read removal via KneadData.</w:t>
      </w:r>
    </w:p>
    <w:p>
      <w:pPr>
        <w:pStyle w:val="ListBullet"/>
        <w:spacing w:after="60"/>
      </w:pPr>
      <w:r>
        <w:rPr>
          <w:b/>
        </w:rPr>
        <w:t xml:space="preserve">Clair3 models (r1041_e82_400bps_sup, v500 PyTorch) — </w:t>
      </w:r>
      <w:r>
        <w:t>neural variant calling for ONT.</w:t>
      </w:r>
    </w:p>
    <w:p>
      <w:pPr>
        <w:pStyle w:val="ListBullet"/>
        <w:spacing w:after="60"/>
      </w:pPr>
      <w:r>
        <w:rPr>
          <w:b/>
        </w:rPr>
        <w:t xml:space="preserve">NCBI AMRFinderPlus database — </w:t>
      </w:r>
      <w:r>
        <w:t>curated acquired AMR genes + point mutations.</w:t>
      </w:r>
    </w:p>
    <w:p>
      <w:pPr>
        <w:pStyle w:val="ListBullet"/>
        <w:spacing w:after="60"/>
      </w:pPr>
      <w:r>
        <w:rPr>
          <w:b/>
        </w:rPr>
        <w:t xml:space="preserve">CARD / RGI, ResFinder, PlasmidFinder, MOB-suite, ISEScan, IntegronFinder, PhiSpy, NCBI taxonomy, ABRicate databases — </w:t>
      </w:r>
      <w:r>
        <w:t>used by the MGE-Sift downstream pipeline.</w:t>
      </w:r>
    </w:p>
    <w:p>
      <w:pPr>
        <w:spacing w:after="120"/>
        <w:jc w:val="both"/>
      </w:pPr>
      <w:r>
        <w:rPr>
          <w:b w:val="0"/>
          <w:i w:val="0"/>
        </w:rPr>
        <w:t>Storing artifacts on disk (rather than as BLOBs) keeps the databases small and fast, and lets standard genomics tooling read the files directly. The MySQL mirror is strictly additive: if it is unreachable, AMR reporting still works entirely from the on-disk JSON reports, so the science is never blocked by the relational layer.</w:t>
      </w:r>
    </w:p>
    <w:p>
      <w:r>
        <w:br w:type="page"/>
      </w:r>
    </w:p>
    <w:p>
      <w:pPr>
        <w:pStyle w:val="Heading1"/>
      </w:pPr>
      <w:r>
        <w:t>5. Orchestration — What Is Used Instead of Nextflow</w:t>
      </w:r>
    </w:p>
    <w:p>
      <w:pPr>
        <w:spacing w:after="120"/>
        <w:jc w:val="both"/>
      </w:pPr>
      <w:r>
        <w:rPr>
          <w:b w:val="0"/>
          <w:i w:val="0"/>
        </w:rPr>
        <w:t>A central design decision was to NOT use Nextflow (or Snakemake, WDL/Cromwell, Celery, or Airflow) for orchestration. Instead the platform uses a purpose-built, lightweight Python orchestrator. This section explains both the replacement and the reasoning.</w:t>
      </w:r>
    </w:p>
    <w:p>
      <w:pPr>
        <w:pStyle w:val="Heading2"/>
      </w:pPr>
      <w:r>
        <w:t>5.1 The custom orchestrator</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F766E"/>
          </w:tcPr>
          <w:p>
            <w:r/>
            <w:r>
              <w:rPr>
                <w:b/>
                <w:color w:val="FFFFFF"/>
                <w:sz w:val="19"/>
              </w:rPr>
              <w:t>Need</w:t>
            </w:r>
          </w:p>
        </w:tc>
        <w:tc>
          <w:tcPr>
            <w:tcW w:type="dxa" w:w="3216"/>
            <w:shd w:val="clear" w:fill="0F766E"/>
          </w:tcPr>
          <w:p>
            <w:r/>
            <w:r>
              <w:rPr>
                <w:b/>
                <w:color w:val="FFFFFF"/>
                <w:sz w:val="19"/>
              </w:rPr>
              <w:t>Nextflow's approach</w:t>
            </w:r>
          </w:p>
        </w:tc>
        <w:tc>
          <w:tcPr>
            <w:tcW w:type="dxa" w:w="3216"/>
            <w:shd w:val="clear" w:fill="0F766E"/>
          </w:tcPr>
          <w:p>
            <w:r/>
            <w:r>
              <w:rPr>
                <w:b/>
                <w:color w:val="FFFFFF"/>
                <w:sz w:val="19"/>
              </w:rPr>
              <w:t>VetGenomeHub v2's approach</w:t>
            </w:r>
          </w:p>
        </w:tc>
      </w:tr>
      <w:tr>
        <w:tc>
          <w:tcPr>
            <w:tcW w:type="dxa" w:w="3216"/>
          </w:tcPr>
          <w:p>
            <w:r/>
            <w:r>
              <w:rPr>
                <w:sz w:val="18"/>
              </w:rPr>
              <w:t>Define the pipeline</w:t>
            </w:r>
          </w:p>
        </w:tc>
        <w:tc>
          <w:tcPr>
            <w:tcW w:type="dxa" w:w="3216"/>
          </w:tcPr>
          <w:p>
            <w:r/>
            <w:r>
              <w:rPr>
                <w:sz w:val="18"/>
              </w:rPr>
              <w:t>DSL2 workflow script + channels</w:t>
            </w:r>
          </w:p>
        </w:tc>
        <w:tc>
          <w:tcPr>
            <w:tcW w:type="dxa" w:w="3216"/>
          </w:tcPr>
          <w:p>
            <w:r/>
            <w:r>
              <w:rPr>
                <w:sz w:val="18"/>
              </w:rPr>
              <w:t>An ordered Python step list built per run (build_steps), each step = a tool adapter + params</w:t>
            </w:r>
          </w:p>
        </w:tc>
      </w:tr>
      <w:tr>
        <w:tc>
          <w:tcPr>
            <w:tcW w:type="dxa" w:w="3216"/>
            <w:shd w:val="clear" w:fill="E8F2F1"/>
          </w:tcPr>
          <w:p>
            <w:r/>
            <w:r>
              <w:rPr>
                <w:sz w:val="18"/>
              </w:rPr>
              <w:t>Run steps in order</w:t>
            </w:r>
          </w:p>
        </w:tc>
        <w:tc>
          <w:tcPr>
            <w:tcW w:type="dxa" w:w="3216"/>
            <w:shd w:val="clear" w:fill="E8F2F1"/>
          </w:tcPr>
          <w:p>
            <w:r/>
            <w:r>
              <w:rPr>
                <w:sz w:val="18"/>
              </w:rPr>
              <w:t>Dataflow scheduler</w:t>
            </w:r>
          </w:p>
        </w:tc>
        <w:tc>
          <w:tcPr>
            <w:tcW w:type="dxa" w:w="3216"/>
            <w:shd w:val="clear" w:fill="E8F2F1"/>
          </w:tcPr>
          <w:p>
            <w:r/>
            <w:r>
              <w:rPr>
                <w:sz w:val="18"/>
              </w:rPr>
              <w:t>A background thread (_run_chain) runs steps sequentially, wiring each output into the next input</w:t>
            </w:r>
          </w:p>
        </w:tc>
      </w:tr>
      <w:tr>
        <w:tc>
          <w:tcPr>
            <w:tcW w:type="dxa" w:w="3216"/>
          </w:tcPr>
          <w:p>
            <w:r/>
            <w:r>
              <w:rPr>
                <w:sz w:val="18"/>
              </w:rPr>
              <w:t>Parallelism</w:t>
            </w:r>
          </w:p>
        </w:tc>
        <w:tc>
          <w:tcPr>
            <w:tcW w:type="dxa" w:w="3216"/>
          </w:tcPr>
          <w:p>
            <w:r/>
            <w:r>
              <w:rPr>
                <w:sz w:val="18"/>
              </w:rPr>
              <w:t>Executor back-ends (local/SLURM/k8s)</w:t>
            </w:r>
          </w:p>
        </w:tc>
        <w:tc>
          <w:tcPr>
            <w:tcW w:type="dxa" w:w="3216"/>
          </w:tcPr>
          <w:p>
            <w:r/>
            <w:r>
              <w:rPr>
                <w:sz w:val="18"/>
              </w:rPr>
              <w:t>A bounded ThreadPoolExecutor (VG_MAX_WORKERS) runs tool jobs concurrently across runs</w:t>
            </w:r>
          </w:p>
        </w:tc>
      </w:tr>
      <w:tr>
        <w:tc>
          <w:tcPr>
            <w:tcW w:type="dxa" w:w="3216"/>
            <w:shd w:val="clear" w:fill="E8F2F1"/>
          </w:tcPr>
          <w:p>
            <w:r/>
            <w:r>
              <w:rPr>
                <w:sz w:val="18"/>
              </w:rPr>
              <w:t>Resume</w:t>
            </w:r>
          </w:p>
        </w:tc>
        <w:tc>
          <w:tcPr>
            <w:tcW w:type="dxa" w:w="3216"/>
            <w:shd w:val="clear" w:fill="E8F2F1"/>
          </w:tcPr>
          <w:p>
            <w:r/>
            <w:r>
              <w:rPr>
                <w:sz w:val="18"/>
              </w:rPr>
              <w:t>-resume with content-addressed cache</w:t>
            </w:r>
          </w:p>
        </w:tc>
        <w:tc>
          <w:tcPr>
            <w:tcW w:type="dxa" w:w="3216"/>
            <w:shd w:val="clear" w:fill="E8F2F1"/>
          </w:tcPr>
          <w:p>
            <w:r/>
            <w:r>
              <w:rPr>
                <w:sz w:val="18"/>
              </w:rPr>
              <w:t>Output-existence checkpoint: a step whose non-empty output exists is skipped</w:t>
            </w:r>
          </w:p>
        </w:tc>
      </w:tr>
      <w:tr>
        <w:tc>
          <w:tcPr>
            <w:tcW w:type="dxa" w:w="3216"/>
          </w:tcPr>
          <w:p>
            <w:r/>
            <w:r>
              <w:rPr>
                <w:sz w:val="18"/>
              </w:rPr>
              <w:t>Isolation</w:t>
            </w:r>
          </w:p>
        </w:tc>
        <w:tc>
          <w:tcPr>
            <w:tcW w:type="dxa" w:w="3216"/>
          </w:tcPr>
          <w:p>
            <w:r/>
            <w:r>
              <w:rPr>
                <w:sz w:val="18"/>
              </w:rPr>
              <w:t>Per-process work/ hashes</w:t>
            </w:r>
          </w:p>
        </w:tc>
        <w:tc>
          <w:tcPr>
            <w:tcW w:type="dxa" w:w="3216"/>
          </w:tcPr>
          <w:p>
            <w:r/>
            <w:r>
              <w:rPr>
                <w:sz w:val="18"/>
              </w:rPr>
              <w:t>Per-run directory work/&lt;run_id&gt;/ with the standard pipeline sub-folders</w:t>
            </w:r>
          </w:p>
        </w:tc>
      </w:tr>
      <w:tr>
        <w:tc>
          <w:tcPr>
            <w:tcW w:type="dxa" w:w="3216"/>
            <w:shd w:val="clear" w:fill="E8F2F1"/>
          </w:tcPr>
          <w:p>
            <w:r/>
            <w:r>
              <w:rPr>
                <w:sz w:val="18"/>
              </w:rPr>
              <w:t>Status/provenance</w:t>
            </w:r>
          </w:p>
        </w:tc>
        <w:tc>
          <w:tcPr>
            <w:tcW w:type="dxa" w:w="3216"/>
            <w:shd w:val="clear" w:fill="E8F2F1"/>
          </w:tcPr>
          <w:p>
            <w:r/>
            <w:r>
              <w:rPr>
                <w:sz w:val="18"/>
              </w:rPr>
              <w:t>.nextflow.log + reports</w:t>
            </w:r>
          </w:p>
        </w:tc>
        <w:tc>
          <w:tcPr>
            <w:tcW w:type="dxa" w:w="3216"/>
            <w:shd w:val="clear" w:fill="E8F2F1"/>
          </w:tcPr>
          <w:p>
            <w:r/>
            <w:r>
              <w:rPr>
                <w:sz w:val="18"/>
              </w:rPr>
              <w:t>SQLite job + run tables with live per-step status and per-job logs</w:t>
            </w:r>
          </w:p>
        </w:tc>
      </w:tr>
    </w:tbl>
    <w:p>
      <w:pPr>
        <w:pStyle w:val="Heading2"/>
      </w:pPr>
      <w:r>
        <w:t>5.2 Why a custom orchestrator instead of Nextflow</w:t>
      </w:r>
    </w:p>
    <w:p>
      <w:pPr>
        <w:pStyle w:val="ListBullet"/>
        <w:spacing w:after="60"/>
      </w:pPr>
      <w:r>
        <w:rPr>
          <w:b/>
        </w:rPr>
        <w:t xml:space="preserve">Operational simplicity — </w:t>
      </w:r>
      <w:r>
        <w:t>no JVM, no Groovy DSL, no separate scheduler to install, tune or debug on a single facility workstation.</w:t>
      </w:r>
    </w:p>
    <w:p>
      <w:pPr>
        <w:pStyle w:val="ListBullet"/>
        <w:spacing w:after="60"/>
      </w:pPr>
      <w:r>
        <w:rPr>
          <w:b/>
        </w:rPr>
        <w:t xml:space="preserve">Tight UI integration — </w:t>
      </w:r>
      <w:r>
        <w:t>the chain reports live per-step status directly into the web dashboard the operators already use, with no external log parsing.</w:t>
      </w:r>
    </w:p>
    <w:p>
      <w:pPr>
        <w:pStyle w:val="ListBullet"/>
        <w:spacing w:after="60"/>
      </w:pPr>
      <w:r>
        <w:rPr>
          <w:b/>
        </w:rPr>
        <w:t xml:space="preserve">Full control of routing logic — </w:t>
      </w:r>
      <w:r>
        <w:t>contamination-aware branching (skip host removal when a sample is host-free) and QC gates are expressed in plain Python, not a DSL.</w:t>
      </w:r>
    </w:p>
    <w:p>
      <w:pPr>
        <w:pStyle w:val="ListBullet"/>
        <w:spacing w:after="60"/>
      </w:pPr>
      <w:r>
        <w:rPr>
          <w:b/>
        </w:rPr>
        <w:t xml:space="preserve">Lower cognitive load — </w:t>
      </w:r>
      <w:r>
        <w:t>a veterinary microbiologist or a single bioinformatician can read and modify the orchestration; it is a few hundred lines of Python, not a framework.</w:t>
      </w:r>
    </w:p>
    <w:p>
      <w:pPr>
        <w:pStyle w:val="ListBullet"/>
        <w:spacing w:after="60"/>
      </w:pPr>
      <w:r>
        <w:rPr>
          <w:b/>
        </w:rPr>
        <w:t xml:space="preserve">Right-sized concurrency — </w:t>
      </w:r>
      <w:r>
        <w:t>a thread pool with an explicit worker cap matches a memory-constrained (≈16 GB) box far more predictably than a general scheduler.</w:t>
      </w:r>
    </w:p>
    <w:p>
      <w:pPr>
        <w:spacing w:after="120"/>
        <w:jc w:val="both"/>
      </w:pPr>
      <w:r>
        <w:rPr>
          <w:b w:val="0"/>
          <w:i w:val="0"/>
        </w:rPr>
        <w:t>The trade-off is acknowledged: a hand-rolled in-memory executor does not, by itself, survive a process restart the way a workflow engine's persistent cache does. This was addressed directly with a restart-recovery layer (Section 11) that reaps orphaned jobs and can resume interrupted runs from their on-disk checkpoints — giving much of Nextflow's resume benefit at a fraction of the operational cost.</w:t>
      </w:r>
    </w:p>
    <w:p>
      <w:r>
        <w:br w:type="page"/>
      </w:r>
    </w:p>
    <w:p>
      <w:pPr>
        <w:pStyle w:val="Heading1"/>
      </w:pPr>
      <w:r>
        <w:t>6. The Core Pipeline — Methodology &amp; Flow</w:t>
      </w:r>
    </w:p>
    <w:p>
      <w:pPr>
        <w:spacing w:after="120"/>
        <w:jc w:val="both"/>
      </w:pPr>
      <w:r>
        <w:rPr>
          <w:b w:val="0"/>
          <w:i w:val="0"/>
        </w:rPr>
        <w:t>Each single-sample run executes the following ordered chain. Steps are topologically ordered: every step's input is guaranteed to exist (produced by an earlier step) before it runs. The chain is contamination-aware and gated on quality.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F766E"/>
          </w:tcPr>
          <w:p>
            <w:r/>
            <w:r>
              <w:rPr>
                <w:b/>
                <w:color w:val="FFFFFF"/>
                <w:sz w:val="19"/>
              </w:rPr>
              <w:t>#</w:t>
            </w:r>
          </w:p>
        </w:tc>
        <w:tc>
          <w:tcPr>
            <w:tcW w:type="dxa" w:w="2412"/>
            <w:shd w:val="clear" w:fill="0F766E"/>
          </w:tcPr>
          <w:p>
            <w:r/>
            <w:r>
              <w:rPr>
                <w:b/>
                <w:color w:val="FFFFFF"/>
                <w:sz w:val="19"/>
              </w:rPr>
              <w:t>Stage</w:t>
            </w:r>
          </w:p>
        </w:tc>
        <w:tc>
          <w:tcPr>
            <w:tcW w:type="dxa" w:w="2412"/>
            <w:shd w:val="clear" w:fill="0F766E"/>
          </w:tcPr>
          <w:p>
            <w:r/>
            <w:r>
              <w:rPr>
                <w:b/>
                <w:color w:val="FFFFFF"/>
                <w:sz w:val="19"/>
              </w:rPr>
              <w:t>Tool</w:t>
            </w:r>
          </w:p>
        </w:tc>
        <w:tc>
          <w:tcPr>
            <w:tcW w:type="dxa" w:w="2412"/>
            <w:shd w:val="clear" w:fill="0F766E"/>
          </w:tcPr>
          <w:p>
            <w:r/>
            <w:r>
              <w:rPr>
                <w:b/>
                <w:color w:val="FFFFFF"/>
                <w:sz w:val="19"/>
              </w:rPr>
              <w:t>Purpose</w:t>
            </w:r>
          </w:p>
        </w:tc>
      </w:tr>
      <w:tr>
        <w:tc>
          <w:tcPr>
            <w:tcW w:type="dxa" w:w="2412"/>
          </w:tcPr>
          <w:p>
            <w:r/>
            <w:r>
              <w:rPr>
                <w:sz w:val="18"/>
              </w:rPr>
              <w:t>1</w:t>
            </w:r>
          </w:p>
        </w:tc>
        <w:tc>
          <w:tcPr>
            <w:tcW w:type="dxa" w:w="2412"/>
          </w:tcPr>
          <w:p>
            <w:r/>
            <w:r>
              <w:rPr>
                <w:sz w:val="18"/>
              </w:rPr>
              <w:t>Raw read QC</w:t>
            </w:r>
          </w:p>
        </w:tc>
        <w:tc>
          <w:tcPr>
            <w:tcW w:type="dxa" w:w="2412"/>
          </w:tcPr>
          <w:p>
            <w:r/>
            <w:r>
              <w:rPr>
                <w:sz w:val="18"/>
              </w:rPr>
              <w:t>FastQC</w:t>
            </w:r>
          </w:p>
        </w:tc>
        <w:tc>
          <w:tcPr>
            <w:tcW w:type="dxa" w:w="2412"/>
          </w:tcPr>
          <w:p>
            <w:r/>
            <w:r>
              <w:rPr>
                <w:sz w:val="18"/>
              </w:rPr>
              <w:t>Per-base quality, adapter &amp; length profiling of raw reads</w:t>
            </w:r>
          </w:p>
        </w:tc>
      </w:tr>
      <w:tr>
        <w:tc>
          <w:tcPr>
            <w:tcW w:type="dxa" w:w="2412"/>
            <w:shd w:val="clear" w:fill="E8F2F1"/>
          </w:tcPr>
          <w:p>
            <w:r/>
            <w:r>
              <w:rPr>
                <w:sz w:val="18"/>
              </w:rPr>
              <w:t>2</w:t>
            </w:r>
          </w:p>
        </w:tc>
        <w:tc>
          <w:tcPr>
            <w:tcW w:type="dxa" w:w="2412"/>
            <w:shd w:val="clear" w:fill="E8F2F1"/>
          </w:tcPr>
          <w:p>
            <w:r/>
            <w:r>
              <w:rPr>
                <w:sz w:val="18"/>
              </w:rPr>
              <w:t>ONT read QC</w:t>
            </w:r>
          </w:p>
        </w:tc>
        <w:tc>
          <w:tcPr>
            <w:tcW w:type="dxa" w:w="2412"/>
            <w:shd w:val="clear" w:fill="E8F2F1"/>
          </w:tcPr>
          <w:p>
            <w:r/>
            <w:r>
              <w:rPr>
                <w:sz w:val="18"/>
              </w:rPr>
              <w:t>NanoPlot</w:t>
            </w:r>
          </w:p>
        </w:tc>
        <w:tc>
          <w:tcPr>
            <w:tcW w:type="dxa" w:w="2412"/>
            <w:shd w:val="clear" w:fill="E8F2F1"/>
          </w:tcPr>
          <w:p>
            <w:r/>
            <w:r>
              <w:rPr>
                <w:sz w:val="18"/>
              </w:rPr>
              <w:t>Nanopore-specific read-length / quality distributions</w:t>
            </w:r>
          </w:p>
        </w:tc>
      </w:tr>
      <w:tr>
        <w:tc>
          <w:tcPr>
            <w:tcW w:type="dxa" w:w="2412"/>
          </w:tcPr>
          <w:p>
            <w:r/>
            <w:r>
              <w:rPr>
                <w:sz w:val="18"/>
              </w:rPr>
              <w:t>3</w:t>
            </w:r>
          </w:p>
        </w:tc>
        <w:tc>
          <w:tcPr>
            <w:tcW w:type="dxa" w:w="2412"/>
          </w:tcPr>
          <w:p>
            <w:r/>
            <w:r>
              <w:rPr>
                <w:sz w:val="18"/>
              </w:rPr>
              <w:t>Adapter trimming</w:t>
            </w:r>
          </w:p>
        </w:tc>
        <w:tc>
          <w:tcPr>
            <w:tcW w:type="dxa" w:w="2412"/>
          </w:tcPr>
          <w:p>
            <w:r/>
            <w:r>
              <w:rPr>
                <w:sz w:val="18"/>
              </w:rPr>
              <w:t>Porechop_ABI</w:t>
            </w:r>
          </w:p>
        </w:tc>
        <w:tc>
          <w:tcPr>
            <w:tcW w:type="dxa" w:w="2412"/>
          </w:tcPr>
          <w:p>
            <w:r/>
            <w:r>
              <w:rPr>
                <w:sz w:val="18"/>
              </w:rPr>
              <w:t>Detect &amp; remove ONT adapters/barcodes</w:t>
            </w:r>
          </w:p>
        </w:tc>
      </w:tr>
      <w:tr>
        <w:tc>
          <w:tcPr>
            <w:tcW w:type="dxa" w:w="2412"/>
            <w:shd w:val="clear" w:fill="E8F2F1"/>
          </w:tcPr>
          <w:p>
            <w:r/>
            <w:r>
              <w:rPr>
                <w:sz w:val="18"/>
              </w:rPr>
              <w:t>4</w:t>
            </w:r>
          </w:p>
        </w:tc>
        <w:tc>
          <w:tcPr>
            <w:tcW w:type="dxa" w:w="2412"/>
            <w:shd w:val="clear" w:fill="E8F2F1"/>
          </w:tcPr>
          <w:p>
            <w:r/>
            <w:r>
              <w:rPr>
                <w:sz w:val="18"/>
              </w:rPr>
              <w:t>Quality/length filter</w:t>
            </w:r>
          </w:p>
        </w:tc>
        <w:tc>
          <w:tcPr>
            <w:tcW w:type="dxa" w:w="2412"/>
            <w:shd w:val="clear" w:fill="E8F2F1"/>
          </w:tcPr>
          <w:p>
            <w:r/>
            <w:r>
              <w:rPr>
                <w:sz w:val="18"/>
              </w:rPr>
              <w:t>Chopper</w:t>
            </w:r>
          </w:p>
        </w:tc>
        <w:tc>
          <w:tcPr>
            <w:tcW w:type="dxa" w:w="2412"/>
            <w:shd w:val="clear" w:fill="E8F2F1"/>
          </w:tcPr>
          <w:p>
            <w:r/>
            <w:r>
              <w:rPr>
                <w:sz w:val="18"/>
              </w:rPr>
              <w:t>Drop low-quality and too-short reads</w:t>
            </w:r>
          </w:p>
        </w:tc>
      </w:tr>
      <w:tr>
        <w:tc>
          <w:tcPr>
            <w:tcW w:type="dxa" w:w="2412"/>
          </w:tcPr>
          <w:p>
            <w:r/>
            <w:r>
              <w:rPr>
                <w:sz w:val="18"/>
              </w:rPr>
              <w:t>5</w:t>
            </w:r>
          </w:p>
        </w:tc>
        <w:tc>
          <w:tcPr>
            <w:tcW w:type="dxa" w:w="2412"/>
          </w:tcPr>
          <w:p>
            <w:r/>
            <w:r>
              <w:rPr>
                <w:sz w:val="18"/>
              </w:rPr>
              <w:t>Taxonomic classification</w:t>
            </w:r>
          </w:p>
        </w:tc>
        <w:tc>
          <w:tcPr>
            <w:tcW w:type="dxa" w:w="2412"/>
          </w:tcPr>
          <w:p>
            <w:r/>
            <w:r>
              <w:rPr>
                <w:sz w:val="18"/>
              </w:rPr>
              <w:t>Kraken2</w:t>
            </w:r>
          </w:p>
        </w:tc>
        <w:tc>
          <w:tcPr>
            <w:tcW w:type="dxa" w:w="2412"/>
          </w:tcPr>
          <w:p>
            <w:r/>
            <w:r>
              <w:rPr>
                <w:sz w:val="18"/>
              </w:rPr>
              <w:t>Assign reads to taxa; basis for contamination</w:t>
            </w:r>
          </w:p>
        </w:tc>
      </w:tr>
      <w:tr>
        <w:tc>
          <w:tcPr>
            <w:tcW w:type="dxa" w:w="2412"/>
            <w:shd w:val="clear" w:fill="E8F2F1"/>
          </w:tcPr>
          <w:p>
            <w:r/>
            <w:r>
              <w:rPr>
                <w:sz w:val="18"/>
              </w:rPr>
              <w:t>6</w:t>
            </w:r>
          </w:p>
        </w:tc>
        <w:tc>
          <w:tcPr>
            <w:tcW w:type="dxa" w:w="2412"/>
            <w:shd w:val="clear" w:fill="E8F2F1"/>
          </w:tcPr>
          <w:p>
            <w:r/>
            <w:r>
              <w:rPr>
                <w:sz w:val="18"/>
              </w:rPr>
              <w:t>Classification tidy-up</w:t>
            </w:r>
          </w:p>
        </w:tc>
        <w:tc>
          <w:tcPr>
            <w:tcW w:type="dxa" w:w="2412"/>
            <w:shd w:val="clear" w:fill="E8F2F1"/>
          </w:tcPr>
          <w:p>
            <w:r/>
            <w:r>
              <w:rPr>
                <w:sz w:val="18"/>
              </w:rPr>
              <w:t>KrakenTools</w:t>
            </w:r>
          </w:p>
        </w:tc>
        <w:tc>
          <w:tcPr>
            <w:tcW w:type="dxa" w:w="2412"/>
            <w:shd w:val="clear" w:fill="E8F2F1"/>
          </w:tcPr>
          <w:p>
            <w:r/>
            <w:r>
              <w:rPr>
                <w:sz w:val="18"/>
              </w:rPr>
              <w:t>Extract/format Kraken2 results</w:t>
            </w:r>
          </w:p>
        </w:tc>
      </w:tr>
      <w:tr>
        <w:tc>
          <w:tcPr>
            <w:tcW w:type="dxa" w:w="2412"/>
          </w:tcPr>
          <w:p>
            <w:r/>
            <w:r>
              <w:rPr>
                <w:sz w:val="18"/>
              </w:rPr>
              <w:t>7</w:t>
            </w:r>
          </w:p>
        </w:tc>
        <w:tc>
          <w:tcPr>
            <w:tcW w:type="dxa" w:w="2412"/>
          </w:tcPr>
          <w:p>
            <w:r/>
            <w:r>
              <w:rPr>
                <w:sz w:val="18"/>
              </w:rPr>
              <w:t>Classification viz</w:t>
            </w:r>
          </w:p>
        </w:tc>
        <w:tc>
          <w:tcPr>
            <w:tcW w:type="dxa" w:w="2412"/>
          </w:tcPr>
          <w:p>
            <w:r/>
            <w:r>
              <w:rPr>
                <w:sz w:val="18"/>
              </w:rPr>
              <w:t>Krona</w:t>
            </w:r>
          </w:p>
        </w:tc>
        <w:tc>
          <w:tcPr>
            <w:tcW w:type="dxa" w:w="2412"/>
          </w:tcPr>
          <w:p>
            <w:r/>
            <w:r>
              <w:rPr>
                <w:sz w:val="18"/>
              </w:rPr>
              <w:t>Interactive taxonomy composition chart</w:t>
            </w:r>
          </w:p>
        </w:tc>
      </w:tr>
      <w:tr>
        <w:tc>
          <w:tcPr>
            <w:tcW w:type="dxa" w:w="2412"/>
            <w:shd w:val="clear" w:fill="E8F2F1"/>
          </w:tcPr>
          <w:p>
            <w:r/>
            <w:r>
              <w:rPr>
                <w:sz w:val="18"/>
              </w:rPr>
              <w:t>8</w:t>
            </w:r>
          </w:p>
        </w:tc>
        <w:tc>
          <w:tcPr>
            <w:tcW w:type="dxa" w:w="2412"/>
            <w:shd w:val="clear" w:fill="E8F2F1"/>
          </w:tcPr>
          <w:p>
            <w:r/>
            <w:r>
              <w:rPr>
                <w:sz w:val="18"/>
              </w:rPr>
              <w:t>Host removal</w:t>
            </w:r>
          </w:p>
        </w:tc>
        <w:tc>
          <w:tcPr>
            <w:tcW w:type="dxa" w:w="2412"/>
            <w:shd w:val="clear" w:fill="E8F2F1"/>
          </w:tcPr>
          <w:p>
            <w:r/>
            <w:r>
              <w:rPr>
                <w:sz w:val="18"/>
              </w:rPr>
              <w:t>KneadData</w:t>
            </w:r>
          </w:p>
        </w:tc>
        <w:tc>
          <w:tcPr>
            <w:tcW w:type="dxa" w:w="2412"/>
            <w:shd w:val="clear" w:fill="E8F2F1"/>
          </w:tcPr>
          <w:p>
            <w:r/>
            <w:r>
              <w:rPr>
                <w:sz w:val="18"/>
              </w:rPr>
              <w:t>Remove host (bovine) reads — SKIPPED automatically when the sample is essentially host-free</w:t>
            </w:r>
          </w:p>
        </w:tc>
      </w:tr>
      <w:tr>
        <w:tc>
          <w:tcPr>
            <w:tcW w:type="dxa" w:w="2412"/>
          </w:tcPr>
          <w:p>
            <w:r/>
            <w:r>
              <w:rPr>
                <w:sz w:val="18"/>
              </w:rPr>
              <w:t>9</w:t>
            </w:r>
          </w:p>
        </w:tc>
        <w:tc>
          <w:tcPr>
            <w:tcW w:type="dxa" w:w="2412"/>
          </w:tcPr>
          <w:p>
            <w:r/>
            <w:r>
              <w:rPr>
                <w:sz w:val="18"/>
              </w:rPr>
              <w:t>De novo assembly</w:t>
            </w:r>
          </w:p>
        </w:tc>
        <w:tc>
          <w:tcPr>
            <w:tcW w:type="dxa" w:w="2412"/>
          </w:tcPr>
          <w:p>
            <w:r/>
            <w:r>
              <w:rPr>
                <w:sz w:val="18"/>
              </w:rPr>
              <w:t>Flye</w:t>
            </w:r>
          </w:p>
        </w:tc>
        <w:tc>
          <w:tcPr>
            <w:tcW w:type="dxa" w:w="2412"/>
          </w:tcPr>
          <w:p>
            <w:r/>
            <w:r>
              <w:rPr>
                <w:sz w:val="18"/>
              </w:rPr>
              <w:t>Assemble the cleaned reads into contigs</w:t>
            </w:r>
          </w:p>
        </w:tc>
      </w:tr>
      <w:tr>
        <w:tc>
          <w:tcPr>
            <w:tcW w:type="dxa" w:w="2412"/>
            <w:shd w:val="clear" w:fill="E8F2F1"/>
          </w:tcPr>
          <w:p>
            <w:r/>
            <w:r>
              <w:rPr>
                <w:sz w:val="18"/>
              </w:rPr>
              <w:t>10</w:t>
            </w:r>
          </w:p>
        </w:tc>
        <w:tc>
          <w:tcPr>
            <w:tcW w:type="dxa" w:w="2412"/>
            <w:shd w:val="clear" w:fill="E8F2F1"/>
          </w:tcPr>
          <w:p>
            <w:r/>
            <w:r>
              <w:rPr>
                <w:sz w:val="18"/>
              </w:rPr>
              <w:t>Consensus polishing</w:t>
            </w:r>
          </w:p>
        </w:tc>
        <w:tc>
          <w:tcPr>
            <w:tcW w:type="dxa" w:w="2412"/>
            <w:shd w:val="clear" w:fill="E8F2F1"/>
          </w:tcPr>
          <w:p>
            <w:r/>
            <w:r>
              <w:rPr>
                <w:sz w:val="18"/>
              </w:rPr>
              <w:t>Medaka</w:t>
            </w:r>
          </w:p>
        </w:tc>
        <w:tc>
          <w:tcPr>
            <w:tcW w:type="dxa" w:w="2412"/>
            <w:shd w:val="clear" w:fill="E8F2F1"/>
          </w:tcPr>
          <w:p>
            <w:r/>
            <w:r>
              <w:rPr>
                <w:sz w:val="18"/>
              </w:rPr>
              <w:t>Neural polishing of the assembly (ONT)</w:t>
            </w:r>
          </w:p>
        </w:tc>
      </w:tr>
      <w:tr>
        <w:tc>
          <w:tcPr>
            <w:tcW w:type="dxa" w:w="2412"/>
          </w:tcPr>
          <w:p>
            <w:r/>
            <w:r>
              <w:rPr>
                <w:sz w:val="18"/>
              </w:rPr>
              <w:t>11</w:t>
            </w:r>
          </w:p>
        </w:tc>
        <w:tc>
          <w:tcPr>
            <w:tcW w:type="dxa" w:w="2412"/>
          </w:tcPr>
          <w:p>
            <w:r/>
            <w:r>
              <w:rPr>
                <w:sz w:val="18"/>
              </w:rPr>
              <w:t>Assembly QC</w:t>
            </w:r>
          </w:p>
        </w:tc>
        <w:tc>
          <w:tcPr>
            <w:tcW w:type="dxa" w:w="2412"/>
          </w:tcPr>
          <w:p>
            <w:r/>
            <w:r>
              <w:rPr>
                <w:sz w:val="18"/>
              </w:rPr>
              <w:t>QUAST</w:t>
            </w:r>
          </w:p>
        </w:tc>
        <w:tc>
          <w:tcPr>
            <w:tcW w:type="dxa" w:w="2412"/>
          </w:tcPr>
          <w:p>
            <w:r/>
            <w:r>
              <w:rPr>
                <w:sz w:val="18"/>
              </w:rPr>
              <w:t>Contiguity / completeness metrics (N50, length, #contigs)</w:t>
            </w:r>
          </w:p>
        </w:tc>
      </w:tr>
      <w:tr>
        <w:tc>
          <w:tcPr>
            <w:tcW w:type="dxa" w:w="2412"/>
            <w:shd w:val="clear" w:fill="E8F2F1"/>
          </w:tcPr>
          <w:p>
            <w:r/>
            <w:r>
              <w:rPr>
                <w:sz w:val="18"/>
              </w:rPr>
              <w:t>12</w:t>
            </w:r>
          </w:p>
        </w:tc>
        <w:tc>
          <w:tcPr>
            <w:tcW w:type="dxa" w:w="2412"/>
            <w:shd w:val="clear" w:fill="E8F2F1"/>
          </w:tcPr>
          <w:p>
            <w:r/>
            <w:r>
              <w:rPr>
                <w:sz w:val="18"/>
              </w:rPr>
              <w:t>Read mapping</w:t>
            </w:r>
          </w:p>
        </w:tc>
        <w:tc>
          <w:tcPr>
            <w:tcW w:type="dxa" w:w="2412"/>
            <w:shd w:val="clear" w:fill="E8F2F1"/>
          </w:tcPr>
          <w:p>
            <w:r/>
            <w:r>
              <w:rPr>
                <w:sz w:val="18"/>
              </w:rPr>
              <w:t>minimap2</w:t>
            </w:r>
          </w:p>
        </w:tc>
        <w:tc>
          <w:tcPr>
            <w:tcW w:type="dxa" w:w="2412"/>
            <w:shd w:val="clear" w:fill="E8F2F1"/>
          </w:tcPr>
          <w:p>
            <w:r/>
            <w:r>
              <w:rPr>
                <w:sz w:val="18"/>
              </w:rPr>
              <w:t>Map reads to the reference for variant calling</w:t>
            </w:r>
          </w:p>
        </w:tc>
      </w:tr>
      <w:tr>
        <w:tc>
          <w:tcPr>
            <w:tcW w:type="dxa" w:w="2412"/>
          </w:tcPr>
          <w:p>
            <w:r/>
            <w:r>
              <w:rPr>
                <w:sz w:val="18"/>
              </w:rPr>
              <w:t>13</w:t>
            </w:r>
          </w:p>
        </w:tc>
        <w:tc>
          <w:tcPr>
            <w:tcW w:type="dxa" w:w="2412"/>
          </w:tcPr>
          <w:p>
            <w:r/>
            <w:r>
              <w:rPr>
                <w:sz w:val="18"/>
              </w:rPr>
              <w:t>Alignment processing</w:t>
            </w:r>
          </w:p>
        </w:tc>
        <w:tc>
          <w:tcPr>
            <w:tcW w:type="dxa" w:w="2412"/>
          </w:tcPr>
          <w:p>
            <w:r/>
            <w:r>
              <w:rPr>
                <w:sz w:val="18"/>
              </w:rPr>
              <w:t>samtools</w:t>
            </w:r>
          </w:p>
        </w:tc>
        <w:tc>
          <w:tcPr>
            <w:tcW w:type="dxa" w:w="2412"/>
          </w:tcPr>
          <w:p>
            <w:r/>
            <w:r>
              <w:rPr>
                <w:sz w:val="18"/>
              </w:rPr>
              <w:t>Sort / index the alignment</w:t>
            </w:r>
          </w:p>
        </w:tc>
      </w:tr>
      <w:tr>
        <w:tc>
          <w:tcPr>
            <w:tcW w:type="dxa" w:w="2412"/>
            <w:shd w:val="clear" w:fill="E8F2F1"/>
          </w:tcPr>
          <w:p>
            <w:r/>
            <w:r>
              <w:rPr>
                <w:sz w:val="18"/>
              </w:rPr>
              <w:t>14</w:t>
            </w:r>
          </w:p>
        </w:tc>
        <w:tc>
          <w:tcPr>
            <w:tcW w:type="dxa" w:w="2412"/>
            <w:shd w:val="clear" w:fill="E8F2F1"/>
          </w:tcPr>
          <w:p>
            <w:r/>
            <w:r>
              <w:rPr>
                <w:sz w:val="18"/>
              </w:rPr>
              <w:t>Small-variant calling</w:t>
            </w:r>
          </w:p>
        </w:tc>
        <w:tc>
          <w:tcPr>
            <w:tcW w:type="dxa" w:w="2412"/>
            <w:shd w:val="clear" w:fill="E8F2F1"/>
          </w:tcPr>
          <w:p>
            <w:r/>
            <w:r>
              <w:rPr>
                <w:sz w:val="18"/>
              </w:rPr>
              <w:t>Clair3</w:t>
            </w:r>
          </w:p>
        </w:tc>
        <w:tc>
          <w:tcPr>
            <w:tcW w:type="dxa" w:w="2412"/>
            <w:shd w:val="clear" w:fill="E8F2F1"/>
          </w:tcPr>
          <w:p>
            <w:r/>
            <w:r>
              <w:rPr>
                <w:sz w:val="18"/>
              </w:rPr>
              <w:t>Neural SNV/indel calling (haploid, ONT model v500)</w:t>
            </w:r>
          </w:p>
        </w:tc>
      </w:tr>
      <w:tr>
        <w:tc>
          <w:tcPr>
            <w:tcW w:type="dxa" w:w="2412"/>
          </w:tcPr>
          <w:p>
            <w:r/>
            <w:r>
              <w:rPr>
                <w:sz w:val="18"/>
              </w:rPr>
              <w:t>15</w:t>
            </w:r>
          </w:p>
        </w:tc>
        <w:tc>
          <w:tcPr>
            <w:tcW w:type="dxa" w:w="2412"/>
          </w:tcPr>
          <w:p>
            <w:r/>
            <w:r>
              <w:rPr>
                <w:sz w:val="18"/>
              </w:rPr>
              <w:t>Structural-variant calling</w:t>
            </w:r>
          </w:p>
        </w:tc>
        <w:tc>
          <w:tcPr>
            <w:tcW w:type="dxa" w:w="2412"/>
          </w:tcPr>
          <w:p>
            <w:r/>
            <w:r>
              <w:rPr>
                <w:sz w:val="18"/>
              </w:rPr>
              <w:t>Sniffles</w:t>
            </w:r>
          </w:p>
        </w:tc>
        <w:tc>
          <w:tcPr>
            <w:tcW w:type="dxa" w:w="2412"/>
          </w:tcPr>
          <w:p>
            <w:r/>
            <w:r>
              <w:rPr>
                <w:sz w:val="18"/>
              </w:rPr>
              <w:t>Detect structural variants</w:t>
            </w:r>
          </w:p>
        </w:tc>
      </w:tr>
      <w:tr>
        <w:tc>
          <w:tcPr>
            <w:tcW w:type="dxa" w:w="2412"/>
            <w:shd w:val="clear" w:fill="E8F2F1"/>
          </w:tcPr>
          <w:p>
            <w:r/>
            <w:r>
              <w:rPr>
                <w:sz w:val="18"/>
              </w:rPr>
              <w:t>16</w:t>
            </w:r>
          </w:p>
        </w:tc>
        <w:tc>
          <w:tcPr>
            <w:tcW w:type="dxa" w:w="2412"/>
            <w:shd w:val="clear" w:fill="E8F2F1"/>
          </w:tcPr>
          <w:p>
            <w:r/>
            <w:r>
              <w:rPr>
                <w:sz w:val="18"/>
              </w:rPr>
              <w:t>Coverage / masking</w:t>
            </w:r>
          </w:p>
        </w:tc>
        <w:tc>
          <w:tcPr>
            <w:tcW w:type="dxa" w:w="2412"/>
            <w:shd w:val="clear" w:fill="E8F2F1"/>
          </w:tcPr>
          <w:p>
            <w:r/>
            <w:r>
              <w:rPr>
                <w:sz w:val="18"/>
              </w:rPr>
              <w:t>bedtools</w:t>
            </w:r>
          </w:p>
        </w:tc>
        <w:tc>
          <w:tcPr>
            <w:tcW w:type="dxa" w:w="2412"/>
            <w:shd w:val="clear" w:fill="E8F2F1"/>
          </w:tcPr>
          <w:p>
            <w:r/>
            <w:r>
              <w:rPr>
                <w:sz w:val="18"/>
              </w:rPr>
              <w:t>Low-coverage regions for consensus masking</w:t>
            </w:r>
          </w:p>
        </w:tc>
      </w:tr>
      <w:tr>
        <w:tc>
          <w:tcPr>
            <w:tcW w:type="dxa" w:w="2412"/>
          </w:tcPr>
          <w:p>
            <w:r/>
            <w:r>
              <w:rPr>
                <w:sz w:val="18"/>
              </w:rPr>
              <w:t>17</w:t>
            </w:r>
          </w:p>
        </w:tc>
        <w:tc>
          <w:tcPr>
            <w:tcW w:type="dxa" w:w="2412"/>
          </w:tcPr>
          <w:p>
            <w:r/>
            <w:r>
              <w:rPr>
                <w:sz w:val="18"/>
              </w:rPr>
              <w:t>Filter &amp; consensus</w:t>
            </w:r>
          </w:p>
        </w:tc>
        <w:tc>
          <w:tcPr>
            <w:tcW w:type="dxa" w:w="2412"/>
          </w:tcPr>
          <w:p>
            <w:r/>
            <w:r>
              <w:rPr>
                <w:sz w:val="18"/>
              </w:rPr>
              <w:t>bcftools</w:t>
            </w:r>
          </w:p>
        </w:tc>
        <w:tc>
          <w:tcPr>
            <w:tcW w:type="dxa" w:w="2412"/>
          </w:tcPr>
          <w:p>
            <w:r/>
            <w:r>
              <w:rPr>
                <w:sz w:val="18"/>
              </w:rPr>
              <w:t>Quality-filter variants; build the consensus FASTA</w:t>
            </w:r>
          </w:p>
        </w:tc>
      </w:tr>
      <w:tr>
        <w:tc>
          <w:tcPr>
            <w:tcW w:type="dxa" w:w="2412"/>
            <w:shd w:val="clear" w:fill="E8F2F1"/>
          </w:tcPr>
          <w:p>
            <w:r/>
            <w:r>
              <w:rPr>
                <w:sz w:val="18"/>
              </w:rPr>
              <w:t>18</w:t>
            </w:r>
          </w:p>
        </w:tc>
        <w:tc>
          <w:tcPr>
            <w:tcW w:type="dxa" w:w="2412"/>
            <w:shd w:val="clear" w:fill="E8F2F1"/>
          </w:tcPr>
          <w:p>
            <w:r/>
            <w:r>
              <w:rPr>
                <w:sz w:val="18"/>
              </w:rPr>
              <w:t>Aggregate report</w:t>
            </w:r>
          </w:p>
        </w:tc>
        <w:tc>
          <w:tcPr>
            <w:tcW w:type="dxa" w:w="2412"/>
            <w:shd w:val="clear" w:fill="E8F2F1"/>
          </w:tcPr>
          <w:p>
            <w:r/>
            <w:r>
              <w:rPr>
                <w:sz w:val="18"/>
              </w:rPr>
              <w:t>MultiQC</w:t>
            </w:r>
          </w:p>
        </w:tc>
        <w:tc>
          <w:tcPr>
            <w:tcW w:type="dxa" w:w="2412"/>
            <w:shd w:val="clear" w:fill="E8F2F1"/>
          </w:tcPr>
          <w:p>
            <w:r/>
            <w:r>
              <w:rPr>
                <w:sz w:val="18"/>
              </w:rPr>
              <w:t>Combine all QC into one dashboard (non-blocking)</w:t>
            </w:r>
          </w:p>
        </w:tc>
      </w:tr>
    </w:tbl>
    <w:p>
      <w:pPr>
        <w:pStyle w:val="Heading2"/>
      </w:pPr>
      <w:r>
        <w:t>6.1 Scientific rationale of key stages</w:t>
      </w:r>
    </w:p>
    <w:p>
      <w:pPr>
        <w:pStyle w:val="ListBullet"/>
        <w:spacing w:after="60"/>
      </w:pPr>
      <w:r>
        <w:rPr>
          <w:b/>
        </w:rPr>
        <w:t xml:space="preserve">Contamination-aware routing — </w:t>
      </w:r>
      <w:r>
        <w:t>before host removal the Kraken2 report is read; if the sample is essentially host-free, KneadData is skipped and the cleaned reads are routed straight to assembly/mapping. This saves time and avoids needless read loss.</w:t>
      </w:r>
    </w:p>
    <w:p>
      <w:pPr>
        <w:pStyle w:val="ListBullet"/>
        <w:spacing w:after="60"/>
      </w:pPr>
      <w:r>
        <w:rPr>
          <w:b/>
        </w:rPr>
        <w:t xml:space="preserve">QC gate — </w:t>
      </w:r>
      <w:r>
        <w:t>after raw QC the run stops early only if there is genuinely nothing to process, but the quality is always reported either way.</w:t>
      </w:r>
    </w:p>
    <w:p>
      <w:pPr>
        <w:pStyle w:val="ListBullet"/>
        <w:spacing w:after="60"/>
      </w:pPr>
      <w:r>
        <w:rPr>
          <w:b/>
        </w:rPr>
        <w:t xml:space="preserve">Polishing before downstream — </w:t>
      </w:r>
      <w:r>
        <w:t>Medaka neural polishing materially improves ONT consensus accuracy, which directly improves AMR gene identity and MGE boundary calls downstream.</w:t>
      </w:r>
    </w:p>
    <w:p>
      <w:pPr>
        <w:pStyle w:val="ListBullet"/>
        <w:spacing w:after="60"/>
      </w:pPr>
      <w:r>
        <w:rPr>
          <w:b/>
        </w:rPr>
        <w:t xml:space="preserve">Reference-based consensus — </w:t>
      </w:r>
      <w:r>
        <w:t>bcftools applies quality-filtered Clair3 variants to the reference and masks low-coverage regions, producing a trustworthy consensus genome.</w:t>
      </w:r>
    </w:p>
    <w:p>
      <w:r>
        <w:br w:type="page"/>
      </w:r>
    </w:p>
    <w:p>
      <w:pPr>
        <w:pStyle w:val="Heading1"/>
      </w:pPr>
      <w:r>
        <w:t>7. Downstream Analyses</w:t>
      </w:r>
    </w:p>
    <w:p>
      <w:pPr>
        <w:spacing w:after="120"/>
        <w:jc w:val="both"/>
      </w:pPr>
      <w:r>
        <w:rPr>
          <w:b w:val="0"/>
          <w:i w:val="0"/>
        </w:rPr>
        <w:t>Once a consensus genome exists, the operator can launch downstream analyses from the dashboard's 'Choose an analysis' menu. These run on the consensus and present their results in the same interface.</w:t>
      </w:r>
    </w:p>
    <w:p>
      <w:pPr>
        <w:pStyle w:val="Heading2"/>
      </w:pPr>
      <w:r>
        <w:t>7.1 Resistome Navigator (AMR)</w:t>
      </w:r>
    </w:p>
    <w:p>
      <w:pPr>
        <w:spacing w:after="120"/>
        <w:jc w:val="both"/>
      </w:pPr>
      <w:r>
        <w:rPr>
          <w:b w:val="0"/>
          <w:i w:val="0"/>
        </w:rPr>
        <w:t>Resistome Navigator predicts the antimicrobial-resistance profile of an isolate using NCBI AMRFinderPlus. It runs organism-aware (enabling point-mutation calls for supported species) and classifies each hit into a confidence tier from the AMRFinder scope (Core → HIGH, Plus → MEDIUM). The parser produces a unified report — acquired genes, chromosomal point mutations, and a by-drug-class aggregate — stored as a JSON report and optionally mirrored to MySQL. It offers two scopes: Single isolate (one run) and Cohort (all analysed samples).</w:t>
      </w:r>
    </w:p>
    <w:p>
      <w:pPr>
        <w:pStyle w:val="Heading2"/>
      </w:pPr>
      <w:r>
        <w:t>7.2 MGE-Sift (Mobile Genetic Elements)</w:t>
      </w:r>
    </w:p>
    <w:p>
      <w:pPr>
        <w:spacing w:after="120"/>
        <w:jc w:val="both"/>
      </w:pPr>
      <w:r>
        <w:rPr>
          <w:b w:val="0"/>
          <w:i w:val="0"/>
        </w:rPr>
        <w:t>MGE-Sift is a 10-module pipeline (vendored from the NIVEDI MGE-Sift repository and wrapped as a single tool adapter) that detects and classifies mobile genetic elements — plasmids, insertion sequences, integrons, prophages and genomic islands — and, critically, reports which AMR genes ride on which mobile elements. It runs in its own conda environment (mge_pipeline) and uses MOB-suite, PlasmidFinder, ISEScan, IntegronFinder, PhiSpy, RGI/ResFinder/ABRicate and Prokka annotation. Each element is classified as acquired (HGT-borne) or intrinsic, with a confidence score.</w:t>
      </w:r>
    </w:p>
    <w:p>
      <w:pPr>
        <w:pStyle w:val="Heading2"/>
      </w:pPr>
      <w:r>
        <w:t>7.3 The 'Mobilized Resistome' concept</w:t>
      </w:r>
    </w:p>
    <w:p>
      <w:pPr>
        <w:spacing w:after="120"/>
        <w:jc w:val="both"/>
      </w:pPr>
      <w:r>
        <w:rPr>
          <w:b w:val="0"/>
          <w:i w:val="0"/>
        </w:rPr>
        <w:t>Together, the two downstream analyses are more than the sum of their parts. Resistome Navigator answers WHAT resistance genes are present; MGE-Sift answers WHICH of them sit on mobile elements (plasmid / IS / integron) and are therefore at high risk of horizontal transfer between strains. For livestock-pathogen surveillance this is the difference between 'this isolate is resistant' and 'this resistance can jump between strains and farms' — the actionable surveillance signal.</w:t>
      </w:r>
    </w:p>
    <w:p>
      <w:pPr>
        <w:pStyle w:val="Heading2"/>
      </w:pPr>
      <w:r>
        <w:t>7.4 Cohort phylogenetics</w:t>
      </w:r>
    </w:p>
    <w:p>
      <w:pPr>
        <w:spacing w:after="120"/>
        <w:jc w:val="both"/>
      </w:pPr>
      <w:r>
        <w:rPr>
          <w:b w:val="0"/>
          <w:i w:val="0"/>
        </w:rPr>
        <w:t>A separate cohort run aggregates the per-sample consensus genomes into a snippy → snippy-core → snp-sites → snp-dists → IQ-TREE chain, yielding a core-SNP alignment, a pairwise SNP-distance matrix and a maximum-likelihood phylogenetic tree — the basis for transmission-cluster / outbreak analysis.</w:t>
      </w:r>
    </w:p>
    <w:p>
      <w:r>
        <w:br w:type="page"/>
      </w:r>
    </w:p>
    <w:p>
      <w:pPr>
        <w:pStyle w:val="Heading1"/>
      </w:pPr>
      <w:r>
        <w:t>8. Cohort Analysis &amp; Surveillance Views</w:t>
      </w:r>
    </w:p>
    <w:p>
      <w:pPr>
        <w:spacing w:after="120"/>
        <w:jc w:val="both"/>
      </w:pPr>
      <w:r>
        <w:rPr>
          <w:b w:val="0"/>
          <w:i w:val="0"/>
        </w:rPr>
        <w:t>Surveillance is a population question, not a per-isolate one, so the platform provides cohort aggregation across all analysed isolates.</w:t>
      </w:r>
    </w:p>
    <w:p>
      <w:pPr>
        <w:pStyle w:val="Heading2"/>
      </w:pPr>
      <w:r>
        <w:t>8.1 AMR cohort (antibiogram)</w:t>
      </w:r>
    </w:p>
    <w:p>
      <w:pPr>
        <w:pStyle w:val="ListBullet"/>
        <w:spacing w:after="60"/>
      </w:pPr>
      <w:r>
        <w:rPr>
          <w:b/>
        </w:rPr>
        <w:t xml:space="preserve">Antibiogram heatmap — </w:t>
      </w:r>
      <w:r>
        <w:t>isolates × drug classes, each cell shaded by the number of resistance genes in that class.</w:t>
      </w:r>
    </w:p>
    <w:p>
      <w:pPr>
        <w:pStyle w:val="ListBullet"/>
        <w:spacing w:after="60"/>
      </w:pPr>
      <w:r>
        <w:rPr>
          <w:b/>
        </w:rPr>
        <w:t xml:space="preserve">Class &amp; gene prevalence — </w:t>
      </w:r>
      <w:r>
        <w:t>the percentage of the cohort carrying each drug class / gene.</w:t>
      </w:r>
    </w:p>
    <w:p>
      <w:pPr>
        <w:pStyle w:val="ListBullet"/>
        <w:spacing w:after="60"/>
      </w:pPr>
      <w:r>
        <w:rPr>
          <w:b/>
        </w:rPr>
        <w:t xml:space="preserve">Point-mutation prevalence — </w:t>
      </w:r>
      <w:r>
        <w:t>chromosomal resistance mutations across the cohort.</w:t>
      </w:r>
    </w:p>
    <w:p>
      <w:pPr>
        <w:pStyle w:val="ListBullet"/>
        <w:spacing w:after="60"/>
      </w:pPr>
      <w:r>
        <w:rPr>
          <w:b/>
        </w:rPr>
        <w:t xml:space="preserve">Resistome-vs-relatedness caveat — </w:t>
      </w:r>
      <w:r>
        <w:t>the interface explicitly notes that a shared resistome (e.g. via a common plasmid) is not the same as clonal relatedness.</w:t>
      </w:r>
    </w:p>
    <w:p>
      <w:pPr>
        <w:spacing w:after="120"/>
        <w:jc w:val="both"/>
      </w:pPr>
      <w:r>
        <w:rPr>
          <w:b w:val="0"/>
          <w:i w:val="0"/>
        </w:rPr>
        <w:t>The cohort aggregator parses every isolate's AMR output on demand (building the report for any sample that has raw AMRFinder output but no parsed report yet), so newly analysed samples appear without manual bookkeeping. Prevalence is computed per run (per isolate), which keeps the percentages correct even when sample names repeat across batches.</w:t>
      </w:r>
    </w:p>
    <w:p>
      <w:r>
        <w:br w:type="page"/>
      </w:r>
    </w:p>
    <w:p>
      <w:pPr>
        <w:pStyle w:val="Heading1"/>
      </w:pPr>
      <w:r>
        <w:t>9. Bioinformatics Tool Inventory</w:t>
      </w:r>
    </w:p>
    <w:p>
      <w:pPr>
        <w:spacing w:after="120"/>
        <w:jc w:val="both"/>
      </w:pPr>
      <w:r>
        <w:rPr>
          <w:b w:val="0"/>
          <w:i w:val="0"/>
        </w:rPr>
        <w:t>The complete toolchain, grouped by role. Core-chain tools live in the primary conda environment (ont-web); Clair3 and MGE-Sift run in their own pinned environments.</w:t>
      </w:r>
    </w:p>
    <w:tbl>
      <w:tblPr>
        <w:tblStyle w:val="TableGrid"/>
        <w:tblW w:type="auto" w:w="0"/>
        <w:jc w:val="center"/>
        <w:tblLook w:firstColumn="1" w:firstRow="1" w:lastColumn="0" w:lastRow="0" w:noHBand="0" w:noVBand="1" w:val="04A0"/>
      </w:tblPr>
      <w:tblGrid>
        <w:gridCol w:w="4824"/>
        <w:gridCol w:w="4824"/>
      </w:tblGrid>
      <w:tr>
        <w:tc>
          <w:tcPr>
            <w:tcW w:type="dxa" w:w="4824"/>
            <w:shd w:val="clear" w:fill="0F766E"/>
          </w:tcPr>
          <w:p>
            <w:r/>
            <w:r>
              <w:rPr>
                <w:b/>
                <w:color w:val="FFFFFF"/>
                <w:sz w:val="19"/>
              </w:rPr>
              <w:t>Category</w:t>
            </w:r>
          </w:p>
        </w:tc>
        <w:tc>
          <w:tcPr>
            <w:tcW w:type="dxa" w:w="4824"/>
            <w:shd w:val="clear" w:fill="0F766E"/>
          </w:tcPr>
          <w:p>
            <w:r/>
            <w:r>
              <w:rPr>
                <w:b/>
                <w:color w:val="FFFFFF"/>
                <w:sz w:val="19"/>
              </w:rPr>
              <w:t>Tools</w:t>
            </w:r>
          </w:p>
        </w:tc>
      </w:tr>
      <w:tr>
        <w:tc>
          <w:tcPr>
            <w:tcW w:type="dxa" w:w="4824"/>
          </w:tcPr>
          <w:p>
            <w:r/>
            <w:r>
              <w:rPr>
                <w:sz w:val="18"/>
              </w:rPr>
              <w:t>Read QC</w:t>
            </w:r>
          </w:p>
        </w:tc>
        <w:tc>
          <w:tcPr>
            <w:tcW w:type="dxa" w:w="4824"/>
          </w:tcPr>
          <w:p>
            <w:r/>
            <w:r>
              <w:rPr>
                <w:sz w:val="18"/>
              </w:rPr>
              <w:t>FastQC, NanoPlot, MultiQC</w:t>
            </w:r>
          </w:p>
        </w:tc>
      </w:tr>
      <w:tr>
        <w:tc>
          <w:tcPr>
            <w:tcW w:type="dxa" w:w="4824"/>
            <w:shd w:val="clear" w:fill="E8F2F1"/>
          </w:tcPr>
          <w:p>
            <w:r/>
            <w:r>
              <w:rPr>
                <w:sz w:val="18"/>
              </w:rPr>
              <w:t>Trimming / filtering</w:t>
            </w:r>
          </w:p>
        </w:tc>
        <w:tc>
          <w:tcPr>
            <w:tcW w:type="dxa" w:w="4824"/>
            <w:shd w:val="clear" w:fill="E8F2F1"/>
          </w:tcPr>
          <w:p>
            <w:r/>
            <w:r>
              <w:rPr>
                <w:sz w:val="18"/>
              </w:rPr>
              <w:t>Porechop_ABI, Chopper</w:t>
            </w:r>
          </w:p>
        </w:tc>
      </w:tr>
      <w:tr>
        <w:tc>
          <w:tcPr>
            <w:tcW w:type="dxa" w:w="4824"/>
          </w:tcPr>
          <w:p>
            <w:r/>
            <w:r>
              <w:rPr>
                <w:sz w:val="18"/>
              </w:rPr>
              <w:t>Taxonomy / contamination</w:t>
            </w:r>
          </w:p>
        </w:tc>
        <w:tc>
          <w:tcPr>
            <w:tcW w:type="dxa" w:w="4824"/>
          </w:tcPr>
          <w:p>
            <w:r/>
            <w:r>
              <w:rPr>
                <w:sz w:val="18"/>
              </w:rPr>
              <w:t>Kraken2, KrakenTools, Krona</w:t>
            </w:r>
          </w:p>
        </w:tc>
      </w:tr>
      <w:tr>
        <w:tc>
          <w:tcPr>
            <w:tcW w:type="dxa" w:w="4824"/>
            <w:shd w:val="clear" w:fill="E8F2F1"/>
          </w:tcPr>
          <w:p>
            <w:r/>
            <w:r>
              <w:rPr>
                <w:sz w:val="18"/>
              </w:rPr>
              <w:t>Host removal</w:t>
            </w:r>
          </w:p>
        </w:tc>
        <w:tc>
          <w:tcPr>
            <w:tcW w:type="dxa" w:w="4824"/>
            <w:shd w:val="clear" w:fill="E8F2F1"/>
          </w:tcPr>
          <w:p>
            <w:r/>
            <w:r>
              <w:rPr>
                <w:sz w:val="18"/>
              </w:rPr>
              <w:t>KneadData (Bowtie2 host index)</w:t>
            </w:r>
          </w:p>
        </w:tc>
      </w:tr>
      <w:tr>
        <w:tc>
          <w:tcPr>
            <w:tcW w:type="dxa" w:w="4824"/>
          </w:tcPr>
          <w:p>
            <w:r/>
            <w:r>
              <w:rPr>
                <w:sz w:val="18"/>
              </w:rPr>
              <w:t>Assembly / polishing</w:t>
            </w:r>
          </w:p>
        </w:tc>
        <w:tc>
          <w:tcPr>
            <w:tcW w:type="dxa" w:w="4824"/>
          </w:tcPr>
          <w:p>
            <w:r/>
            <w:r>
              <w:rPr>
                <w:sz w:val="18"/>
              </w:rPr>
              <w:t>Flye, Medaka</w:t>
            </w:r>
          </w:p>
        </w:tc>
      </w:tr>
      <w:tr>
        <w:tc>
          <w:tcPr>
            <w:tcW w:type="dxa" w:w="4824"/>
            <w:shd w:val="clear" w:fill="E8F2F1"/>
          </w:tcPr>
          <w:p>
            <w:r/>
            <w:r>
              <w:rPr>
                <w:sz w:val="18"/>
              </w:rPr>
              <w:t>Assembly QC</w:t>
            </w:r>
          </w:p>
        </w:tc>
        <w:tc>
          <w:tcPr>
            <w:tcW w:type="dxa" w:w="4824"/>
            <w:shd w:val="clear" w:fill="E8F2F1"/>
          </w:tcPr>
          <w:p>
            <w:r/>
            <w:r>
              <w:rPr>
                <w:sz w:val="18"/>
              </w:rPr>
              <w:t>QUAST</w:t>
            </w:r>
          </w:p>
        </w:tc>
      </w:tr>
      <w:tr>
        <w:tc>
          <w:tcPr>
            <w:tcW w:type="dxa" w:w="4824"/>
          </w:tcPr>
          <w:p>
            <w:r/>
            <w:r>
              <w:rPr>
                <w:sz w:val="18"/>
              </w:rPr>
              <w:t>Mapping / alignment</w:t>
            </w:r>
          </w:p>
        </w:tc>
        <w:tc>
          <w:tcPr>
            <w:tcW w:type="dxa" w:w="4824"/>
          </w:tcPr>
          <w:p>
            <w:r/>
            <w:r>
              <w:rPr>
                <w:sz w:val="18"/>
              </w:rPr>
              <w:t>minimap2, samtools</w:t>
            </w:r>
          </w:p>
        </w:tc>
      </w:tr>
      <w:tr>
        <w:tc>
          <w:tcPr>
            <w:tcW w:type="dxa" w:w="4824"/>
            <w:shd w:val="clear" w:fill="E8F2F1"/>
          </w:tcPr>
          <w:p>
            <w:r/>
            <w:r>
              <w:rPr>
                <w:sz w:val="18"/>
              </w:rPr>
              <w:t>Variant calling</w:t>
            </w:r>
          </w:p>
        </w:tc>
        <w:tc>
          <w:tcPr>
            <w:tcW w:type="dxa" w:w="4824"/>
            <w:shd w:val="clear" w:fill="E8F2F1"/>
          </w:tcPr>
          <w:p>
            <w:r/>
            <w:r>
              <w:rPr>
                <w:sz w:val="18"/>
              </w:rPr>
              <w:t>Clair3 (SNV/indel), Sniffles (SV)</w:t>
            </w:r>
          </w:p>
        </w:tc>
      </w:tr>
      <w:tr>
        <w:tc>
          <w:tcPr>
            <w:tcW w:type="dxa" w:w="4824"/>
          </w:tcPr>
          <w:p>
            <w:r/>
            <w:r>
              <w:rPr>
                <w:sz w:val="18"/>
              </w:rPr>
              <w:t>Consensus</w:t>
            </w:r>
          </w:p>
        </w:tc>
        <w:tc>
          <w:tcPr>
            <w:tcW w:type="dxa" w:w="4824"/>
          </w:tcPr>
          <w:p>
            <w:r/>
            <w:r>
              <w:rPr>
                <w:sz w:val="18"/>
              </w:rPr>
              <w:t>bedtools, bcftools</w:t>
            </w:r>
          </w:p>
        </w:tc>
      </w:tr>
      <w:tr>
        <w:tc>
          <w:tcPr>
            <w:tcW w:type="dxa" w:w="4824"/>
            <w:shd w:val="clear" w:fill="E8F2F1"/>
          </w:tcPr>
          <w:p>
            <w:r/>
            <w:r>
              <w:rPr>
                <w:sz w:val="18"/>
              </w:rPr>
              <w:t>AMR (Resistome)</w:t>
            </w:r>
          </w:p>
        </w:tc>
        <w:tc>
          <w:tcPr>
            <w:tcW w:type="dxa" w:w="4824"/>
            <w:shd w:val="clear" w:fill="E8F2F1"/>
          </w:tcPr>
          <w:p>
            <w:r/>
            <w:r>
              <w:rPr>
                <w:sz w:val="18"/>
              </w:rPr>
              <w:t>AMRFinderPlus (organism-aware)</w:t>
            </w:r>
          </w:p>
        </w:tc>
      </w:tr>
      <w:tr>
        <w:tc>
          <w:tcPr>
            <w:tcW w:type="dxa" w:w="4824"/>
          </w:tcPr>
          <w:p>
            <w:r/>
            <w:r>
              <w:rPr>
                <w:sz w:val="18"/>
              </w:rPr>
              <w:t>MGE-Sift</w:t>
            </w:r>
          </w:p>
        </w:tc>
        <w:tc>
          <w:tcPr>
            <w:tcW w:type="dxa" w:w="4824"/>
          </w:tcPr>
          <w:p>
            <w:r/>
            <w:r>
              <w:rPr>
                <w:sz w:val="18"/>
              </w:rPr>
              <w:t>Prokka, MOB-suite, PlasmidFinder, ISEScan, IntegronFinder, PhiSpy, RGI/CARD, ResFinder, ABRicate</w:t>
            </w:r>
          </w:p>
        </w:tc>
      </w:tr>
      <w:tr>
        <w:tc>
          <w:tcPr>
            <w:tcW w:type="dxa" w:w="4824"/>
            <w:shd w:val="clear" w:fill="E8F2F1"/>
          </w:tcPr>
          <w:p>
            <w:r/>
            <w:r>
              <w:rPr>
                <w:sz w:val="18"/>
              </w:rPr>
              <w:t>Cohort phylogenetics</w:t>
            </w:r>
          </w:p>
        </w:tc>
        <w:tc>
          <w:tcPr>
            <w:tcW w:type="dxa" w:w="4824"/>
            <w:shd w:val="clear" w:fill="E8F2F1"/>
          </w:tcPr>
          <w:p>
            <w:r/>
            <w:r>
              <w:rPr>
                <w:sz w:val="18"/>
              </w:rPr>
              <w:t>snippy, snippy-core, snp-sites, snp-dists, IQ-TREE</w:t>
            </w:r>
          </w:p>
        </w:tc>
      </w:tr>
    </w:tbl>
    <w:p>
      <w:pPr>
        <w:pStyle w:val="Heading2"/>
      </w:pPr>
      <w:r>
        <w:t>9.1 Conda environments</w:t>
      </w:r>
    </w:p>
    <w:p>
      <w:pPr>
        <w:pStyle w:val="ListBullet"/>
        <w:spacing w:after="60"/>
      </w:pPr>
      <w:r>
        <w:rPr>
          <w:b/>
        </w:rPr>
        <w:t xml:space="preserve">ont-web — </w:t>
      </w:r>
      <w:r>
        <w:t>the primary chain toolchain plus the FastAPI server.</w:t>
      </w:r>
    </w:p>
    <w:p>
      <w:pPr>
        <w:pStyle w:val="ListBullet"/>
        <w:spacing w:after="60"/>
      </w:pPr>
      <w:r>
        <w:rPr>
          <w:b/>
        </w:rPr>
        <w:t xml:space="preserve">clair3 — </w:t>
      </w:r>
      <w:r>
        <w:t>isolated environment for the Clair3 neural variant caller (PyTorch v500 model).</w:t>
      </w:r>
    </w:p>
    <w:p>
      <w:pPr>
        <w:pStyle w:val="ListBullet"/>
        <w:spacing w:after="60"/>
      </w:pPr>
      <w:r>
        <w:rPr>
          <w:b/>
        </w:rPr>
        <w:t xml:space="preserve">mge_pipeline — </w:t>
      </w:r>
      <w:r>
        <w:t>isolated environment for the MGE-Sift downstream pipeline.</w:t>
      </w:r>
    </w:p>
    <w:p>
      <w:r>
        <w:br w:type="page"/>
      </w:r>
    </w:p>
    <w:p>
      <w:pPr>
        <w:pStyle w:val="Heading1"/>
      </w:pPr>
      <w:r>
        <w:t>10. REST API Reference</w:t>
      </w:r>
    </w:p>
    <w:p>
      <w:pPr>
        <w:spacing w:after="120"/>
        <w:jc w:val="both"/>
      </w:pPr>
      <w:r>
        <w:rPr>
          <w:b w:val="0"/>
          <w:i w:val="0"/>
        </w:rPr>
        <w:t>The FastAPI backend exposes a small, purpose-built REST surface. All paths are prefixed with /api. The interface is self-documented via the auto-generated OpenAPI schema.</w:t>
      </w:r>
    </w:p>
    <w:tbl>
      <w:tblPr>
        <w:tblStyle w:val="TableGrid"/>
        <w:tblW w:type="auto" w:w="0"/>
        <w:jc w:val="center"/>
        <w:tblLook w:firstColumn="1" w:firstRow="1" w:lastColumn="0" w:lastRow="0" w:noHBand="0" w:noVBand="1" w:val="04A0"/>
      </w:tblPr>
      <w:tblGrid>
        <w:gridCol w:w="4824"/>
        <w:gridCol w:w="4824"/>
      </w:tblGrid>
      <w:tr>
        <w:tc>
          <w:tcPr>
            <w:tcW w:type="dxa" w:w="4824"/>
            <w:shd w:val="clear" w:fill="0F766E"/>
          </w:tcPr>
          <w:p>
            <w:r/>
            <w:r>
              <w:rPr>
                <w:b/>
                <w:color w:val="FFFFFF"/>
                <w:sz w:val="19"/>
              </w:rPr>
              <w:t>Method &amp; path</w:t>
            </w:r>
          </w:p>
        </w:tc>
        <w:tc>
          <w:tcPr>
            <w:tcW w:type="dxa" w:w="4824"/>
            <w:shd w:val="clear" w:fill="0F766E"/>
          </w:tcPr>
          <w:p>
            <w:r/>
            <w:r>
              <w:rPr>
                <w:b/>
                <w:color w:val="FFFFFF"/>
                <w:sz w:val="19"/>
              </w:rPr>
              <w:t>Purpose</w:t>
            </w:r>
          </w:p>
        </w:tc>
      </w:tr>
      <w:tr>
        <w:tc>
          <w:tcPr>
            <w:tcW w:type="dxa" w:w="4824"/>
          </w:tcPr>
          <w:p>
            <w:r/>
            <w:r>
              <w:rPr>
                <w:sz w:val="18"/>
              </w:rPr>
              <w:t>GET /api/health</w:t>
            </w:r>
          </w:p>
        </w:tc>
        <w:tc>
          <w:tcPr>
            <w:tcW w:type="dxa" w:w="4824"/>
          </w:tcPr>
          <w:p>
            <w:r/>
            <w:r>
              <w:rPr>
                <w:sz w:val="18"/>
              </w:rPr>
              <w:t>Liveness + registered tool count</w:t>
            </w:r>
          </w:p>
        </w:tc>
      </w:tr>
      <w:tr>
        <w:tc>
          <w:tcPr>
            <w:tcW w:type="dxa" w:w="4824"/>
            <w:shd w:val="clear" w:fill="E8F2F1"/>
          </w:tcPr>
          <w:p>
            <w:r/>
            <w:r>
              <w:rPr>
                <w:sz w:val="18"/>
              </w:rPr>
              <w:t>GET /api/tools, /api/tools/{id}/params</w:t>
            </w:r>
          </w:p>
        </w:tc>
        <w:tc>
          <w:tcPr>
            <w:tcW w:type="dxa" w:w="4824"/>
            <w:shd w:val="clear" w:fill="E8F2F1"/>
          </w:tcPr>
          <w:p>
            <w:r/>
            <w:r>
              <w:rPr>
                <w:sz w:val="18"/>
              </w:rPr>
              <w:t>Tool registry + per-tool parameters</w:t>
            </w:r>
          </w:p>
        </w:tc>
      </w:tr>
      <w:tr>
        <w:tc>
          <w:tcPr>
            <w:tcW w:type="dxa" w:w="4824"/>
          </w:tcPr>
          <w:p>
            <w:r/>
            <w:r>
              <w:rPr>
                <w:sz w:val="18"/>
              </w:rPr>
              <w:t>POST /api/pipelines/run</w:t>
            </w:r>
          </w:p>
        </w:tc>
        <w:tc>
          <w:tcPr>
            <w:tcW w:type="dxa" w:w="4824"/>
          </w:tcPr>
          <w:p>
            <w:r/>
            <w:r>
              <w:rPr>
                <w:sz w:val="18"/>
              </w:rPr>
              <w:t>Start a single-sample pipeline run</w:t>
            </w:r>
          </w:p>
        </w:tc>
      </w:tr>
      <w:tr>
        <w:tc>
          <w:tcPr>
            <w:tcW w:type="dxa" w:w="4824"/>
            <w:shd w:val="clear" w:fill="E8F2F1"/>
          </w:tcPr>
          <w:p>
            <w:r/>
            <w:r>
              <w:rPr>
                <w:sz w:val="18"/>
              </w:rPr>
              <w:t>POST /api/pipelines/batch</w:t>
            </w:r>
          </w:p>
        </w:tc>
        <w:tc>
          <w:tcPr>
            <w:tcW w:type="dxa" w:w="4824"/>
            <w:shd w:val="clear" w:fill="E8F2F1"/>
          </w:tcPr>
          <w:p>
            <w:r/>
            <w:r>
              <w:rPr>
                <w:sz w:val="18"/>
              </w:rPr>
              <w:t>Start one isolated run per reads file (batch fan-out)</w:t>
            </w:r>
          </w:p>
        </w:tc>
      </w:tr>
      <w:tr>
        <w:tc>
          <w:tcPr>
            <w:tcW w:type="dxa" w:w="4824"/>
          </w:tcPr>
          <w:p>
            <w:r/>
            <w:r>
              <w:rPr>
                <w:sz w:val="18"/>
              </w:rPr>
              <w:t>GET /api/pipelines/{run_id}</w:t>
            </w:r>
          </w:p>
        </w:tc>
        <w:tc>
          <w:tcPr>
            <w:tcW w:type="dxa" w:w="4824"/>
          </w:tcPr>
          <w:p>
            <w:r/>
            <w:r>
              <w:rPr>
                <w:sz w:val="18"/>
              </w:rPr>
              <w:t>Live run manifest with per-step status</w:t>
            </w:r>
          </w:p>
        </w:tc>
      </w:tr>
      <w:tr>
        <w:tc>
          <w:tcPr>
            <w:tcW w:type="dxa" w:w="4824"/>
            <w:shd w:val="clear" w:fill="E8F2F1"/>
          </w:tcPr>
          <w:p>
            <w:r/>
            <w:r>
              <w:rPr>
                <w:sz w:val="18"/>
              </w:rPr>
              <w:t>POST /api/pipelines/{run_id}/rerun</w:t>
            </w:r>
          </w:p>
        </w:tc>
        <w:tc>
          <w:tcPr>
            <w:tcW w:type="dxa" w:w="4824"/>
            <w:shd w:val="clear" w:fill="E8F2F1"/>
          </w:tcPr>
          <w:p>
            <w:r/>
            <w:r>
              <w:rPr>
                <w:sz w:val="18"/>
              </w:rPr>
              <w:t>Resume / re-run a run from its checkpoints</w:t>
            </w:r>
          </w:p>
        </w:tc>
      </w:tr>
      <w:tr>
        <w:tc>
          <w:tcPr>
            <w:tcW w:type="dxa" w:w="4824"/>
          </w:tcPr>
          <w:p>
            <w:r/>
            <w:r>
              <w:rPr>
                <w:sz w:val="18"/>
              </w:rPr>
              <w:t>DELETE /api/pipelines/{run_id}</w:t>
            </w:r>
          </w:p>
        </w:tc>
        <w:tc>
          <w:tcPr>
            <w:tcW w:type="dxa" w:w="4824"/>
          </w:tcPr>
          <w:p>
            <w:r/>
            <w:r>
              <w:rPr>
                <w:sz w:val="18"/>
              </w:rPr>
              <w:t>Cancel + delete a run</w:t>
            </w:r>
          </w:p>
        </w:tc>
      </w:tr>
      <w:tr>
        <w:tc>
          <w:tcPr>
            <w:tcW w:type="dxa" w:w="4824"/>
            <w:shd w:val="clear" w:fill="E8F2F1"/>
          </w:tcPr>
          <w:p>
            <w:r/>
            <w:r>
              <w:rPr>
                <w:sz w:val="18"/>
              </w:rPr>
              <w:t>GET /api/pipelines/{run_id}/report</w:t>
            </w:r>
          </w:p>
        </w:tc>
        <w:tc>
          <w:tcPr>
            <w:tcW w:type="dxa" w:w="4824"/>
            <w:shd w:val="clear" w:fill="E8F2F1"/>
          </w:tcPr>
          <w:p>
            <w:r/>
            <w:r>
              <w:rPr>
                <w:sz w:val="18"/>
              </w:rPr>
              <w:t>Full dashboard data for a finished run</w:t>
            </w:r>
          </w:p>
        </w:tc>
      </w:tr>
      <w:tr>
        <w:tc>
          <w:tcPr>
            <w:tcW w:type="dxa" w:w="4824"/>
          </w:tcPr>
          <w:p>
            <w:r/>
            <w:r>
              <w:rPr>
                <w:sz w:val="18"/>
              </w:rPr>
              <w:t>GET /api/pipelines/{run_id}/contamination</w:t>
            </w:r>
          </w:p>
        </w:tc>
        <w:tc>
          <w:tcPr>
            <w:tcW w:type="dxa" w:w="4824"/>
          </w:tcPr>
          <w:p>
            <w:r/>
            <w:r>
              <w:rPr>
                <w:sz w:val="18"/>
              </w:rPr>
              <w:t>Report-only contamination profile</w:t>
            </w:r>
          </w:p>
        </w:tc>
      </w:tr>
      <w:tr>
        <w:tc>
          <w:tcPr>
            <w:tcW w:type="dxa" w:w="4824"/>
            <w:shd w:val="clear" w:fill="E8F2F1"/>
          </w:tcPr>
          <w:p>
            <w:r/>
            <w:r>
              <w:rPr>
                <w:sz w:val="18"/>
              </w:rPr>
              <w:t>POST /api/pipelines/{run_id}/amr/run · GET .../amr</w:t>
            </w:r>
          </w:p>
        </w:tc>
        <w:tc>
          <w:tcPr>
            <w:tcW w:type="dxa" w:w="4824"/>
            <w:shd w:val="clear" w:fill="E8F2F1"/>
          </w:tcPr>
          <w:p>
            <w:r/>
            <w:r>
              <w:rPr>
                <w:sz w:val="18"/>
              </w:rPr>
              <w:t>Run / fetch the isolate AMR report</w:t>
            </w:r>
          </w:p>
        </w:tc>
      </w:tr>
      <w:tr>
        <w:tc>
          <w:tcPr>
            <w:tcW w:type="dxa" w:w="4824"/>
          </w:tcPr>
          <w:p>
            <w:r/>
            <w:r>
              <w:rPr>
                <w:sz w:val="18"/>
              </w:rPr>
              <w:t>GET /api/amr/cohort · POST /api/amr/cohort/run</w:t>
            </w:r>
          </w:p>
        </w:tc>
        <w:tc>
          <w:tcPr>
            <w:tcW w:type="dxa" w:w="4824"/>
          </w:tcPr>
          <w:p>
            <w:r/>
            <w:r>
              <w:rPr>
                <w:sz w:val="18"/>
              </w:rPr>
              <w:t>Cohort antibiogram + run AMR on all</w:t>
            </w:r>
          </w:p>
        </w:tc>
      </w:tr>
      <w:tr>
        <w:tc>
          <w:tcPr>
            <w:tcW w:type="dxa" w:w="4824"/>
            <w:shd w:val="clear" w:fill="E8F2F1"/>
          </w:tcPr>
          <w:p>
            <w:r/>
            <w:r>
              <w:rPr>
                <w:sz w:val="18"/>
              </w:rPr>
              <w:t>POST /api/pipelines/{run_id}/mge/run · GET .../mge</w:t>
            </w:r>
          </w:p>
        </w:tc>
        <w:tc>
          <w:tcPr>
            <w:tcW w:type="dxa" w:w="4824"/>
            <w:shd w:val="clear" w:fill="E8F2F1"/>
          </w:tcPr>
          <w:p>
            <w:r/>
            <w:r>
              <w:rPr>
                <w:sz w:val="18"/>
              </w:rPr>
              <w:t>Run / fetch the MGE report</w:t>
            </w:r>
          </w:p>
        </w:tc>
      </w:tr>
      <w:tr>
        <w:tc>
          <w:tcPr>
            <w:tcW w:type="dxa" w:w="4824"/>
          </w:tcPr>
          <w:p>
            <w:r/>
            <w:r>
              <w:rPr>
                <w:sz w:val="18"/>
              </w:rPr>
              <w:t>GET /api/mge/cohort</w:t>
            </w:r>
          </w:p>
        </w:tc>
        <w:tc>
          <w:tcPr>
            <w:tcW w:type="dxa" w:w="4824"/>
          </w:tcPr>
          <w:p>
            <w:r/>
            <w:r>
              <w:rPr>
                <w:sz w:val="18"/>
              </w:rPr>
              <w:t>Cohort MGE aggregation</w:t>
            </w:r>
          </w:p>
        </w:tc>
      </w:tr>
      <w:tr>
        <w:tc>
          <w:tcPr>
            <w:tcW w:type="dxa" w:w="4824"/>
            <w:shd w:val="clear" w:fill="E8F2F1"/>
          </w:tcPr>
          <w:p>
            <w:r/>
            <w:r>
              <w:rPr>
                <w:sz w:val="18"/>
              </w:rPr>
              <w:t>GET /api/jobs, /api/jobs/{id}</w:t>
            </w:r>
          </w:p>
        </w:tc>
        <w:tc>
          <w:tcPr>
            <w:tcW w:type="dxa" w:w="4824"/>
            <w:shd w:val="clear" w:fill="E8F2F1"/>
          </w:tcPr>
          <w:p>
            <w:r/>
            <w:r>
              <w:rPr>
                <w:sz w:val="18"/>
              </w:rPr>
              <w:t>Job list + individual job status/log</w:t>
            </w:r>
          </w:p>
        </w:tc>
      </w:tr>
      <w:tr>
        <w:tc>
          <w:tcPr>
            <w:tcW w:type="dxa" w:w="4824"/>
          </w:tcPr>
          <w:p>
            <w:r/>
            <w:r>
              <w:rPr>
                <w:sz w:val="18"/>
              </w:rPr>
              <w:t>GET /api/files, /api/files/download</w:t>
            </w:r>
          </w:p>
        </w:tc>
        <w:tc>
          <w:tcPr>
            <w:tcW w:type="dxa" w:w="4824"/>
          </w:tcPr>
          <w:p>
            <w:r/>
            <w:r>
              <w:rPr>
                <w:sz w:val="18"/>
              </w:rPr>
              <w:t>Server file browser + download</w:t>
            </w:r>
          </w:p>
        </w:tc>
      </w:tr>
    </w:tbl>
    <w:p>
      <w:r>
        <w:br w:type="page"/>
      </w:r>
    </w:p>
    <w:p>
      <w:pPr>
        <w:pStyle w:val="Heading1"/>
      </w:pPr>
      <w:r>
        <w:t>11. Reliability, Recovery &amp; Concurrency</w:t>
      </w:r>
    </w:p>
    <w:p>
      <w:pPr>
        <w:spacing w:after="120"/>
        <w:jc w:val="both"/>
      </w:pPr>
      <w:r>
        <w:rPr>
          <w:b w:val="0"/>
          <w:i w:val="0"/>
        </w:rPr>
        <w:t>Because the executor is in-memory, a server restart would otherwise lose queued and running work. A dedicated recovery layer closes that gap and makes batches robust.</w:t>
      </w:r>
    </w:p>
    <w:p>
      <w:pPr>
        <w:pStyle w:val="ListBullet"/>
        <w:spacing w:after="60"/>
      </w:pPr>
      <w:r>
        <w:rPr>
          <w:b/>
        </w:rPr>
        <w:t xml:space="preserve">Zombie reaping — </w:t>
      </w:r>
      <w:r>
        <w:t>on startup, any job still marked running/queued is a leftover from a dead process; it is reaped (marked failed) synchronously before the server accepts requests, so status is always honest and a freshly enqueued job cannot be mis-flagged.</w:t>
      </w:r>
    </w:p>
    <w:p>
      <w:pPr>
        <w:pStyle w:val="ListBullet"/>
        <w:spacing w:after="60"/>
      </w:pPr>
      <w:r>
        <w:rPr>
          <w:b/>
        </w:rPr>
        <w:t xml:space="preserve">Run recovery — </w:t>
      </w:r>
      <w:r>
        <w:t>interrupted runs can be resumed; because completed steps are checkpointed by output existence, recovery re-runs only the interrupted step onward (e.g. it does not redo the assembly). Automatic resume is opt-in (VG_AUTO_RESUME) to avoid overwhelming a busy box.</w:t>
      </w:r>
    </w:p>
    <w:p>
      <w:pPr>
        <w:pStyle w:val="ListBullet"/>
        <w:spacing w:after="60"/>
      </w:pPr>
      <w:r>
        <w:rPr>
          <w:b/>
        </w:rPr>
        <w:t xml:space="preserve">Concurrency cap — </w:t>
      </w:r>
      <w:r>
        <w:t>a single VG_MAX_WORKERS setting bounds how many heavy tools run at once, matching the host's memory (critical for memory-hungry steps like Medaka and Clair3).</w:t>
      </w:r>
    </w:p>
    <w:p>
      <w:pPr>
        <w:pStyle w:val="ListBullet"/>
        <w:spacing w:after="60"/>
      </w:pPr>
      <w:r>
        <w:rPr>
          <w:b/>
        </w:rPr>
        <w:t xml:space="preserve">Cancellable jobs — </w:t>
      </w:r>
      <w:r>
        <w:t>running tool subprocesses are tracked so a cancel actually terminates the work, not just relabels the database row.</w:t>
      </w:r>
    </w:p>
    <w:p>
      <w:pPr>
        <w:pStyle w:val="ListBullet"/>
        <w:spacing w:after="60"/>
      </w:pPr>
      <w:r>
        <w:rPr>
          <w:b/>
        </w:rPr>
        <w:t xml:space="preserve">Output validation — </w:t>
      </w:r>
      <w:r>
        <w:t>a step that exits 0 but produces no non-empty output is marked failed, preventing a hollow step from being reported as success.</w:t>
      </w:r>
    </w:p>
    <w:p>
      <w:pPr>
        <w:pStyle w:val="ListBullet"/>
        <w:spacing w:after="60"/>
      </w:pPr>
      <w:r>
        <w:rPr>
          <w:b/>
        </w:rPr>
        <w:t xml:space="preserve">Cohort freshness — </w:t>
      </w:r>
      <w:r>
        <w:t>each cohort phylogenetics run wipes the shared SNP/phylo working area and always recomputes, so a new cohort can never silently reuse a previous cohort's tree.</w:t>
      </w:r>
    </w:p>
    <w:p>
      <w:r>
        <w:br w:type="page"/>
      </w:r>
    </w:p>
    <w:p>
      <w:pPr>
        <w:pStyle w:val="Heading1"/>
      </w:pPr>
      <w:r>
        <w:t>12. Methodology — Isolation, Provenance &amp; Reproducibility</w:t>
      </w:r>
    </w:p>
    <w:p>
      <w:pPr>
        <w:pStyle w:val="ListBullet"/>
        <w:spacing w:after="60"/>
      </w:pPr>
      <w:r>
        <w:rPr>
          <w:b/>
        </w:rPr>
        <w:t xml:space="preserve">Per-run sandboxes — </w:t>
      </w:r>
      <w:r>
        <w:t>each run's intermediates and outputs live under work/&lt;run_id&gt;/, with a fixed set of sub-directories (qc, trimmed, kraken, clean, assembly, aligned, variants, consensus, amr, mge), eliminating cross-run collisions.</w:t>
      </w:r>
    </w:p>
    <w:p>
      <w:pPr>
        <w:pStyle w:val="ListBullet"/>
        <w:spacing w:after="60"/>
      </w:pPr>
      <w:r>
        <w:rPr>
          <w:b/>
        </w:rPr>
        <w:t xml:space="preserve">Pinned toolchains — </w:t>
      </w:r>
      <w:r>
        <w:t>conda/mamba environments pin tool versions; the Clair3 model and reference databases are explicit, versioned inputs.</w:t>
      </w:r>
    </w:p>
    <w:p>
      <w:pPr>
        <w:pStyle w:val="ListBullet"/>
        <w:spacing w:after="60"/>
      </w:pPr>
      <w:r>
        <w:rPr>
          <w:b/>
        </w:rPr>
        <w:t xml:space="preserve">Deterministic adapters — </w:t>
      </w:r>
      <w:r>
        <w:t>each tool adapter builds the exact command it will run; command text and per-job logs are retained for provenance and debugging.</w:t>
      </w:r>
    </w:p>
    <w:p>
      <w:pPr>
        <w:pStyle w:val="ListBullet"/>
        <w:spacing w:after="60"/>
      </w:pPr>
      <w:r>
        <w:rPr>
          <w:b/>
        </w:rPr>
        <w:t xml:space="preserve">Safe parameter handling — </w:t>
      </w:r>
      <w:r>
        <w:t>shell-bound paths are validated against shell metacharacters and numeric fields are cast, reducing injection risk in the generated commands.</w:t>
      </w:r>
    </w:p>
    <w:p>
      <w:pPr>
        <w:pStyle w:val="ListBullet"/>
        <w:spacing w:after="60"/>
      </w:pPr>
      <w:r>
        <w:rPr>
          <w:b/>
        </w:rPr>
        <w:t xml:space="preserve">Confidence semantics — </w:t>
      </w:r>
      <w:r>
        <w:t>AMR hits carry an explicit confidence tier; MGE elements carry an acquired-vs-intrinsic classification, so users interpret results with the right caution.</w:t>
      </w:r>
    </w:p>
    <w:p>
      <w:r>
        <w:br w:type="page"/>
      </w:r>
    </w:p>
    <w:p>
      <w:pPr>
        <w:pStyle w:val="Heading1"/>
      </w:pPr>
      <w:r>
        <w:t>13. Development Log — What Was Built and Fixed</w:t>
      </w:r>
    </w:p>
    <w:p>
      <w:pPr>
        <w:spacing w:after="120"/>
        <w:jc w:val="both"/>
      </w:pPr>
      <w:r>
        <w:rPr>
          <w:b w:val="0"/>
          <w:i w:val="0"/>
        </w:rPr>
        <w:t>This section records the substantive engineering work performed on the platform.</w:t>
      </w:r>
    </w:p>
    <w:p>
      <w:pPr>
        <w:pStyle w:val="Heading2"/>
      </w:pPr>
      <w:r>
        <w:t>13.1 Interface &amp; pipeline</w:t>
      </w:r>
    </w:p>
    <w:p>
      <w:pPr>
        <w:pStyle w:val="ListBullet"/>
        <w:spacing w:after="60"/>
      </w:pPr>
      <w:r>
        <w:rPr>
          <w:b/>
        </w:rPr>
        <w:t xml:space="preserve">Rebuilt the v2 operator interface — </w:t>
      </w:r>
      <w:r>
        <w:t>drag-and-drop + click uploader, two-step explicit upload, 0→100% progress, login, and a Logs view; restyled to the v1 design system (warm-white + deep teal #0F766E) with darkened primary text.</w:t>
      </w:r>
    </w:p>
    <w:p>
      <w:pPr>
        <w:pStyle w:val="ListBullet"/>
        <w:spacing w:after="60"/>
      </w:pPr>
      <w:r>
        <w:rPr>
          <w:b/>
        </w:rPr>
        <w:t xml:space="preserve">Sidebar navigation — </w:t>
      </w:r>
      <w:r>
        <w:t>Pipeline, Logs, Database and Resistome sections, with stop/delete and a server-side file browser.</w:t>
      </w:r>
    </w:p>
    <w:p>
      <w:pPr>
        <w:pStyle w:val="ListBullet"/>
        <w:spacing w:after="60"/>
      </w:pPr>
      <w:r>
        <w:rPr>
          <w:b/>
        </w:rPr>
        <w:t xml:space="preserve">Platform profile cleanup — </w:t>
      </w:r>
      <w:r>
        <w:t>restricted the sequencer dropdown and added a separate tool console link.</w:t>
      </w:r>
    </w:p>
    <w:p>
      <w:pPr>
        <w:pStyle w:val="ListBullet"/>
        <w:spacing w:after="60"/>
      </w:pPr>
      <w:r>
        <w:rPr>
          <w:b/>
        </w:rPr>
        <w:t xml:space="preserve">Chart work — </w:t>
      </w:r>
      <w:r>
        <w:t>cumulative-yield curve with N50, quality-threshold bands; report-only contamination detection; automatic host detection from the Kraken2 report.</w:t>
      </w:r>
    </w:p>
    <w:p>
      <w:pPr>
        <w:pStyle w:val="ListBullet"/>
        <w:spacing w:after="60"/>
      </w:pPr>
      <w:r>
        <w:rPr>
          <w:b/>
        </w:rPr>
        <w:t xml:space="preserve">Pipeline hardening — </w:t>
      </w:r>
      <w:r>
        <w:t>resolved a Sniffles 'already exists' failure and corrected the Clair3 model to the PyTorch v500 build matching the basecaller.</w:t>
      </w:r>
    </w:p>
    <w:p>
      <w:pPr>
        <w:pStyle w:val="Heading2"/>
      </w:pPr>
      <w:r>
        <w:t>13.2 Resistome Navigator integration</w:t>
      </w:r>
    </w:p>
    <w:p>
      <w:pPr>
        <w:pStyle w:val="ListBullet"/>
        <w:spacing w:after="60"/>
      </w:pPr>
      <w:r>
        <w:rPr>
          <w:b/>
        </w:rPr>
        <w:t xml:space="preserve">Ported the AMR logic onto the platform's light stack (FastAPI + SQLite, MySQL optional) — </w:t>
      </w:r>
      <w:r>
        <w:t>no Nextflow, Celery, Postgres or React — driven from the analysis dropdown.</w:t>
      </w:r>
    </w:p>
    <w:p>
      <w:pPr>
        <w:pStyle w:val="ListBullet"/>
        <w:spacing w:after="60"/>
      </w:pPr>
      <w:r>
        <w:t>Installed AMRFinderPlus 4.2.5 and its database and validated end-to-end on a real Mycobacterium consensus (genuine intrinsic genes: blaC, erm(37), aac(2')-Ic).</w:t>
      </w:r>
    </w:p>
    <w:p>
      <w:pPr>
        <w:pStyle w:val="ListBullet"/>
        <w:spacing w:after="60"/>
      </w:pPr>
      <w:r>
        <w:t>Built the single-isolate panel and the cohort antibiogram, plus a Single/Cohort scope selector in the Resistome flow.</w:t>
      </w:r>
    </w:p>
    <w:p>
      <w:pPr>
        <w:pStyle w:val="Heading2"/>
      </w:pPr>
      <w:r>
        <w:t>13.3 MGE-Sift integration</w:t>
      </w:r>
    </w:p>
    <w:p>
      <w:pPr>
        <w:pStyle w:val="ListBullet"/>
        <w:spacing w:after="60"/>
      </w:pPr>
      <w:r>
        <w:t>Vendored the MGE-Sift repository into the workspace and wrapped its single-sample orchestrator as one tool adapter running in its own conda environment.</w:t>
      </w:r>
    </w:p>
    <w:p>
      <w:pPr>
        <w:pStyle w:val="ListBullet"/>
        <w:spacing w:after="60"/>
      </w:pPr>
      <w:r>
        <w:t>Built the report parser (classification + AMR-in-MGE), the API endpoints and the MGE panel; generated a per-run configuration with resolved database paths.</w:t>
      </w:r>
    </w:p>
    <w:p>
      <w:pPr>
        <w:pStyle w:val="ListBullet"/>
        <w:spacing w:after="60"/>
      </w:pPr>
      <w:r>
        <w:t>Fixed a genuine syntax defect in the upstream integration module that would have crashed the final step on every run.</w:t>
      </w:r>
    </w:p>
    <w:p>
      <w:pPr>
        <w:pStyle w:val="Heading2"/>
      </w:pPr>
      <w:r>
        <w:t>13.4 Batch, recovery &amp; cohort</w:t>
      </w:r>
    </w:p>
    <w:p>
      <w:pPr>
        <w:pStyle w:val="ListBullet"/>
        <w:spacing w:after="60"/>
      </w:pPr>
      <w:r>
        <w:rPr>
          <w:b/>
        </w:rPr>
        <w:t xml:space="preserve">Diagnosed a whole batch that had stalled — </w:t>
      </w:r>
      <w:r>
        <w:t>the root cause was a server restart orphaning the in-memory job queue (not bad data), compounded by a stale Clair3 model reference and a cosmetic MultiQC step marking complete runs as failed.</w:t>
      </w:r>
    </w:p>
    <w:p>
      <w:pPr>
        <w:pStyle w:val="ListBullet"/>
        <w:spacing w:after="60"/>
      </w:pPr>
      <w:r>
        <w:rPr>
          <w:b/>
        </w:rPr>
        <w:t xml:space="preserve">Added restart-recovery (zombie reaping + opt-in resume), corrected the stored Clair3 model to v500, made MultiQC non-blocking, and de-duplicated runs — </w:t>
      </w:r>
      <w:r>
        <w:t>after which 11 of 12 batch samples completed fully (the 12th was unrecoverable bad sequencing data).</w:t>
      </w:r>
    </w:p>
    <w:p>
      <w:pPr>
        <w:pStyle w:val="ListBullet"/>
        <w:spacing w:after="60"/>
      </w:pPr>
      <w:r>
        <w:t>Fixed the AMR cohort aggregator to include every analysed isolate and corrected prevalence to be computed per isolate.</w:t>
      </w:r>
    </w:p>
    <w:p>
      <w:pPr>
        <w:pStyle w:val="Heading2"/>
      </w:pPr>
      <w:r>
        <w:t>13.5 Database recovery (MySQL/MariaDB)</w:t>
      </w:r>
    </w:p>
    <w:p>
      <w:pPr>
        <w:pStyle w:val="ListBullet"/>
        <w:spacing w:after="60"/>
      </w:pPr>
      <w:r>
        <w:t>Recovered a corrupted XAMPP MariaDB instance: diagnosed an InnoDB 'log sequence in the future' corruption AND crashed Aria-engine system tables; repaired the system tables with aria_chk and brought the server up in recovery mode.</w:t>
      </w:r>
    </w:p>
    <w:p>
      <w:pPr>
        <w:pStyle w:val="ListBullet"/>
        <w:spacing w:after="60"/>
      </w:pPr>
      <w:r>
        <w:t>Took a full per-database logical backup (~700 MB of NADRES data plus the project schema) to a safe location, isolating one orphaned table without blocking the rest.</w:t>
      </w:r>
    </w:p>
    <w:p>
      <w:r>
        <w:br w:type="page"/>
      </w:r>
    </w:p>
    <w:p>
      <w:pPr>
        <w:pStyle w:val="Heading1"/>
      </w:pPr>
      <w:r>
        <w:t>14. Quality Assurance — Verification &amp; Code Audit</w:t>
      </w:r>
    </w:p>
    <w:p>
      <w:pPr>
        <w:spacing w:after="120"/>
        <w:jc w:val="both"/>
      </w:pPr>
      <w:r>
        <w:rPr>
          <w:b w:val="0"/>
          <w:i w:val="0"/>
        </w:rPr>
        <w:t>Beyond functional testing, the recent changes were verified two ways: a runtime data-integrity check and an adversarial, multi-agent code audit.</w:t>
      </w:r>
    </w:p>
    <w:p>
      <w:pPr>
        <w:pStyle w:val="ListBullet"/>
        <w:spacing w:after="60"/>
      </w:pPr>
      <w:r>
        <w:rPr>
          <w:b/>
        </w:rPr>
        <w:t xml:space="preserve">Runtime integrity — </w:t>
      </w:r>
      <w:r>
        <w:t>an automated check confirms all routes register, every tool adapter loads, the cohort antibiogram is internally consistent (matrix shape and prevalence arithmetic), and single/cohort reports build without error.</w:t>
      </w:r>
    </w:p>
    <w:p>
      <w:pPr>
        <w:pStyle w:val="ListBullet"/>
        <w:spacing w:after="60"/>
      </w:pPr>
      <w:r>
        <w:rPr>
          <w:b/>
        </w:rPr>
        <w:t xml:space="preserve">Adversarial audit — </w:t>
      </w:r>
      <w:r>
        <w:t>independent reviewers examined the cohort, recovery and UI changes; each claimed defect was then re-verified by a separate skeptical pass. Six genuine edge-case bugs were confirmed and all six were fixed: a cohort phylogenetics re-run reusing a prior cohort's tree (high); cohort prevalence math under duplicate sample names; duplicate AMRFinder jobs racing on one output; a stale scope selector; non-atomic MySQL mirror writes; and a startup zombie-reap race.</w:t>
      </w:r>
    </w:p>
    <w:p>
      <w:r>
        <w:br w:type="page"/>
      </w:r>
    </w:p>
    <w:p>
      <w:pPr>
        <w:pStyle w:val="Heading1"/>
      </w:pPr>
      <w:r>
        <w:t>15. Limitations &amp; Known Issues</w:t>
      </w:r>
    </w:p>
    <w:p>
      <w:pPr>
        <w:pStyle w:val="ListBullet"/>
        <w:spacing w:after="60"/>
      </w:pPr>
      <w:r>
        <w:rPr>
          <w:b/>
        </w:rPr>
        <w:t xml:space="preserve">MGE-Sift engine not yet installed — </w:t>
      </w:r>
      <w:r>
        <w:t>the integration (UI, adapter, parser, endpoints) is complete, but the heavy conda environment and ~20 GB of databases are not yet provisioned, so MGE results are not produced until that one-time setup is run.</w:t>
      </w:r>
    </w:p>
    <w:p>
      <w:pPr>
        <w:pStyle w:val="ListBullet"/>
        <w:spacing w:after="60"/>
      </w:pPr>
      <w:r>
        <w:rPr>
          <w:b/>
        </w:rPr>
        <w:t xml:space="preserve">SNP (snippy) downstream — </w:t>
      </w:r>
      <w:r>
        <w:t>a reference-path issue ('Invalid --reference filename') remains in the standalone SNP analysis option; the core pipeline's variant calling (Clair3/Sniffles) is unaffected.</w:t>
      </w:r>
    </w:p>
    <w:p>
      <w:pPr>
        <w:pStyle w:val="ListBullet"/>
        <w:spacing w:after="60"/>
      </w:pPr>
      <w:r>
        <w:rPr>
          <w:b/>
        </w:rPr>
        <w:t xml:space="preserve">Single-node executor — </w:t>
      </w:r>
      <w:r>
        <w:t>the in-memory thread pool is right-sized for one workstation; the recovery layer mitigates restart loss but the system is not yet horizontally scalable.</w:t>
      </w:r>
    </w:p>
    <w:p>
      <w:pPr>
        <w:pStyle w:val="ListBullet"/>
        <w:spacing w:after="60"/>
      </w:pPr>
      <w:r>
        <w:rPr>
          <w:b/>
        </w:rPr>
        <w:t xml:space="preserve">Resource ceiling — </w:t>
      </w:r>
      <w:r>
        <w:t>on a ≈16 GB host, heavy steps are deliberately throttled; very large batches are processed steadily rather than massively in parallel.</w:t>
      </w:r>
    </w:p>
    <w:p>
      <w:pPr>
        <w:pStyle w:val="ListBullet"/>
        <w:spacing w:after="60"/>
      </w:pPr>
      <w:r>
        <w:rPr>
          <w:b/>
        </w:rPr>
        <w:t xml:space="preserve">Reference-based consensus — </w:t>
      </w:r>
      <w:r>
        <w:t>AMR/MGE calls reflect the consensus against a chosen reference; isolate-specific acquired elements are best confirmed with a de novo assembly.</w:t>
      </w:r>
    </w:p>
    <w:p>
      <w:r>
        <w:br w:type="page"/>
      </w:r>
    </w:p>
    <w:p>
      <w:pPr>
        <w:pStyle w:val="Heading1"/>
      </w:pPr>
      <w:r>
        <w:t>16. Future Roadmap</w:t>
      </w:r>
    </w:p>
    <w:p>
      <w:pPr>
        <w:spacing w:after="120"/>
        <w:jc w:val="both"/>
      </w:pPr>
      <w:r>
        <w:rPr>
          <w:b w:val="0"/>
          <w:i w:val="0"/>
        </w:rPr>
        <w:t>The architecture was chosen to scale gracefully. The highest-value next steps, in priority order, are:</w:t>
      </w:r>
    </w:p>
    <w:p>
      <w:pPr>
        <w:pStyle w:val="ListBullet"/>
        <w:spacing w:after="60"/>
      </w:pPr>
      <w:r>
        <w:rPr>
          <w:b/>
        </w:rPr>
        <w:t xml:space="preserve">Durable job queue / workflow engine — </w:t>
      </w:r>
      <w:r>
        <w:t>replace the in-memory pool with a persistent queue (or adopt Nextflow/Snakemake for the chain) for built-in resume, retry and resource limits.</w:t>
      </w:r>
    </w:p>
    <w:p>
      <w:pPr>
        <w:pStyle w:val="ListBullet"/>
        <w:spacing w:after="60"/>
      </w:pPr>
      <w:r>
        <w:rPr>
          <w:b/>
        </w:rPr>
        <w:t xml:space="preserve">PostgreSQL metadata + results warehouse — </w:t>
      </w:r>
      <w:r>
        <w:t>migrate from SQLite to handle concurrent writes and enable cross-isolate surveillance queries at multi-year scale.</w:t>
      </w:r>
    </w:p>
    <w:p>
      <w:pPr>
        <w:pStyle w:val="ListBullet"/>
        <w:spacing w:after="60"/>
      </w:pPr>
      <w:r>
        <w:rPr>
          <w:b/>
        </w:rPr>
        <w:t xml:space="preserve">Object storage with lifecycle — </w:t>
      </w:r>
      <w:r>
        <w:t>move large artifacts to S3/MinIO with tiering and retention (auto-archive intermediates, keep consensus/reports), solving disk pressure structurally.</w:t>
      </w:r>
    </w:p>
    <w:p>
      <w:pPr>
        <w:pStyle w:val="ListBullet"/>
        <w:spacing w:after="60"/>
      </w:pPr>
      <w:r>
        <w:rPr>
          <w:b/>
        </w:rPr>
        <w:t xml:space="preserve">Live pipeline-graph UI — </w:t>
      </w:r>
      <w:r>
        <w:t>render the chain as a DAG with per-step timing and resource sparklines, and stream logs over WebSocket instead of polling.</w:t>
      </w:r>
    </w:p>
    <w:p>
      <w:pPr>
        <w:pStyle w:val="ListBullet"/>
        <w:spacing w:after="60"/>
      </w:pPr>
      <w:r>
        <w:rPr>
          <w:b/>
        </w:rPr>
        <w:t xml:space="preserve">Surveillance &amp; outbreak dashboards — </w:t>
      </w:r>
      <w:r>
        <w:t>AMR prevalence over time/region/host, transmission clustering from the cohort phylogeny, and one-click submission to NCBI/ENA.</w:t>
      </w:r>
    </w:p>
    <w:p>
      <w:pPr>
        <w:pStyle w:val="ListBullet"/>
        <w:spacing w:after="60"/>
      </w:pPr>
      <w:r>
        <w:rPr>
          <w:b/>
        </w:rPr>
        <w:t xml:space="preserve">Observability &amp; CI — </w:t>
      </w:r>
      <w:r>
        <w:t>metrics, alerting and an automated test suite so silent failures and regressions are caught before they reach an operator.</w:t>
      </w:r>
    </w:p>
    <w:p>
      <w:r>
        <w:br w:type="page"/>
      </w:r>
    </w:p>
    <w:p>
      <w:pPr>
        <w:pStyle w:val="Heading1"/>
      </w:pPr>
      <w:r>
        <w:t>17. Conclusion</w:t>
      </w:r>
    </w:p>
    <w:p>
      <w:pPr>
        <w:spacing w:after="120"/>
        <w:jc w:val="both"/>
      </w:pPr>
      <w:r>
        <w:rPr>
          <w:b w:val="0"/>
          <w:i w:val="0"/>
        </w:rPr>
        <w:t>VetGenomeHub v2 delivers a complete, reproducible ONT bacterial-genomics pipeline and a growing surveillance layer on a deliberately lightweight stack. By replacing a heavy workflow engine with a transparent Python orchestrator — and backing it with per-run isolation, checkpoint/resume, honest status reporting and a restart-recovery layer — the platform achieves the robustness that matters for routine surveillance without the operational weight of Nextflow/Celery/Postgres/React. The core pipeline, the Resistome Navigator (single and cohort), and the cohort views are operational and have been verified by both runtime integrity checks and an adversarial code audit. The remaining items (MGE-Sift provisioning, the SNP option) are scoped and isolated, and the roadmap lays out a clear path from a capable single-node tool to a national genomic-surveillance platform.</w:t>
      </w:r>
    </w:p>
    <w:p>
      <w:r>
        <w:br w:type="page"/>
      </w:r>
    </w:p>
    <w:p>
      <w:pPr>
        <w:pStyle w:val="Heading1"/>
      </w:pPr>
      <w:r>
        <w:t>Appendix A — Glossary</w:t>
      </w:r>
    </w:p>
    <w:tbl>
      <w:tblPr>
        <w:tblStyle w:val="TableGrid"/>
        <w:tblW w:type="auto" w:w="0"/>
        <w:jc w:val="center"/>
        <w:tblLook w:firstColumn="1" w:firstRow="1" w:lastColumn="0" w:lastRow="0" w:noHBand="0" w:noVBand="1" w:val="04A0"/>
      </w:tblPr>
      <w:tblGrid>
        <w:gridCol w:w="4824"/>
        <w:gridCol w:w="4824"/>
      </w:tblGrid>
      <w:tr>
        <w:tc>
          <w:tcPr>
            <w:tcW w:type="dxa" w:w="4824"/>
            <w:shd w:val="clear" w:fill="0F766E"/>
          </w:tcPr>
          <w:p>
            <w:r/>
            <w:r>
              <w:rPr>
                <w:b/>
                <w:color w:val="FFFFFF"/>
                <w:sz w:val="19"/>
              </w:rPr>
              <w:t>Term</w:t>
            </w:r>
          </w:p>
        </w:tc>
        <w:tc>
          <w:tcPr>
            <w:tcW w:type="dxa" w:w="4824"/>
            <w:shd w:val="clear" w:fill="0F766E"/>
          </w:tcPr>
          <w:p>
            <w:r/>
            <w:r>
              <w:rPr>
                <w:b/>
                <w:color w:val="FFFFFF"/>
                <w:sz w:val="19"/>
              </w:rPr>
              <w:t>Meaning</w:t>
            </w:r>
          </w:p>
        </w:tc>
      </w:tr>
      <w:tr>
        <w:tc>
          <w:tcPr>
            <w:tcW w:type="dxa" w:w="4824"/>
          </w:tcPr>
          <w:p>
            <w:r/>
            <w:r>
              <w:rPr>
                <w:sz w:val="18"/>
              </w:rPr>
              <w:t>ONT / MinION</w:t>
            </w:r>
          </w:p>
        </w:tc>
        <w:tc>
          <w:tcPr>
            <w:tcW w:type="dxa" w:w="4824"/>
          </w:tcPr>
          <w:p>
            <w:r/>
            <w:r>
              <w:rPr>
                <w:sz w:val="18"/>
              </w:rPr>
              <w:t>Oxford Nanopore Technologies long-read sequencing platform</w:t>
            </w:r>
          </w:p>
        </w:tc>
      </w:tr>
      <w:tr>
        <w:tc>
          <w:tcPr>
            <w:tcW w:type="dxa" w:w="4824"/>
            <w:shd w:val="clear" w:fill="E8F2F1"/>
          </w:tcPr>
          <w:p>
            <w:r/>
            <w:r>
              <w:rPr>
                <w:sz w:val="18"/>
              </w:rPr>
              <w:t>Consensus genome</w:t>
            </w:r>
          </w:p>
        </w:tc>
        <w:tc>
          <w:tcPr>
            <w:tcW w:type="dxa" w:w="4824"/>
            <w:shd w:val="clear" w:fill="E8F2F1"/>
          </w:tcPr>
          <w:p>
            <w:r/>
            <w:r>
              <w:rPr>
                <w:sz w:val="18"/>
              </w:rPr>
              <w:t>Reconstructed genome of the sample (reference + applied variants)</w:t>
            </w:r>
          </w:p>
        </w:tc>
      </w:tr>
      <w:tr>
        <w:tc>
          <w:tcPr>
            <w:tcW w:type="dxa" w:w="4824"/>
          </w:tcPr>
          <w:p>
            <w:r/>
            <w:r>
              <w:rPr>
                <w:sz w:val="18"/>
              </w:rPr>
              <w:t>AMR</w:t>
            </w:r>
          </w:p>
        </w:tc>
        <w:tc>
          <w:tcPr>
            <w:tcW w:type="dxa" w:w="4824"/>
          </w:tcPr>
          <w:p>
            <w:r/>
            <w:r>
              <w:rPr>
                <w:sz w:val="18"/>
              </w:rPr>
              <w:t>Antimicrobial resistance</w:t>
            </w:r>
          </w:p>
        </w:tc>
      </w:tr>
      <w:tr>
        <w:tc>
          <w:tcPr>
            <w:tcW w:type="dxa" w:w="4824"/>
            <w:shd w:val="clear" w:fill="E8F2F1"/>
          </w:tcPr>
          <w:p>
            <w:r/>
            <w:r>
              <w:rPr>
                <w:sz w:val="18"/>
              </w:rPr>
              <w:t>Resistome</w:t>
            </w:r>
          </w:p>
        </w:tc>
        <w:tc>
          <w:tcPr>
            <w:tcW w:type="dxa" w:w="4824"/>
            <w:shd w:val="clear" w:fill="E8F2F1"/>
          </w:tcPr>
          <w:p>
            <w:r/>
            <w:r>
              <w:rPr>
                <w:sz w:val="18"/>
              </w:rPr>
              <w:t>The full set of resistance genes/mutations in an isolate or cohort</w:t>
            </w:r>
          </w:p>
        </w:tc>
      </w:tr>
      <w:tr>
        <w:tc>
          <w:tcPr>
            <w:tcW w:type="dxa" w:w="4824"/>
          </w:tcPr>
          <w:p>
            <w:r/>
            <w:r>
              <w:rPr>
                <w:sz w:val="18"/>
              </w:rPr>
              <w:t>MGE</w:t>
            </w:r>
          </w:p>
        </w:tc>
        <w:tc>
          <w:tcPr>
            <w:tcW w:type="dxa" w:w="4824"/>
          </w:tcPr>
          <w:p>
            <w:r/>
            <w:r>
              <w:rPr>
                <w:sz w:val="18"/>
              </w:rPr>
              <w:t>Mobile genetic element (plasmid, IS, integron, prophage, island)</w:t>
            </w:r>
          </w:p>
        </w:tc>
      </w:tr>
      <w:tr>
        <w:tc>
          <w:tcPr>
            <w:tcW w:type="dxa" w:w="4824"/>
            <w:shd w:val="clear" w:fill="E8F2F1"/>
          </w:tcPr>
          <w:p>
            <w:r/>
            <w:r>
              <w:rPr>
                <w:sz w:val="18"/>
              </w:rPr>
              <w:t>Antibiogram</w:t>
            </w:r>
          </w:p>
        </w:tc>
        <w:tc>
          <w:tcPr>
            <w:tcW w:type="dxa" w:w="4824"/>
            <w:shd w:val="clear" w:fill="E8F2F1"/>
          </w:tcPr>
          <w:p>
            <w:r/>
            <w:r>
              <w:rPr>
                <w:sz w:val="18"/>
              </w:rPr>
              <w:t>Isolates × drug-classes resistance matrix</w:t>
            </w:r>
          </w:p>
        </w:tc>
      </w:tr>
      <w:tr>
        <w:tc>
          <w:tcPr>
            <w:tcW w:type="dxa" w:w="4824"/>
          </w:tcPr>
          <w:p>
            <w:r/>
            <w:r>
              <w:rPr>
                <w:sz w:val="18"/>
              </w:rPr>
              <w:t>N50</w:t>
            </w:r>
          </w:p>
        </w:tc>
        <w:tc>
          <w:tcPr>
            <w:tcW w:type="dxa" w:w="4824"/>
          </w:tcPr>
          <w:p>
            <w:r/>
            <w:r>
              <w:rPr>
                <w:sz w:val="18"/>
              </w:rPr>
              <w:t>Contiguity metric for an assembly</w:t>
            </w:r>
          </w:p>
        </w:tc>
      </w:tr>
      <w:tr>
        <w:tc>
          <w:tcPr>
            <w:tcW w:type="dxa" w:w="4824"/>
            <w:shd w:val="clear" w:fill="E8F2F1"/>
          </w:tcPr>
          <w:p>
            <w:r/>
            <w:r>
              <w:rPr>
                <w:sz w:val="18"/>
              </w:rPr>
              <w:t>Core-SNP tree</w:t>
            </w:r>
          </w:p>
        </w:tc>
        <w:tc>
          <w:tcPr>
            <w:tcW w:type="dxa" w:w="4824"/>
            <w:shd w:val="clear" w:fill="E8F2F1"/>
          </w:tcPr>
          <w:p>
            <w:r/>
            <w:r>
              <w:rPr>
                <w:sz w:val="18"/>
              </w:rPr>
              <w:t>Phylogeny built from SNPs in the shared (core) genome</w:t>
            </w:r>
          </w:p>
        </w:tc>
      </w:tr>
      <w:tr>
        <w:tc>
          <w:tcPr>
            <w:tcW w:type="dxa" w:w="4824"/>
          </w:tcPr>
          <w:p>
            <w:r/>
            <w:r>
              <w:rPr>
                <w:sz w:val="18"/>
              </w:rPr>
              <w:t>Checkpoint/resume</w:t>
            </w:r>
          </w:p>
        </w:tc>
        <w:tc>
          <w:tcPr>
            <w:tcW w:type="dxa" w:w="4824"/>
          </w:tcPr>
          <w:p>
            <w:r/>
            <w:r>
              <w:rPr>
                <w:sz w:val="18"/>
              </w:rPr>
              <w:t>Skipping steps whose outputs already exist on re-run</w:t>
            </w:r>
          </w:p>
        </w:tc>
      </w:tr>
      <w:tr>
        <w:tc>
          <w:tcPr>
            <w:tcW w:type="dxa" w:w="4824"/>
            <w:shd w:val="clear" w:fill="E8F2F1"/>
          </w:tcPr>
          <w:p>
            <w:r/>
            <w:r>
              <w:rPr>
                <w:sz w:val="18"/>
              </w:rPr>
              <w:t>Per-run isolation</w:t>
            </w:r>
          </w:p>
        </w:tc>
        <w:tc>
          <w:tcPr>
            <w:tcW w:type="dxa" w:w="4824"/>
            <w:shd w:val="clear" w:fill="E8F2F1"/>
          </w:tcPr>
          <w:p>
            <w:r/>
            <w:r>
              <w:rPr>
                <w:sz w:val="18"/>
              </w:rPr>
              <w:t>Each run computes in its own working directory</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