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Enterprise Business Graph</w:t>
      </w:r>
    </w:p>
    <w:p>
      <w:pPr>
        <w:spacing w:after="80"/>
        <w:jc w:val="center"/>
      </w:pPr>
      <w:r>
        <w:rPr>
          <w:rFonts w:ascii="Arial" w:cs="Arial" w:eastAsia="Arial" w:hAnsi="Arial"/>
          <w:sz w:val="28"/>
          <w:szCs w:val="28"/>
        </w:rPr>
        <w:t xml:space="preserve">Asset Class &amp; Depreciation Rate Management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Version 1.2 Addendum C  ·  Extends FixedAsset (Section 6) and Tax Engine (Section 8)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Design Rationale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v1.0 FixedAsset node carries depreciation_method, useful_life_years, and tax_base_method as per-asset properties with no centralized class configuration. This creates three problems: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link between tax_base_method = CCA_CLASS and which CCA class at what rate. “CCA_CLASS” is meaningless without Class 8 (20%), Class 10 (30%), Class 50 (55%),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asset_class enum (LAND, BUILDING, MACHINERY, etc.) is too coarse. “MACHINERY” maps to CCA Class 8 (20%), Class 29 (50%), or Class 43 (30%) depending on the asset’s purpose. The enum cannot express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asset must be individually configured. There is no way to set “all IT equipment in the Canadian entity depreciates at 55% declining balance for CCA and 3 years straight-line for accounting” as a default.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solution is an AssetClass reference node that defines depreciation rules per class per jurisdiction, with a BELONGS_TO edge from FixedAsset to AssetClass. Individual assets inherit their class defaults but can override them when needed (e.g., a specific machine with an unusually short useful life).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AssetClass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reference/configuration node. One per class per jurisdiction. Legislation changes create new nodes with updated effective_from dates — the old node remains for historical assets.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code. e.g., CA-CCA-50, CA-CCA-8, US-MACRS-5, US-MACRS-39, ACCT-IT-EQUIP.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name. e.g., “CCA Class 50 — Computer equipment”.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CCA | MACRS | ACCOUNTING. CCA = CRA tax classes, MACRS = IRS tax classes, ACCOUNTING = book depreciation classes.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jurisdiction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3166-1 or sub-jurisdiction. CA, CA-ON, US, US-CA. ACCOUNTING classes can be entity-specific.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depreciation_method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STRAIGHT_LINE | DECLINING_BALANCE | DOUBLE_DECLINING | UNITS_OF_PRODUCTION | SUM_OF_YEARS | GDS_TABLE | ADS_TABLE.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rate for declining balance methods. e.g., 0.55 for CCA Class 50, 0.20 for CCA Class 8. Null for straight-line/table methods.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useful_life_years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useful life for straight-line methods. e.g., 5.0 for MACRS 5-year, 39.0 for MACRS 39-year. Null for declining balance.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salvage_value_pct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salvage value as % of cost. 0.0 for CCA (always depreciates to zero), 0.0 for MACRS, varies for accounting.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first_year_rule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HALF_YEAR | MID_QUARTER | MID_MONTH | FULL_YEAR | NONE. CCA: HALF_YEAR (50% of rate in acquisition year). MACRS: HALF_YEAR or MID_QUARTER. Accounting: varies.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pool_method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| POOLED. CCA uses POOLED (all Class 8 assets in one UCC pool). MACRS uses INDIVIDUAL. Accounting uses INDIVIDUAL.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disposal_rule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RECAPTURE_AND_TERMINAL_LOSS | GAIN_LOSS_ON_DISPOSAL | HALF_YEAR_DISPOSAL. CCA: recapture if UCC &lt; 0, terminal loss if pool empty. MACRS: varies. Accounting: gain/loss.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accelerated_incentive_rate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first-year rate if applicable. e.g., 1.0 for CCA AIIP (100% first-year writeoff). Null if no incentive 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accelerated_incentive_expiry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Sunset date for the accelerated incentive. e.g., 2028-01-01 for AIIP. Null if permanent or no incentive.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eligible_entity_types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[enum]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[FOR_PROFIT] | [NOT_FOR_PROFIT] | [FOR_PROFIT, NOT_FOR_PROFIT]. NFPs may use different classes.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asset_examples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[string]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Guidance examples for classification. e.g., [“laptops”, “servers”, “tablets”, “network equipment”] for CCA Class 50.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legislation_reference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Statutory reference. e.g., “ITA Schedule II, Class 50”, “IRC §168(e)(3)(B)”.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class definition became effective.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effective_until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current. Set when legislation changes the class definition.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BELONGS_TO Edge and FixedAsset Changes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BELONGS_TO edge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Links a FixedAsset to its AssetClass. Each FixedAsset has up to three BELONGS_TO edges: one for accounting, one for CCA (if Canadian entity), one for MACRS (if US entity).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CCA | MACRS | ACCOUNTING. Discriminator for which class this edge represents.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override_rate_pct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this specific asset uses a different rate than the class default. Null = inherit class default.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override_useful_life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this specific asset has a different useful life than the class default. Null = inherit.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override_salvage_value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this specific asset has a different salvage value. Null = inherit class salvage_value_pct × cost.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override_reason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for the override. Required if any override is set. Audit trail.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classification became effective (usually = acquisition_date).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reclassified_from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AssetClass if reclassified. Null if original classification.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FixedAsset node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properties on FixedAsset are revised: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asset_class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by BELONGS_TO edge to AssetClass node (class_system = ACCOUNTING).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depreciation_method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nullable. If null, inherits from BELONGS_TO -&gt; AssetClass (ACCOUNTING). If set, overrides class default.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useful_life_years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nullable. If null, inherits from BELONGS_TO -&gt; AssetClass (ACCOUNTING).useful_life_years.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salvage_value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nullable. If null, computed as cost_at_acquisition × AssetClass.salvage_value_pct.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tax_base_method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by BELONGS_TO edge to AssetClass node (class_system = CCA or MACRS).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tax_class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by BELONGS_TO edge. The AssetClass.class_code is the tax class identifier.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Effective rate 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depreciation engine needs a rate for a FixedAsset, it resolves in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BELONGS_TO edge override_rate_pct. If non-null,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BELONGS_TO edge override_useful_life. If non-null,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 back to AssetClass.rate_pct or AssetClass.useful_life_years.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AssetClass has accelerated_incentive_rate and the asset’s acquisition_date is before accelerated_incentive_expiry, apply the incentive rate for the first year.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Resolution pseudocode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function getEffectiveRate(asset, classSystem):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edge = asset.BELONGS_TO.filter(e =&gt; e.class_system == classSystem)[0]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cls = edge.target  // AssetClass node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rate = edge.override_rate_pct ?? cls.rate_pct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life = edge.override_useful_life ?? cls.useful_life_years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salvage = edge.override_salvage_value ?? (asset.cost_at_acquisition * cls.salvage_value_pct)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cls.accelerated_incentive_rate &amp;&amp; asset.acquisition_date &lt; cls.accelerated_incentive_expiry: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firstYearRate = cls.accelerated_incentive_rate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else: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firstYearRate = applyFirstYearRule(rate, cls.first_year_rule)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return { rate, life, salvage, firstYearRate, method: cls.depreciation_method, pool: cls.pool_method 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CCA Class Seed Data (Canada)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CCA classes should be loaded as AssetClass nodes at Phase 0. This is not exhaustive — additional classes are added as assets are acquired that require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12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Buildings acquired after 1987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buildings, warehouses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buildings, fences, greenhouses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Wood-frame structures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 tangible capital property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Furniture, equipment, tools &gt;$500, machinery not in another class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vehicles, general-purpose electronic 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Cars, trucks, vans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 vehicles &gt;$37,000 (prescribed limit)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Luxury vehicles (individual pool, each)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Tools, utensils, medical/dental instruments &lt;$500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tools, kitchen utensils, dies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Leasehold improvements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 lease term + first renewal (min 5yr, max 40yr)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Patents, franchises, licences (limited life)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 the life of the right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Goodwill and unlimited-life intangibles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Goodwill, trademarks, customer lists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and processing machinery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M&amp;P equipment acquired after 2025-03-02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M&amp;P machinery (accelerated)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M&amp;P acquired before 2026 (enhanced rate)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energy generation/conservation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Solar, wind, heat recovery equipment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network 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Fibre optic, network switches, routers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Laptops, servers, tablets, printers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Zero-emission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EVs, hydrogen FCEVs, PHEVs</w:t>
            </w:r>
          </w:p>
        </w:tc>
      </w:tr>
    </w:tbl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CCA classes use POOLED pool_method, HALF_YEAR first_year_rule, and RECAPTURE_AND_TERMINAL_LOSS disposal_rule. Class 10.1 is an exception: each vehicle forms its own pool (effectively INDIVIDUAL). Class 13 and 14 use STRAIGHT_LINE over the asset’s specific term, making useful_life_years a per-asset override rather than a class default.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Accelerated Investment Incentive Property (AIIP)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AIIP provides an enhanced first-year deduction for eligible property acquired after November 20, 2018 and available for use before 2028. Rather than the standard half-year rule, AIIP triples the first-year CCA by applying the rate to 1.5× the net additions: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aiip_first_year_cca = rate_pct * 1.5 * net_additions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Equivalent to: first year gets 150% of the normal half-year amount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Phases down: 2024-2025 = 75% (factor 1.25), 2026-2027 = factor 1.0 (no enhancement)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 this using accelerated_incentive_rate on the AssetClass node. For CCA Class 50 (55% base rate): the AIIP effective first-year rate = 0.55 × 1.5 = 0.825 (82.5% first-year deduction).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MACRS Class Seed Data (United States)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000"/>
        <w:gridCol w:w="12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Period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GDS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Tractors, racehorses, rent-to-own property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200%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jigs, molds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Automobiles, computers, office 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200%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Cars, trucks, computers, printers, copiers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7-year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furniture, fixtures, most machinery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200%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Desks, chairs, fixtures, general equipment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transportation, fruit/nut 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200%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Boats, barges, agricultural structures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improvements, municipal systems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150%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 lots, fences, sidewalks, landscaping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20-year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buildings, sewer pipe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150%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buildings, utility property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27.5-year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rental property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Apartment buildings, rental houses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39-year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Nonresidential real property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buildings, retail, warehouses</w:t>
            </w:r>
          </w:p>
        </w:tc>
      </w:tr>
    </w:tbl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MACRS uses INDIVIDUAL pool_method (each asset tracked separately, unlike CCA pooling). The GDS double-declining method switches to straight-line when SL produces a larger deduction. This switch point is built into the IRS depreciation tables — the depreciation engine should use the published percentage tables from IRS Publication 946 rather than computing DB-to-SL switchover manually.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Bonus depreciation (§168(k))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Similar to Canada’s AIIP, the US offers bonus depreciation allowing a first-year deduction of a percentage of the asset’s cost. The rate phases 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2022 and prior: 100% (full expensing)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2023: 80%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2024: 60%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2025: 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2026: 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2027+: 0% (unless extended by legislation)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 using accelerated_incentive_rate and accelerated_incentive_expiry on the MACRS AssetClass nodes. Not all property qualifies — 27.5-year and 39-year real property are generally excluded unless QIP (Qualified Improvement Property).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§179 immediate expensing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IRC §179 allows businesses to expense the full cost of qualifying property in year one, up to an annual limit ($1,220,000 for 2024, indexed for inflation). This is modeled as a separate first_year_rule = SECTION_179 on the BELONGS_TO edge, not on the AssetClass, because it’s an election per asset: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BELONGS_TO edge: { class_system: MACRS, override_rate_pct: 1.0,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override_reason: “§179 election — full expensing” }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Accounting Depreciation Classes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addition to the tax classes, each entity needs accounting depreciation classes that reflect the asset’s economic useful life rather than the tax schedule. These are entity-specific and follow the entity’s reporting framework (ASPE, US GAAP):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4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Salvage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ACCT-BUILDING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 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buildings, owned facilities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ACCT-LEASEHOLD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 term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Leasehold improvements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ACCT-FURNITURE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Desks, chairs, shelving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ACCT-IT-EQUIP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Laptops, servers, network gear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ACCT-VEHICLE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 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vehicles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ACCT-MACHINERY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 or UOP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 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equipment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ACCT-SOFTWARE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Purchased software licences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ACCT-LAND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is never depreciated</w:t>
            </w:r>
          </w:p>
        </w:tc>
      </w:tr>
    </w:tbl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Accounting classes use INDIVIDUAL pool_method and FULL_YEAR or NONE first_year_rule. The difference between accounting depreciation (economic useful life) and tax depreciation (CCA/MACRS rates) is the source of temporary differences that drive DeferredTaxPosition computation. Having both class types linked to the same FixedAsset makes this computation straightforward: accounting carrying amount comes from the ACCOUNTING class, tax UCC/MACRS basis comes from the CCA/MACRS class.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UCC Pool Tracking (CCA-Specific)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CCA uses pooled depreciation: all assets in the same class share a single Undepreciated Capital Cost (UCC) balance. The depreciation engine charges CCA against the pool, not individual assets. This requires a UCC pool tracking node: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UCCPool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a Canadian entity.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asset_class_id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the CCA AssetClass node.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fiscal_year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year this pool snapshot applies 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opening_ucc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UCC at start of year.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of assets added to pool during year.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disposals_proceeds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Proceeds of disposition (lesser of proceeds or original cost).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adjustments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assistance, investment tax credits reducing UCC.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base_for_cca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Computed: opening + additions − disposals − adjustments. Half-year rule applied to net additions.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cca_claimed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CCA claimed (may be less than maximum if tax planning requires it).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cca_maximum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CCA available: base_for_cca × rate_pct.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closing_ucc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base_for_cca − cca_claimed. Carries to next year’s opening.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recapture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closing UCC &lt; 0 after disposals: negative amount is recapture income.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terminal_loss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pool has positive UCC but no assets remaining: UCC is deductible terminal loss.</w:t>
            </w:r>
          </w:p>
        </w:tc>
      </w:tr>
    </w:tbl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CCA is discretionary — the taxpayer can claim any amount between $0 and the maximum. Tax planning may defer CCA to future years when the entity has higher income. The cca_claimed property reflects the actual election, not the maximum available. The depreciation engine must expose both cca_maximum and allow the tax preparer to set cca_claimed ≤ cca_maximum.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Tax credit interaction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refundable tax credit (e.g., SR&amp;ED ITC) is applied using the cost reduction accounting treatment, the credit amount reduces the UCC of the pool containing the related assets. This links to Addendum B (Tax Credit Management):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UCCPool.adjustments += TaxCreditClaim.credit_amount_assessed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Only for credits with accounting_treatment = COST_REDUCTION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The credit reduces UCC, which reduces future CCA deductions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This creates a temporary difference that affects DeferredTaxPosition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Depreciation Engine Changes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Period close step 8 (depreciation run) — revised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depreciation run at period close now operates in two passes: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1 — Accounting depreciation: For each FixedAsset, resolve rates from the ACCOUNTING BELONGS_TO edge. Generate DepreciationSchedule entries and JournalEntry (DR Depreciation Expense / CR Accumulated Depreciation). Individual asset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2 — Tax depreciation (CCA): For each UCCPool, compute maximum CCA from pool balance and class rate. Generate tax memo entries (not posted to accounting GL — tax depreciation is a memo computation). Update UCCPool.cca_claimed after tax preparer election.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2 alt — Tax depreciation (MACRS): For each FixedAsset in a US entity, compute MACRS depreciation from the IRS percentage tables. Generate tax memo entries. Individual asset tracking.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Temporary difference computation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both accounting and tax depreciation now computable from AssetClass data, the tax engine can automatically identify temporary differences: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for each FixedAsset: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acct_carrying = cost - accumulated_depreciation (from ACCOUNTING class)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tax_base = UCC allocation (CCA pool) or MACRS remaining basis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temp_diff = acct_carrying - tax_base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temp_diff &gt; 0: DTL (accounting &gt; tax, taxable in future)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temp_diff &lt; 0: DTA (accounting &lt; tax, deductible in future)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-&gt; Create/update DeferredTaxPosition node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Build Plan Impact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Phase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AssetClass node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UCCPool node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BELONGS_TO edge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CCA class seed data (Section 4) as AssetClass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MACRS class seed data (Section 5) as AssetClass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accounting class seed data (Section 6) as AssetClass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Migration: convert existing FixedAsset.asset_class enum values to BELONGS_TO edges pointing to corresponding accounting AssetClass nodes.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Phase 2 (fixed assets + leases)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Depreciation engine: two-pass architecture (accounting + tax).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UCCPool annual rollover at fiscal year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CCA discretionary claim election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MACRS percentage table lookup (embed IRS Pub 946 tables).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resolution service (override cascade from edge to class).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Asset reclassification workflow (create new BELONGS_TO edge, set reclassified_from).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Timeline estimate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0: +0.5 sprint (DDL, seed data, migration).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2: +1 sprint (two-pass engine, UCC pools, rate resolution).</w:t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Enterprise Business Graph · v1.2 Addendum C · Asset Class &amp; Depreciation Rate Management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Enterprise Business Graph · v1.2 · Asset Class &amp; Depreciation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2026-03-24T15:27:59.907Z</dcterms:created>
  <dcterms:modified xsi:type="dcterms:W3CDTF">2026-03-24T15:27:59.908Z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