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Enterprise Business Graph</w:t>
      </w:r>
    </w:p>
    <w:p>
      <w:pPr>
        <w:spacing w:after="80"/>
        <w:jc w:val="center"/>
      </w:pPr>
      <w:r>
        <w:rPr>
          <w:rFonts w:ascii="Arial" w:cs="Arial" w:eastAsia="Arial" w:hAnsi="Arial"/>
          <w:sz w:val="28"/>
          <w:szCs w:val="28"/>
        </w:rPr>
        <w:t xml:space="preserve">Configuration Management &amp; Open Decision Reclassification</w:t>
      </w:r>
    </w:p>
    <w:p>
      <w:pPr>
        <w:spacing w:after="240"/>
        <w:jc w:val="center"/>
      </w:pPr>
      <w:r>
        <w:rPr>
          <w:rFonts w:ascii="Arial" w:cs="Arial" w:eastAsia="Arial" w:hAnsi="Arial"/>
          <w:i/>
          <w:iCs/>
          <w:sz w:val="20"/>
          <w:szCs w:val="20"/>
        </w:rPr>
        <w:t xml:space="preserve">Version 1.2 Addendum D  ·  Replaces Open Decisions framework (Section 10.2 and all addenda)  ·  Adds ConfigurationSetting schema</w:t>
      </w:r>
    </w:p>
    <w:p>
      <w:pPr>
        <w:pStyle w:val="Heading1"/>
        <w:spacing w:before="360" w:after="200"/>
      </w:pPr>
      <w:r>
        <w:rPr>
          <w:rFonts w:ascii="Arial" w:cs="Arial" w:eastAsia="Arial" w:hAnsi="Arial"/>
          <w:b/>
          <w:bCs/>
          <w:sz w:val="32"/>
          <w:szCs w:val="32"/>
        </w:rPr>
        <w:t xml:space="preserve">1. Architectural Principle</w:t>
      </w:r>
    </w:p>
    <w:p>
      <w:pPr>
        <w:spacing w:after="120"/>
      </w:pPr>
      <w:r>
        <w:rPr>
          <w:rFonts w:ascii="Arial" w:cs="Arial" w:eastAsia="Arial" w:hAnsi="Arial"/>
          <w:sz w:val="22"/>
          <w:szCs w:val="22"/>
        </w:rPr>
        <w:t xml:space="preserve">The v1.0 spec and subsequent addenda framed 24 items as “open decisions” that must be resolved before the relevant feature could be built. This framing was incorrect. None of these items require schema changes or architectural decisions. Every one of them falls into one of three categories:</w:t>
      </w:r>
    </w:p>
    <w:p>
      <w:pPr>
        <w:pStyle w:val="ListParagraph"/>
        <w:numPr>
          <w:ilvl w:val="0"/>
          <w:numId w:val="2"/>
        </w:numPr>
        <w:spacing w:after="60"/>
      </w:pPr>
      <w:r>
        <w:rPr>
          <w:rFonts w:ascii="Arial" w:cs="Arial" w:eastAsia="Arial" w:hAnsi="Arial"/>
          <w:sz w:val="22"/>
          <w:szCs w:val="22"/>
        </w:rPr>
        <w:t xml:space="preserve">Configurable settings — admin-editable values scoped to an entity, entity pair, program, or the system. They change over time as the organization evolves. The system must support changing them at runtime without code changes, while maintaining a full audit trail.</w:t>
      </w:r>
    </w:p>
    <w:p>
      <w:pPr>
        <w:pStyle w:val="ListParagraph"/>
        <w:numPr>
          <w:ilvl w:val="0"/>
          <w:numId w:val="2"/>
        </w:numPr>
        <w:spacing w:after="60"/>
      </w:pPr>
      <w:r>
        <w:rPr>
          <w:rFonts w:ascii="Arial" w:cs="Arial" w:eastAsia="Arial" w:hAnsi="Arial"/>
          <w:sz w:val="22"/>
          <w:szCs w:val="22"/>
        </w:rPr>
        <w:t xml:space="preserve">Reference data — lookup nodes or rows (TaxJurisdiction, TaxCreditProgram, Fund, AssetClass, StatutoryMapping) managed through standard CRUD operations. Adding a new tax jurisdiction or chart of accounts code is creating a node, not making an architectural decision.</w:t>
      </w:r>
    </w:p>
    <w:p>
      <w:pPr>
        <w:pStyle w:val="ListParagraph"/>
        <w:numPr>
          <w:ilvl w:val="0"/>
          <w:numId w:val="2"/>
        </w:numPr>
        <w:spacing w:after="60"/>
      </w:pPr>
      <w:r>
        <w:rPr>
          <w:rFonts w:ascii="Arial" w:cs="Arial" w:eastAsia="Arial" w:hAnsi="Arial"/>
          <w:sz w:val="22"/>
          <w:szCs w:val="22"/>
        </w:rPr>
        <w:t xml:space="preserve">Seed data / initial loads — one-time imports of historical data (opening credit balances, UCC pools, prior-year financial statements) using the same CRUD mechanisms as ongoing operations.</w:t>
      </w:r>
    </w:p>
    <w:p>
      <w:pPr>
        <w:spacing w:after="120"/>
      </w:pPr>
      <w:r>
        <w:rPr>
          <w:rFonts w:ascii="Arial" w:cs="Arial" w:eastAsia="Arial" w:hAnsi="Arial"/>
          <w:sz w:val="22"/>
          <w:szCs w:val="22"/>
        </w:rPr>
        <w:t xml:space="preserve">The build implication is that the system needs a proper configuration management layer from Phase 0. Without it, settings end up hardcoded in service code, environment variables, or scattered across node properties with no audit trail, no effective dating, and no way for admins to change them without a deployment.</w:t>
      </w:r>
    </w:p>
    <w:p>
      <w:pPr>
        <w:spacing w:before="60" w:after="160"/>
      </w:pPr>
      <w:r>
        <w:rPr>
          <w:rFonts w:ascii="Arial" w:cs="Arial" w:eastAsia="Arial" w:hAnsi="Arial"/>
          <w:i/>
          <w:iCs/>
          <w:sz w:val="20"/>
          <w:szCs w:val="20"/>
        </w:rPr>
        <w:t xml:space="preserve">CRITICAL: The architecture must support ALL options for each setting from day one. Build the FIFO, Weighted Average, and LIFO inventory engines. Build both PROPORTIONATE and FULL_GOODWILL consolidation. Build all three credit accounting treatments. The setting selects which code path runs for which entity — it does not determine which code path exists.</w:t>
      </w:r>
    </w:p>
    <w:p>
      <w:pPr>
        <w:pStyle w:val="Heading1"/>
        <w:spacing w:before="360" w:after="200"/>
      </w:pPr>
      <w:r>
        <w:rPr>
          <w:rFonts w:ascii="Arial" w:cs="Arial" w:eastAsia="Arial" w:hAnsi="Arial"/>
          <w:b/>
          <w:bCs/>
          <w:sz w:val="32"/>
          <w:szCs w:val="32"/>
        </w:rPr>
        <w:t xml:space="preserve">2. ConfigurationSetting Table</w:t>
      </w:r>
    </w:p>
    <w:p>
      <w:pPr>
        <w:spacing w:after="120"/>
      </w:pPr>
      <w:r>
        <w:rPr>
          <w:rFonts w:ascii="Arial" w:cs="Arial" w:eastAsia="Arial" w:hAnsi="Arial"/>
          <w:sz w:val="22"/>
          <w:szCs w:val="22"/>
        </w:rPr>
        <w:t xml:space="preserve">A single PostgreSQL table with bi-temporal semantics stores all configurable settings. Every read resolves to “what was the effective value for this entity at this point in time?”</w:t>
      </w:r>
    </w:p>
    <w:p>
      <w:pPr>
        <w:pStyle w:val="Heading2"/>
        <w:spacing w:before="280" w:after="160"/>
      </w:pPr>
      <w:r>
        <w:rPr>
          <w:rFonts w:ascii="Arial" w:cs="Arial" w:eastAsia="Arial" w:hAnsi="Arial"/>
          <w:b/>
          <w:bCs/>
          <w:sz w:val="28"/>
          <w:szCs w:val="28"/>
        </w:rPr>
        <w:t xml:space="preserve">2.1 Schema</w:t>
      </w:r>
    </w:p>
    <w:p>
      <w:pPr>
        <w:spacing w:after="60"/>
      </w:pPr>
      <w:r>
        <w:rPr>
          <w:rFonts w:ascii="Consolas" w:cs="Consolas" w:eastAsia="Consolas" w:hAnsi="Consolas"/>
          <w:sz w:val="18"/>
          <w:szCs w:val="18"/>
        </w:rPr>
        <w:t xml:space="preserve">CREATE TABLE configuration_settings (</w:t>
      </w:r>
    </w:p>
    <w:p>
      <w:pPr>
        <w:spacing w:after="60"/>
      </w:pPr>
      <w:r>
        <w:rPr>
          <w:rFonts w:ascii="Consolas" w:cs="Consolas" w:eastAsia="Consolas" w:hAnsi="Consolas"/>
          <w:sz w:val="18"/>
          <w:szCs w:val="18"/>
        </w:rPr>
        <w:t xml:space="preserve">  id                UUID PRIMARY KEY DEFAULT gen_random_uuid(),</w:t>
      </w:r>
    </w:p>
    <w:p>
      <w:pPr>
        <w:spacing w:after="60"/>
      </w:pPr>
      <w:r>
        <w:rPr>
          <w:rFonts w:ascii="Consolas" w:cs="Consolas" w:eastAsia="Consolas" w:hAnsi="Consolas"/>
          <w:sz w:val="18"/>
          <w:szCs w:val="18"/>
        </w:rPr>
        <w:t xml:space="preserve">  setting_key       TEXT NOT NULL,         -- e.g., 'materiality_threshold'</w:t>
      </w:r>
    </w:p>
    <w:p>
      <w:pPr>
        <w:spacing w:after="60"/>
      </w:pPr>
      <w:r>
        <w:rPr>
          <w:rFonts w:ascii="Consolas" w:cs="Consolas" w:eastAsia="Consolas" w:hAnsi="Consolas"/>
          <w:sz w:val="18"/>
          <w:szCs w:val="18"/>
        </w:rPr>
        <w:t xml:space="preserve">  scope_type        TEXT NOT NULL,         -- SYSTEM | ENTITY | ENTITY_PAIR | PROGRAM | OUTCOME</w:t>
      </w:r>
    </w:p>
    <w:p>
      <w:pPr>
        <w:spacing w:after="60"/>
      </w:pPr>
      <w:r>
        <w:rPr>
          <w:rFonts w:ascii="Consolas" w:cs="Consolas" w:eastAsia="Consolas" w:hAnsi="Consolas"/>
          <w:sz w:val="18"/>
          <w:szCs w:val="18"/>
        </w:rPr>
        <w:t xml:space="preserve">  scope_id          UUID,                  -- null for SYSTEM, entity_id for ENTITY, etc.</w:t>
      </w:r>
    </w:p>
    <w:p>
      <w:pPr>
        <w:spacing w:after="60"/>
      </w:pPr>
      <w:r>
        <w:rPr>
          <w:rFonts w:ascii="Consolas" w:cs="Consolas" w:eastAsia="Consolas" w:hAnsi="Consolas"/>
          <w:sz w:val="18"/>
          <w:szCs w:val="18"/>
        </w:rPr>
        <w:t xml:space="preserve">  scope_id_2        UUID,                  -- for ENTITY_PAIR: the second entity_id</w:t>
      </w:r>
    </w:p>
    <w:p>
      <w:pPr>
        <w:spacing w:after="60"/>
      </w:pPr>
      <w:r>
        <w:rPr>
          <w:rFonts w:ascii="Consolas" w:cs="Consolas" w:eastAsia="Consolas" w:hAnsi="Consolas"/>
          <w:sz w:val="18"/>
          <w:szCs w:val="18"/>
        </w:rPr>
        <w:t xml:space="preserve">  value_type        TEXT NOT NULL,         -- STRING | NUMERIC | BOOLEAN | JSON | ENUM</w:t>
      </w:r>
    </w:p>
    <w:p>
      <w:pPr>
        <w:spacing w:after="60"/>
      </w:pPr>
      <w:r>
        <w:rPr>
          <w:rFonts w:ascii="Consolas" w:cs="Consolas" w:eastAsia="Consolas" w:hAnsi="Consolas"/>
          <w:sz w:val="18"/>
          <w:szCs w:val="18"/>
        </w:rPr>
        <w:t xml:space="preserve">  value_string      TEXT,</w:t>
      </w:r>
    </w:p>
    <w:p>
      <w:pPr>
        <w:spacing w:after="60"/>
      </w:pPr>
      <w:r>
        <w:rPr>
          <w:rFonts w:ascii="Consolas" w:cs="Consolas" w:eastAsia="Consolas" w:hAnsi="Consolas"/>
          <w:sz w:val="18"/>
          <w:szCs w:val="18"/>
        </w:rPr>
        <w:t xml:space="preserve">  value_numeric     NUMERIC,</w:t>
      </w:r>
    </w:p>
    <w:p>
      <w:pPr>
        <w:spacing w:after="60"/>
      </w:pPr>
      <w:r>
        <w:rPr>
          <w:rFonts w:ascii="Consolas" w:cs="Consolas" w:eastAsia="Consolas" w:hAnsi="Consolas"/>
          <w:sz w:val="18"/>
          <w:szCs w:val="18"/>
        </w:rPr>
        <w:t xml:space="preserve">  value_boolean     BOOLEAN,</w:t>
      </w:r>
    </w:p>
    <w:p>
      <w:pPr>
        <w:spacing w:after="60"/>
      </w:pPr>
      <w:r>
        <w:rPr>
          <w:rFonts w:ascii="Consolas" w:cs="Consolas" w:eastAsia="Consolas" w:hAnsi="Consolas"/>
          <w:sz w:val="18"/>
          <w:szCs w:val="18"/>
        </w:rPr>
        <w:t xml:space="preserve">  value_json        JSONB,</w:t>
      </w:r>
    </w:p>
    <w:p>
      <w:pPr>
        <w:spacing w:after="60"/>
      </w:pPr>
      <w:r>
        <w:rPr>
          <w:rFonts w:ascii="Consolas" w:cs="Consolas" w:eastAsia="Consolas" w:hAnsi="Consolas"/>
          <w:sz w:val="18"/>
          <w:szCs w:val="18"/>
        </w:rPr>
        <w:t xml:space="preserve">  valid_from        DATE NOT NULL,         -- when this setting takes effect (policy time)</w:t>
      </w:r>
    </w:p>
    <w:p>
      <w:pPr>
        <w:spacing w:after="60"/>
      </w:pPr>
      <w:r>
        <w:rPr>
          <w:rFonts w:ascii="Consolas" w:cs="Consolas" w:eastAsia="Consolas" w:hAnsi="Consolas"/>
          <w:sz w:val="18"/>
          <w:szCs w:val="18"/>
        </w:rPr>
        <w:t xml:space="preserve">  valid_until       DATE,                  -- null = no expiry. Set when superseded.</w:t>
      </w:r>
    </w:p>
    <w:p>
      <w:pPr>
        <w:spacing w:after="60"/>
      </w:pPr>
      <w:r>
        <w:rPr>
          <w:rFonts w:ascii="Consolas" w:cs="Consolas" w:eastAsia="Consolas" w:hAnsi="Consolas"/>
          <w:sz w:val="18"/>
          <w:szCs w:val="18"/>
        </w:rPr>
        <w:t xml:space="preserve">  transaction_time  TIMESTAMPTZ NOT NULL DEFAULT now(),  -- when this row was recorded</w:t>
      </w:r>
    </w:p>
    <w:p>
      <w:pPr>
        <w:spacing w:after="60"/>
      </w:pPr>
      <w:r>
        <w:rPr>
          <w:rFonts w:ascii="Consolas" w:cs="Consolas" w:eastAsia="Consolas" w:hAnsi="Consolas"/>
          <w:sz w:val="18"/>
          <w:szCs w:val="18"/>
        </w:rPr>
        <w:t xml:space="preserve">  changed_by        UUID NOT NULL,         -- user who made the change</w:t>
      </w:r>
    </w:p>
    <w:p>
      <w:pPr>
        <w:spacing w:after="60"/>
      </w:pPr>
      <w:r>
        <w:rPr>
          <w:rFonts w:ascii="Consolas" w:cs="Consolas" w:eastAsia="Consolas" w:hAnsi="Consolas"/>
          <w:sz w:val="18"/>
          <w:szCs w:val="18"/>
        </w:rPr>
        <w:t xml:space="preserve">  change_reason     TEXT,                  -- audit trail: why this changed</w:t>
      </w:r>
    </w:p>
    <w:p>
      <w:pPr>
        <w:spacing w:after="60"/>
      </w:pPr>
      <w:r>
        <w:rPr>
          <w:rFonts w:ascii="Consolas" w:cs="Consolas" w:eastAsia="Consolas" w:hAnsi="Consolas"/>
          <w:sz w:val="18"/>
          <w:szCs w:val="18"/>
        </w:rPr>
        <w:t xml:space="preserve">  requires_restatement BOOLEAN DEFAULT false, -- true if changing retroactively requires restatement</w:t>
      </w:r>
    </w:p>
    <w:p>
      <w:pPr>
        <w:spacing w:after="60"/>
      </w:pPr>
      <w:r>
        <w:rPr>
          <w:rFonts w:ascii="Consolas" w:cs="Consolas" w:eastAsia="Consolas" w:hAnsi="Consolas"/>
          <w:sz w:val="18"/>
          <w:szCs w:val="18"/>
        </w:rPr>
        <w:t xml:space="preserve">  UNIQUE (setting_key, scope_type, scope_id, scope_id_2, valid_from)</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CREATE INDEX idx_config_lookup ON configuration_settings</w:t>
      </w:r>
    </w:p>
    <w:p>
      <w:pPr>
        <w:spacing w:after="60"/>
      </w:pPr>
      <w:r>
        <w:rPr>
          <w:rFonts w:ascii="Consolas" w:cs="Consolas" w:eastAsia="Consolas" w:hAnsi="Consolas"/>
          <w:sz w:val="18"/>
          <w:szCs w:val="18"/>
        </w:rPr>
        <w:t xml:space="preserve">  (setting_key, scope_type, scope_id, valid_from DESC);</w:t>
      </w:r>
    </w:p>
    <w:p>
      <w:pPr>
        <w:pStyle w:val="Heading2"/>
        <w:spacing w:before="280" w:after="160"/>
      </w:pPr>
      <w:r>
        <w:rPr>
          <w:rFonts w:ascii="Arial" w:cs="Arial" w:eastAsia="Arial" w:hAnsi="Arial"/>
          <w:b/>
          <w:bCs/>
          <w:sz w:val="28"/>
          <w:szCs w:val="28"/>
        </w:rPr>
        <w:t xml:space="preserve">2.2 Resolution query</w:t>
      </w:r>
    </w:p>
    <w:p>
      <w:pPr>
        <w:spacing w:after="60"/>
      </w:pPr>
      <w:r>
        <w:rPr>
          <w:rFonts w:ascii="Consolas" w:cs="Consolas" w:eastAsia="Consolas" w:hAnsi="Consolas"/>
          <w:sz w:val="18"/>
          <w:szCs w:val="18"/>
        </w:rPr>
        <w:t xml:space="preserve">-- Get the effective value of a setting for an entity at a given date</w:t>
      </w:r>
    </w:p>
    <w:p>
      <w:pPr>
        <w:spacing w:after="60"/>
      </w:pPr>
      <w:r>
        <w:rPr>
          <w:rFonts w:ascii="Consolas" w:cs="Consolas" w:eastAsia="Consolas" w:hAnsi="Consolas"/>
          <w:sz w:val="18"/>
          <w:szCs w:val="18"/>
        </w:rPr>
        <w:t xml:space="preserve">SELECT * FROM configuration_settings</w:t>
      </w:r>
    </w:p>
    <w:p>
      <w:pPr>
        <w:spacing w:after="60"/>
      </w:pPr>
      <w:r>
        <w:rPr>
          <w:rFonts w:ascii="Consolas" w:cs="Consolas" w:eastAsia="Consolas" w:hAnsi="Consolas"/>
          <w:sz w:val="18"/>
          <w:szCs w:val="18"/>
        </w:rPr>
        <w:t xml:space="preserve">WHERE setting_key = $1</w:t>
      </w:r>
    </w:p>
    <w:p>
      <w:pPr>
        <w:spacing w:after="60"/>
      </w:pPr>
      <w:r>
        <w:rPr>
          <w:rFonts w:ascii="Consolas" w:cs="Consolas" w:eastAsia="Consolas" w:hAnsi="Consolas"/>
          <w:sz w:val="18"/>
          <w:szCs w:val="18"/>
        </w:rPr>
        <w:t xml:space="preserve">  AND scope_type = $2</w:t>
      </w:r>
    </w:p>
    <w:p>
      <w:pPr>
        <w:spacing w:after="60"/>
      </w:pPr>
      <w:r>
        <w:rPr>
          <w:rFonts w:ascii="Consolas" w:cs="Consolas" w:eastAsia="Consolas" w:hAnsi="Consolas"/>
          <w:sz w:val="18"/>
          <w:szCs w:val="18"/>
        </w:rPr>
        <w:t xml:space="preserve">  AND scope_id = $3</w:t>
      </w:r>
    </w:p>
    <w:p>
      <w:pPr>
        <w:spacing w:after="60"/>
      </w:pPr>
      <w:r>
        <w:rPr>
          <w:rFonts w:ascii="Consolas" w:cs="Consolas" w:eastAsia="Consolas" w:hAnsi="Consolas"/>
          <w:sz w:val="18"/>
          <w:szCs w:val="18"/>
        </w:rPr>
        <w:t xml:space="preserve">  AND valid_from &lt;= $4         -- effective as of this date</w:t>
      </w:r>
    </w:p>
    <w:p>
      <w:pPr>
        <w:spacing w:after="60"/>
      </w:pPr>
      <w:r>
        <w:rPr>
          <w:rFonts w:ascii="Consolas" w:cs="Consolas" w:eastAsia="Consolas" w:hAnsi="Consolas"/>
          <w:sz w:val="18"/>
          <w:szCs w:val="18"/>
        </w:rPr>
        <w:t xml:space="preserve">  AND (valid_until IS NULL OR valid_until &gt; $4)</w:t>
      </w:r>
    </w:p>
    <w:p>
      <w:pPr>
        <w:spacing w:after="60"/>
      </w:pPr>
      <w:r>
        <w:rPr>
          <w:rFonts w:ascii="Consolas" w:cs="Consolas" w:eastAsia="Consolas" w:hAnsi="Consolas"/>
          <w:sz w:val="18"/>
          <w:szCs w:val="18"/>
        </w:rPr>
        <w:t xml:space="preserve">ORDER BY valid_from DESC</w:t>
      </w:r>
    </w:p>
    <w:p>
      <w:pPr>
        <w:spacing w:after="60"/>
      </w:pPr>
      <w:r>
        <w:rPr>
          <w:rFonts w:ascii="Consolas" w:cs="Consolas" w:eastAsia="Consolas" w:hAnsi="Consolas"/>
          <w:sz w:val="18"/>
          <w:szCs w:val="18"/>
        </w:rPr>
        <w:t xml:space="preserve">LIMIT 1;</w:t>
      </w:r>
    </w:p>
    <w:p>
      <w:pPr>
        <w:pStyle w:val="Heading2"/>
        <w:spacing w:before="280" w:after="160"/>
      </w:pPr>
      <w:r>
        <w:rPr>
          <w:rFonts w:ascii="Arial" w:cs="Arial" w:eastAsia="Arial" w:hAnsi="Arial"/>
          <w:b/>
          <w:bCs/>
          <w:sz w:val="28"/>
          <w:szCs w:val="28"/>
        </w:rPr>
        <w:t xml:space="preserve">2.3 Cascading resolution</w:t>
      </w:r>
    </w:p>
    <w:p>
      <w:pPr>
        <w:spacing w:after="120"/>
      </w:pPr>
      <w:r>
        <w:rPr>
          <w:rFonts w:ascii="Arial" w:cs="Arial" w:eastAsia="Arial" w:hAnsi="Arial"/>
          <w:sz w:val="22"/>
          <w:szCs w:val="22"/>
        </w:rPr>
        <w:t xml:space="preserve">Some settings support cascading from a narrower scope to a broader one. For example, a materiality threshold could be set at the entity level, but if not set, falls back to the system default:</w:t>
      </w:r>
    </w:p>
    <w:p>
      <w:pPr>
        <w:spacing w:after="60"/>
      </w:pPr>
      <w:r>
        <w:rPr>
          <w:rFonts w:ascii="Consolas" w:cs="Consolas" w:eastAsia="Consolas" w:hAnsi="Consolas"/>
          <w:sz w:val="18"/>
          <w:szCs w:val="18"/>
        </w:rPr>
        <w:t xml:space="preserve">function resolveConfig(key, entityId, asOfDate):</w:t>
      </w:r>
    </w:p>
    <w:p>
      <w:pPr>
        <w:spacing w:after="60"/>
      </w:pPr>
      <w:r>
        <w:rPr>
          <w:rFonts w:ascii="Consolas" w:cs="Consolas" w:eastAsia="Consolas" w:hAnsi="Consolas"/>
          <w:sz w:val="18"/>
          <w:szCs w:val="18"/>
        </w:rPr>
        <w:t xml:space="preserve">  // Try entity-scoped first</w:t>
      </w:r>
    </w:p>
    <w:p>
      <w:pPr>
        <w:spacing w:after="60"/>
      </w:pPr>
      <w:r>
        <w:rPr>
          <w:rFonts w:ascii="Consolas" w:cs="Consolas" w:eastAsia="Consolas" w:hAnsi="Consolas"/>
          <w:sz w:val="18"/>
          <w:szCs w:val="18"/>
        </w:rPr>
        <w:t xml:space="preserve">  val = query(key, ENTITY, entityId, asOfDate)</w:t>
      </w:r>
    </w:p>
    <w:p>
      <w:pPr>
        <w:spacing w:after="60"/>
      </w:pPr>
      <w:r>
        <w:rPr>
          <w:rFonts w:ascii="Consolas" w:cs="Consolas" w:eastAsia="Consolas" w:hAnsi="Consolas"/>
          <w:sz w:val="18"/>
          <w:szCs w:val="18"/>
        </w:rPr>
        <w:t xml:space="preserve">  if val: return val</w:t>
      </w:r>
    </w:p>
    <w:p>
      <w:pPr>
        <w:spacing w:after="60"/>
      </w:pPr>
      <w:r>
        <w:rPr>
          <w:rFonts w:ascii="Consolas" w:cs="Consolas" w:eastAsia="Consolas" w:hAnsi="Consolas"/>
          <w:sz w:val="18"/>
          <w:szCs w:val="18"/>
        </w:rPr>
        <w:t xml:space="preserve">  // Fall back to system-scoped</w:t>
      </w:r>
    </w:p>
    <w:p>
      <w:pPr>
        <w:spacing w:after="60"/>
      </w:pPr>
      <w:r>
        <w:rPr>
          <w:rFonts w:ascii="Consolas" w:cs="Consolas" w:eastAsia="Consolas" w:hAnsi="Consolas"/>
          <w:sz w:val="18"/>
          <w:szCs w:val="18"/>
        </w:rPr>
        <w:t xml:space="preserve">  val = query(key, SYSTEM, null, asOfDate)</w:t>
      </w:r>
    </w:p>
    <w:p>
      <w:pPr>
        <w:spacing w:after="60"/>
      </w:pPr>
      <w:r>
        <w:rPr>
          <w:rFonts w:ascii="Consolas" w:cs="Consolas" w:eastAsia="Consolas" w:hAnsi="Consolas"/>
          <w:sz w:val="18"/>
          <w:szCs w:val="18"/>
        </w:rPr>
        <w:t xml:space="preserve">  if val: return val</w:t>
      </w:r>
    </w:p>
    <w:p>
      <w:pPr>
        <w:spacing w:after="60"/>
      </w:pPr>
      <w:r>
        <w:rPr>
          <w:rFonts w:ascii="Consolas" w:cs="Consolas" w:eastAsia="Consolas" w:hAnsi="Consolas"/>
          <w:sz w:val="18"/>
          <w:szCs w:val="18"/>
        </w:rPr>
        <w:t xml:space="preserve">  // Return hardcoded default (documented in setting registry)</w:t>
      </w:r>
    </w:p>
    <w:p>
      <w:pPr>
        <w:spacing w:after="60"/>
      </w:pPr>
      <w:r>
        <w:rPr>
          <w:rFonts w:ascii="Consolas" w:cs="Consolas" w:eastAsia="Consolas" w:hAnsi="Consolas"/>
          <w:sz w:val="18"/>
          <w:szCs w:val="18"/>
        </w:rPr>
        <w:t xml:space="preserve">  return SETTING_DEFAULTS[key]</w:t>
      </w:r>
    </w:p>
    <w:p>
      <w:pPr>
        <w:spacing w:before="60" w:after="160"/>
      </w:pPr>
      <w:r>
        <w:rPr>
          <w:rFonts w:ascii="Arial" w:cs="Arial" w:eastAsia="Arial" w:hAnsi="Arial"/>
          <w:i/>
          <w:iCs/>
          <w:sz w:val="20"/>
          <w:szCs w:val="20"/>
        </w:rPr>
        <w:t xml:space="preserve">The resolution cascade is: per-asset override → entity-scoped → system-scoped → hardcoded default. Services must never read hardcoded values directly — always go through resolveConfig. This is enforced by making the configuration service the only source of truth for these values.</w:t>
      </w:r>
    </w:p>
    <w:p>
      <w:r>
        <w:br w:type="page"/>
      </w:r>
    </w:p>
    <w:p>
      <w:pPr>
        <w:pStyle w:val="Heading1"/>
        <w:spacing w:before="360" w:after="200"/>
      </w:pPr>
      <w:r>
        <w:rPr>
          <w:rFonts w:ascii="Arial" w:cs="Arial" w:eastAsia="Arial" w:hAnsi="Arial"/>
          <w:b/>
          <w:bCs/>
          <w:sz w:val="32"/>
          <w:szCs w:val="32"/>
        </w:rPr>
        <w:t xml:space="preserve">3. Setting Registry</w:t>
      </w:r>
    </w:p>
    <w:p>
      <w:pPr>
        <w:spacing w:after="120"/>
      </w:pPr>
      <w:r>
        <w:rPr>
          <w:rFonts w:ascii="Arial" w:cs="Arial" w:eastAsia="Arial" w:hAnsi="Arial"/>
          <w:sz w:val="22"/>
          <w:szCs w:val="22"/>
        </w:rPr>
        <w:t xml:space="preserve">Every configurable setting in the system is documented here with its key, scope, type, default value, and the accounting/tax constraint on changing it. This replaces the “Open Decisions” sections from v1.0 and all addenda.</w:t>
      </w:r>
    </w:p>
    <w:p>
      <w:pPr>
        <w:pStyle w:val="Heading2"/>
        <w:spacing w:before="280" w:after="160"/>
      </w:pPr>
      <w:r>
        <w:rPr>
          <w:rFonts w:ascii="Arial" w:cs="Arial" w:eastAsia="Arial" w:hAnsi="Arial"/>
          <w:b/>
          <w:bCs/>
          <w:sz w:val="28"/>
          <w:szCs w:val="28"/>
        </w:rPr>
        <w:t xml:space="preserve">3.1 Entity-scoped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Setting Key</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Restatement?</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functional_currency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4217. Changing retroactively triggers IAS 21 restatement workflow.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reporting_framework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IFRS | ASPE | US_GAAP | ASNFPO | ASC_958. Changing loads new StatutoryMapping 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inventory_cost_method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FIFO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FIFO | WEIGHTED_AVG | LIFO. Warn on change: requires inventory revaluation.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materiality_threshold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amount, transactions may be aggregated. Prospective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default_ibr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Incremental borrowing rate for new leases. Existing leases keep their 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is_ccpc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Canadian-Controlled Private Corporation. Drives SR&amp;ED enhanced rate. Changes prospectively.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registration_type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NFP only. REGISTERED_CHARITY | QUALIFIED_DONEE | 501C3 | 501C4. Drives tax filing.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fiscal_year_end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MM-DD. Changing creates a short fiscal year. Requires CRA/IRS notification.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cross_border_treaty_reg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NFP has cross-border charitable registration.</w:t>
            </w:r>
          </w:p>
        </w:tc>
      </w:tr>
    </w:tbl>
    <w:p>
      <w:pPr>
        <w:pStyle w:val="Heading2"/>
        <w:spacing w:before="280" w:after="160"/>
      </w:pPr>
      <w:r>
        <w:rPr>
          <w:rFonts w:ascii="Arial" w:cs="Arial" w:eastAsia="Arial" w:hAnsi="Arial"/>
          <w:b/>
          <w:bCs/>
          <w:sz w:val="28"/>
          <w:szCs w:val="28"/>
        </w:rPr>
        <w:t xml:space="preserve">3.2 Entity-scoped threshold settings (JSON arrays)</w:t>
      </w:r>
    </w:p>
    <w:p>
      <w:pPr>
        <w:spacing w:after="120"/>
      </w:pPr>
      <w:r>
        <w:rPr>
          <w:rFonts w:ascii="Arial" w:cs="Arial" w:eastAsia="Arial" w:hAnsi="Arial"/>
          <w:sz w:val="22"/>
          <w:szCs w:val="22"/>
        </w:rPr>
        <w:t xml:space="preserve">These settings are stored as JSON arrays because they contain multiple tiers:</w:t>
      </w:r>
    </w:p>
    <w:p>
      <w:pPr>
        <w:pStyle w:val="Heading3"/>
        <w:spacing w:before="200" w:after="120"/>
      </w:pPr>
      <w:r>
        <w:rPr>
          <w:rFonts w:ascii="Arial" w:cs="Arial" w:eastAsia="Arial" w:hAnsi="Arial"/>
          <w:b/>
          <w:bCs/>
          <w:sz w:val="24"/>
          <w:szCs w:val="24"/>
        </w:rPr>
        <w:t xml:space="preserve">approval_thresholds</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"tiers": [</w:t>
      </w:r>
    </w:p>
    <w:p>
      <w:pPr>
        <w:spacing w:after="60"/>
      </w:pPr>
      <w:r>
        <w:rPr>
          <w:rFonts w:ascii="Consolas" w:cs="Consolas" w:eastAsia="Consolas" w:hAnsi="Consolas"/>
          <w:sz w:val="18"/>
          <w:szCs w:val="18"/>
        </w:rPr>
        <w:t xml:space="preserve">    { "max_amount": 5000,   "required_role": "BOOKKEEPER",  "auto_approve": true },</w:t>
      </w:r>
    </w:p>
    <w:p>
      <w:pPr>
        <w:spacing w:after="60"/>
      </w:pPr>
      <w:r>
        <w:rPr>
          <w:rFonts w:ascii="Consolas" w:cs="Consolas" w:eastAsia="Consolas" w:hAnsi="Consolas"/>
          <w:sz w:val="18"/>
          <w:szCs w:val="18"/>
        </w:rPr>
        <w:t xml:space="preserve">    { "max_amount": 25000,  "required_role": "CONTROLLER",  "auto_approve": false },</w:t>
      </w:r>
    </w:p>
    <w:p>
      <w:pPr>
        <w:spacing w:after="60"/>
      </w:pPr>
      <w:r>
        <w:rPr>
          <w:rFonts w:ascii="Consolas" w:cs="Consolas" w:eastAsia="Consolas" w:hAnsi="Consolas"/>
          <w:sz w:val="18"/>
          <w:szCs w:val="18"/>
        </w:rPr>
        <w:t xml:space="preserve">    { "max_amount": 100000, "required_role": "CFO",         "auto_approve": false },</w:t>
      </w:r>
    </w:p>
    <w:p>
      <w:pPr>
        <w:spacing w:after="60"/>
      </w:pPr>
      <w:r>
        <w:rPr>
          <w:rFonts w:ascii="Consolas" w:cs="Consolas" w:eastAsia="Consolas" w:hAnsi="Consolas"/>
          <w:sz w:val="18"/>
          <w:szCs w:val="18"/>
        </w:rPr>
        <w:t xml:space="preserve">    { "max_amount": null,   "required_role": "BOARD",       "auto_approve": false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"entry_type_overrides": {</w:t>
      </w:r>
    </w:p>
    <w:p>
      <w:pPr>
        <w:spacing w:after="60"/>
      </w:pPr>
      <w:r>
        <w:rPr>
          <w:rFonts w:ascii="Consolas" w:cs="Consolas" w:eastAsia="Consolas" w:hAnsi="Consolas"/>
          <w:sz w:val="18"/>
          <w:szCs w:val="18"/>
        </w:rPr>
        <w:t xml:space="preserve">    "ELIMINATION": { "always_requires": "CFO" },</w:t>
      </w:r>
    </w:p>
    <w:p>
      <w:pPr>
        <w:spacing w:after="60"/>
      </w:pPr>
      <w:r>
        <w:rPr>
          <w:rFonts w:ascii="Consolas" w:cs="Consolas" w:eastAsia="Consolas" w:hAnsi="Consolas"/>
          <w:sz w:val="18"/>
          <w:szCs w:val="18"/>
        </w:rPr>
        <w:t xml:space="preserve">    "IMPAIRMENT": { "always_requires": "BOARD"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w:t>
      </w:r>
    </w:p>
    <w:p>
      <w:pPr>
        <w:pStyle w:val="Heading3"/>
        <w:spacing w:before="200" w:after="120"/>
      </w:pPr>
      <w:r>
        <w:rPr>
          <w:rFonts w:ascii="Arial" w:cs="Arial" w:eastAsia="Arial" w:hAnsi="Arial"/>
          <w:b/>
          <w:bCs/>
          <w:sz w:val="24"/>
          <w:szCs w:val="24"/>
        </w:rPr>
        <w:t xml:space="preserve">ecl_rate_matrix</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"buckets": [</w:t>
      </w:r>
    </w:p>
    <w:p>
      <w:pPr>
        <w:spacing w:after="60"/>
      </w:pPr>
      <w:r>
        <w:rPr>
          <w:rFonts w:ascii="Consolas" w:cs="Consolas" w:eastAsia="Consolas" w:hAnsi="Consolas"/>
          <w:sz w:val="18"/>
          <w:szCs w:val="18"/>
        </w:rPr>
        <w:t xml:space="preserve">    { "days_from": 0,   "days_to": 30,  "loss_rate": 0.001 },</w:t>
      </w:r>
    </w:p>
    <w:p>
      <w:pPr>
        <w:spacing w:after="60"/>
      </w:pPr>
      <w:r>
        <w:rPr>
          <w:rFonts w:ascii="Consolas" w:cs="Consolas" w:eastAsia="Consolas" w:hAnsi="Consolas"/>
          <w:sz w:val="18"/>
          <w:szCs w:val="18"/>
        </w:rPr>
        <w:t xml:space="preserve">    { "days_from": 31,  "days_to": 60,  "loss_rate": 0.008 },</w:t>
      </w:r>
    </w:p>
    <w:p>
      <w:pPr>
        <w:spacing w:after="60"/>
      </w:pPr>
      <w:r>
        <w:rPr>
          <w:rFonts w:ascii="Consolas" w:cs="Consolas" w:eastAsia="Consolas" w:hAnsi="Consolas"/>
          <w:sz w:val="18"/>
          <w:szCs w:val="18"/>
        </w:rPr>
        <w:t xml:space="preserve">    { "days_from": 61,  "days_to": 90,  "loss_rate": 0.025 },</w:t>
      </w:r>
    </w:p>
    <w:p>
      <w:pPr>
        <w:spacing w:after="60"/>
      </w:pPr>
      <w:r>
        <w:rPr>
          <w:rFonts w:ascii="Consolas" w:cs="Consolas" w:eastAsia="Consolas" w:hAnsi="Consolas"/>
          <w:sz w:val="18"/>
          <w:szCs w:val="18"/>
        </w:rPr>
        <w:t xml:space="preserve">    { "days_from": 91,  "days_to": null, "loss_rate": 0.20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"last_reviewed": "2026-01-15",</w:t>
      </w:r>
    </w:p>
    <w:p>
      <w:pPr>
        <w:spacing w:after="60"/>
      </w:pPr>
      <w:r>
        <w:rPr>
          <w:rFonts w:ascii="Consolas" w:cs="Consolas" w:eastAsia="Consolas" w:hAnsi="Consolas"/>
          <w:sz w:val="18"/>
          <w:szCs w:val="18"/>
        </w:rPr>
        <w:t xml:space="preserve">  "methodology": "historical_loss_rate"</w:t>
      </w:r>
    </w:p>
    <w:p>
      <w:pPr>
        <w:spacing w:after="60"/>
      </w:pPr>
      <w:r>
        <w:rPr>
          <w:rFonts w:ascii="Consolas" w:cs="Consolas" w:eastAsia="Consolas" w:hAnsi="Consolas"/>
          <w:sz w:val="18"/>
          <w:szCs w:val="18"/>
        </w:rPr>
        <w:t xml:space="preserve">}</w:t>
      </w:r>
    </w:p>
    <w:p>
      <w:pPr>
        <w:pStyle w:val="Heading2"/>
        <w:spacing w:before="280" w:after="160"/>
      </w:pPr>
      <w:r>
        <w:rPr>
          <w:rFonts w:ascii="Arial" w:cs="Arial" w:eastAsia="Arial" w:hAnsi="Arial"/>
          <w:b/>
          <w:bCs/>
          <w:sz w:val="28"/>
          <w:szCs w:val="28"/>
        </w:rPr>
        <w:t xml:space="preserve">3.3 Entity-pair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Setting Key</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Restatement?</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transfer_pricing_method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CUP | COST_PLUS | RESALE_MINUS | TNMM | PROFIT_SPLIT. Per entity pair. Changes with tax planning.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arms_length_tolerance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Variance threshold before AI flags a transaction for review.</w:t>
            </w:r>
          </w:p>
        </w:tc>
      </w:tr>
    </w:tbl>
    <w:p>
      <w:pPr>
        <w:pStyle w:val="Heading2"/>
        <w:spacing w:before="280" w:after="160"/>
      </w:pPr>
      <w:r>
        <w:rPr>
          <w:rFonts w:ascii="Arial" w:cs="Arial" w:eastAsia="Arial" w:hAnsi="Arial"/>
          <w:b/>
          <w:bCs/>
          <w:sz w:val="28"/>
          <w:szCs w:val="28"/>
        </w:rPr>
        <w:t xml:space="preserve">3.4 Program-scoped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200"/>
        <w:gridCol w:w="2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Setting Key</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Restate?</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credit_accounting_treatment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program)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COST_REDUCTION | INCOME_APPROACH | ITC_METHOD. Policy election per program ×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ira_election_type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DIRECT_PAY | TRANSFER. Annual election per entity × year. Irrevocable within year.</w:t>
            </w:r>
          </w:p>
        </w:tc>
      </w:tr>
    </w:tbl>
    <w:p>
      <w:pPr>
        <w:pStyle w:val="Heading2"/>
        <w:spacing w:before="280" w:after="160"/>
      </w:pPr>
      <w:r>
        <w:rPr>
          <w:rFonts w:ascii="Arial" w:cs="Arial" w:eastAsia="Arial" w:hAnsi="Arial"/>
          <w:b/>
          <w:bCs/>
          <w:sz w:val="28"/>
          <w:szCs w:val="28"/>
        </w:rPr>
        <w:t xml:space="preserve">3.5 System-scoped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Setting Key</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combined_report_currency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Presentation currency for combined reporting across all entities.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combined_report_fx_method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CLOSING_RATE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CLOSING_RATE | TEMPORAL. Translation method for combined 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allocation_block_threshold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effective_stake / ci_point_estimate falls below this, AI blocks capital commitment.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ai_confidence_discount_claimed_credits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 factor for CLAIMED (not yet assessed) tax credits in ROI calculations.</w:t>
            </w:r>
          </w:p>
        </w:tc>
      </w:tr>
    </w:tbl>
    <w:p>
      <w:r>
        <w:br w:type="page"/>
      </w:r>
    </w:p>
    <w:p>
      <w:pPr>
        <w:pStyle w:val="Heading1"/>
        <w:spacing w:before="360" w:after="200"/>
      </w:pPr>
      <w:r>
        <w:rPr>
          <w:rFonts w:ascii="Arial" w:cs="Arial" w:eastAsia="Arial" w:hAnsi="Arial"/>
          <w:b/>
          <w:bCs/>
          <w:sz w:val="32"/>
          <w:szCs w:val="32"/>
        </w:rPr>
        <w:t xml:space="preserve">4. Restatement Workflow</w:t>
      </w:r>
    </w:p>
    <w:p>
      <w:pPr>
        <w:spacing w:after="120"/>
      </w:pPr>
      <w:r>
        <w:rPr>
          <w:rFonts w:ascii="Arial" w:cs="Arial" w:eastAsia="Arial" w:hAnsi="Arial"/>
          <w:sz w:val="22"/>
          <w:szCs w:val="22"/>
        </w:rPr>
        <w:t xml:space="preserve">Settings marked requires_restatement = true cannot be changed retroactively without financial consequences. The system must handle this gracefully — not by blocking the change, but by surfacing the impact and generating the required accounting entries:</w:t>
      </w:r>
    </w:p>
    <w:p>
      <w:pPr>
        <w:pStyle w:val="ListParagraph"/>
        <w:numPr>
          <w:ilvl w:val="0"/>
          <w:numId w:val="2"/>
        </w:numPr>
        <w:spacing w:after="60"/>
      </w:pPr>
      <w:r>
        <w:rPr>
          <w:rFonts w:ascii="Arial" w:cs="Arial" w:eastAsia="Arial" w:hAnsi="Arial"/>
          <w:sz w:val="22"/>
          <w:szCs w:val="22"/>
        </w:rPr>
        <w:t xml:space="preserve">When an admin changes a restatement-required setting:</w:t>
      </w:r>
    </w:p>
    <w:p>
      <w:pPr>
        <w:pStyle w:val="ListParagraph"/>
        <w:numPr>
          <w:ilvl w:val="0"/>
          <w:numId w:val="2"/>
        </w:numPr>
        <w:spacing w:after="60"/>
      </w:pPr>
      <w:r>
        <w:rPr>
          <w:rFonts w:ascii="Arial" w:cs="Arial" w:eastAsia="Arial" w:hAnsi="Arial"/>
          <w:sz w:val="22"/>
          <w:szCs w:val="22"/>
        </w:rPr>
        <w:t xml:space="preserve">The system computes the financial impact of the change across all affected periods.</w:t>
      </w:r>
    </w:p>
    <w:p>
      <w:pPr>
        <w:pStyle w:val="ListParagraph"/>
        <w:numPr>
          <w:ilvl w:val="0"/>
          <w:numId w:val="2"/>
        </w:numPr>
        <w:spacing w:after="60"/>
      </w:pPr>
      <w:r>
        <w:rPr>
          <w:rFonts w:ascii="Arial" w:cs="Arial" w:eastAsia="Arial" w:hAnsi="Arial"/>
          <w:sz w:val="22"/>
          <w:szCs w:val="22"/>
        </w:rPr>
        <w:t xml:space="preserve">A draft RestatementBatch is created containing all required JournalEntries (entry_type = ADJUSTMENT).</w:t>
      </w:r>
    </w:p>
    <w:p>
      <w:pPr>
        <w:pStyle w:val="ListParagraph"/>
        <w:numPr>
          <w:ilvl w:val="0"/>
          <w:numId w:val="2"/>
        </w:numPr>
        <w:spacing w:after="60"/>
      </w:pPr>
      <w:r>
        <w:rPr>
          <w:rFonts w:ascii="Arial" w:cs="Arial" w:eastAsia="Arial" w:hAnsi="Arial"/>
          <w:sz w:val="22"/>
          <w:szCs w:val="22"/>
        </w:rPr>
        <w:t xml:space="preserve">The controller/CFO reviews the batch. Until approved, the old setting remains in effect.</w:t>
      </w:r>
    </w:p>
    <w:p>
      <w:pPr>
        <w:pStyle w:val="ListParagraph"/>
        <w:numPr>
          <w:ilvl w:val="0"/>
          <w:numId w:val="2"/>
        </w:numPr>
        <w:spacing w:after="60"/>
      </w:pPr>
      <w:r>
        <w:rPr>
          <w:rFonts w:ascii="Arial" w:cs="Arial" w:eastAsia="Arial" w:hAnsi="Arial"/>
          <w:sz w:val="22"/>
          <w:szCs w:val="22"/>
        </w:rPr>
        <w:t xml:space="preserve">On approval, the new setting’s valid_from is set, the adjustment entries are posted, and comparative period data is restated.</w:t>
      </w:r>
    </w:p>
    <w:p>
      <w:pPr>
        <w:pStyle w:val="ListParagraph"/>
        <w:numPr>
          <w:ilvl w:val="0"/>
          <w:numId w:val="2"/>
        </w:numPr>
        <w:spacing w:after="60"/>
      </w:pPr>
      <w:r>
        <w:rPr>
          <w:rFonts w:ascii="Arial" w:cs="Arial" w:eastAsia="Arial" w:hAnsi="Arial"/>
          <w:sz w:val="22"/>
          <w:szCs w:val="22"/>
        </w:rPr>
        <w:t xml:space="preserve">The old setting row gets valid_until set to the new setting’s valid_from.</w:t>
      </w:r>
    </w:p>
    <w:p>
      <w:pPr>
        <w:spacing w:before="60" w:after="160"/>
      </w:pPr>
      <w:r>
        <w:rPr>
          <w:rFonts w:ascii="Arial" w:cs="Arial" w:eastAsia="Arial" w:hAnsi="Arial"/>
          <w:i/>
          <w:iCs/>
          <w:sz w:val="20"/>
          <w:szCs w:val="20"/>
        </w:rPr>
        <w:t xml:space="preserve">Prospective-only changes (requires_restatement = false) take effect immediately. The old setting is valid_until’d and the new one starts at the specified valid_from. No adjustment entries. The services pick up the new value on the next read.</w:t>
      </w:r>
    </w:p>
    <w:p>
      <w:pPr>
        <w:pStyle w:val="Heading1"/>
        <w:spacing w:before="360" w:after="200"/>
      </w:pPr>
      <w:r>
        <w:rPr>
          <w:rFonts w:ascii="Arial" w:cs="Arial" w:eastAsia="Arial" w:hAnsi="Arial"/>
          <w:b/>
          <w:bCs/>
          <w:sz w:val="32"/>
          <w:szCs w:val="32"/>
        </w:rPr>
        <w:t xml:space="preserve">5. Reference Data Management</w:t>
      </w:r>
    </w:p>
    <w:p>
      <w:pPr>
        <w:spacing w:after="120"/>
      </w:pPr>
      <w:r>
        <w:rPr>
          <w:rFonts w:ascii="Arial" w:cs="Arial" w:eastAsia="Arial" w:hAnsi="Arial"/>
          <w:sz w:val="22"/>
          <w:szCs w:val="22"/>
        </w:rPr>
        <w:t xml:space="preserve">The following items from the original “open decisions” are not settings — they are reference data nodes managed through standard CRUD. The admin UI must provide screens for managing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Reference Data</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Admin Operation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jurisdictions (D4, D16)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TaxJurisdiction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node with jurisdiction rules. Adding a province/state = creating a node. No code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of accounts (D10)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StatutoryMapping (PG row)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Add/edit mapping rules: node_ref_type × economic_category → statutory_code. Bulk import supported.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 structure (D12)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Fund nodes per NFP entity. New grant = new Fund node with restriction 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programs (D21, D22)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TaxCreditProgram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program nodes for provincial/state credits. Legislation change = new node with updated effective_from.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classes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AssetClass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class nodes per jurisdiction. CCA/MACRS classes pre-seeded; custom accounting classes per 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Mission outcome metrics (D15)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Outcome.measurement_unit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the measurement_unit property on each Outcome node. Admin edits the node directly.</w:t>
            </w:r>
          </w:p>
        </w:tc>
      </w:tr>
    </w:tbl>
    <w:p>
      <w:pPr>
        <w:pStyle w:val="Heading2"/>
        <w:spacing w:before="280" w:after="160"/>
      </w:pPr>
      <w:r>
        <w:rPr>
          <w:rFonts w:ascii="Arial" w:cs="Arial" w:eastAsia="Arial" w:hAnsi="Arial"/>
          <w:b/>
          <w:bCs/>
          <w:sz w:val="28"/>
          <w:szCs w:val="28"/>
        </w:rPr>
        <w:t xml:space="preserve">5.1 Seed data (one-time loads)</w:t>
      </w:r>
    </w:p>
    <w:p>
      <w:pPr>
        <w:spacing w:after="120"/>
      </w:pPr>
      <w:r>
        <w:rPr>
          <w:rFonts w:ascii="Arial" w:cs="Arial" w:eastAsia="Arial" w:hAnsi="Arial"/>
          <w:sz w:val="22"/>
          <w:szCs w:val="22"/>
        </w:rPr>
        <w:t xml:space="preserve">These are initial data imports using the same CRUD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Import Mechanism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credit balances (D24)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TaxCreditBalance nodes with opening_balance vintages from prior-year tax returns.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Opening UCC pools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UCCPool nodes with opening_ucc from prior-year T2 Schedule 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CCA class seed 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Bulk-create AssetClass nodes from Addendum C Section 4 tables.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MACRS class seed 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Bulk-create AssetClass nodes from Addendum C Section 5 tables.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StatutoryMapping seed 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Bulk-insert mapping rows per jurisdiction from a mapping template spreadsheet.</w:t>
            </w:r>
          </w:p>
        </w:tc>
      </w:tr>
    </w:tbl>
    <w:p>
      <w:pPr>
        <w:pStyle w:val="Heading1"/>
        <w:spacing w:before="360" w:after="200"/>
      </w:pPr>
      <w:r>
        <w:rPr>
          <w:rFonts w:ascii="Arial" w:cs="Arial" w:eastAsia="Arial" w:hAnsi="Arial"/>
          <w:b/>
          <w:bCs/>
          <w:sz w:val="32"/>
          <w:szCs w:val="32"/>
        </w:rPr>
        <w:t xml:space="preserve">6. Build Plan Impact</w:t>
      </w:r>
    </w:p>
    <w:p>
      <w:pPr>
        <w:pStyle w:val="Heading2"/>
        <w:spacing w:before="280" w:after="160"/>
      </w:pPr>
      <w:r>
        <w:rPr>
          <w:rFonts w:ascii="Arial" w:cs="Arial" w:eastAsia="Arial" w:hAnsi="Arial"/>
          <w:b/>
          <w:bCs/>
          <w:sz w:val="28"/>
          <w:szCs w:val="28"/>
        </w:rPr>
        <w:t xml:space="preserve">6.1 Phase 0 additions</w:t>
      </w:r>
    </w:p>
    <w:p>
      <w:pPr>
        <w:pStyle w:val="ListParagraph"/>
        <w:numPr>
          <w:ilvl w:val="0"/>
          <w:numId w:val="2"/>
        </w:numPr>
        <w:spacing w:after="60"/>
      </w:pPr>
      <w:r>
        <w:rPr>
          <w:rFonts w:ascii="Arial" w:cs="Arial" w:eastAsia="Arial" w:hAnsi="Arial"/>
          <w:sz w:val="22"/>
          <w:szCs w:val="22"/>
        </w:rPr>
        <w:t xml:space="preserve">Create configuration_settings table in PostgreSQL.</w:t>
      </w:r>
    </w:p>
    <w:p>
      <w:pPr>
        <w:pStyle w:val="ListParagraph"/>
        <w:numPr>
          <w:ilvl w:val="0"/>
          <w:numId w:val="2"/>
        </w:numPr>
        <w:spacing w:after="60"/>
      </w:pPr>
      <w:r>
        <w:rPr>
          <w:rFonts w:ascii="Arial" w:cs="Arial" w:eastAsia="Arial" w:hAnsi="Arial"/>
          <w:sz w:val="22"/>
          <w:szCs w:val="22"/>
        </w:rPr>
        <w:t xml:space="preserve">Build ConfigurationService with resolveConfig(key, scopeType, scopeId, asOfDate) method.</w:t>
      </w:r>
    </w:p>
    <w:p>
      <w:pPr>
        <w:pStyle w:val="ListParagraph"/>
        <w:numPr>
          <w:ilvl w:val="0"/>
          <w:numId w:val="2"/>
        </w:numPr>
        <w:spacing w:after="60"/>
      </w:pPr>
      <w:r>
        <w:rPr>
          <w:rFonts w:ascii="Arial" w:cs="Arial" w:eastAsia="Arial" w:hAnsi="Arial"/>
          <w:sz w:val="22"/>
          <w:szCs w:val="22"/>
        </w:rPr>
        <w:t xml:space="preserve">Seed default system-scoped settings (allocation_block_threshold, combined_report_currency).</w:t>
      </w:r>
    </w:p>
    <w:p>
      <w:pPr>
        <w:pStyle w:val="ListParagraph"/>
        <w:numPr>
          <w:ilvl w:val="0"/>
          <w:numId w:val="2"/>
        </w:numPr>
        <w:spacing w:after="60"/>
      </w:pPr>
      <w:r>
        <w:rPr>
          <w:rFonts w:ascii="Arial" w:cs="Arial" w:eastAsia="Arial" w:hAnsi="Arial"/>
          <w:sz w:val="22"/>
          <w:szCs w:val="22"/>
        </w:rPr>
        <w:t xml:space="preserve">Seed default entity-scoped settings for each of the four entities (functional_currency, reporting_framework, fiscal_year_end, materiality_threshold, etc.).</w:t>
      </w:r>
    </w:p>
    <w:p>
      <w:pPr>
        <w:pStyle w:val="ListParagraph"/>
        <w:numPr>
          <w:ilvl w:val="0"/>
          <w:numId w:val="2"/>
        </w:numPr>
        <w:spacing w:after="60"/>
      </w:pPr>
      <w:r>
        <w:rPr>
          <w:rFonts w:ascii="Arial" w:cs="Arial" w:eastAsia="Arial" w:hAnsi="Arial"/>
          <w:sz w:val="22"/>
          <w:szCs w:val="22"/>
        </w:rPr>
        <w:t xml:space="preserve">Build admin API: GET /config/{key}, PUT /config/{key} with audit fields.</w:t>
      </w:r>
    </w:p>
    <w:p>
      <w:pPr>
        <w:pStyle w:val="ListParagraph"/>
        <w:numPr>
          <w:ilvl w:val="0"/>
          <w:numId w:val="2"/>
        </w:numPr>
        <w:spacing w:after="60"/>
      </w:pPr>
      <w:r>
        <w:rPr>
          <w:rFonts w:ascii="Arial" w:cs="Arial" w:eastAsia="Arial" w:hAnsi="Arial"/>
          <w:sz w:val="22"/>
          <w:szCs w:val="22"/>
        </w:rPr>
        <w:t xml:space="preserve">Build bulk import endpoints for reference data nodes.</w:t>
      </w:r>
    </w:p>
    <w:p>
      <w:pPr>
        <w:pStyle w:val="Heading2"/>
        <w:spacing w:before="280" w:after="160"/>
      </w:pPr>
      <w:r>
        <w:rPr>
          <w:rFonts w:ascii="Arial" w:cs="Arial" w:eastAsia="Arial" w:hAnsi="Arial"/>
          <w:b/>
          <w:bCs/>
          <w:sz w:val="28"/>
          <w:szCs w:val="28"/>
        </w:rPr>
        <w:t xml:space="preserve">6.2 Phase 1 additions</w:t>
      </w:r>
    </w:p>
    <w:p>
      <w:pPr>
        <w:pStyle w:val="ListParagraph"/>
        <w:numPr>
          <w:ilvl w:val="0"/>
          <w:numId w:val="2"/>
        </w:numPr>
        <w:spacing w:after="60"/>
      </w:pPr>
      <w:r>
        <w:rPr>
          <w:rFonts w:ascii="Arial" w:cs="Arial" w:eastAsia="Arial" w:hAnsi="Arial"/>
          <w:sz w:val="22"/>
          <w:szCs w:val="22"/>
        </w:rPr>
        <w:t xml:space="preserve">Admin UI: Entity settings page (all entity-scoped settings in one screen).</w:t>
      </w:r>
    </w:p>
    <w:p>
      <w:pPr>
        <w:pStyle w:val="ListParagraph"/>
        <w:numPr>
          <w:ilvl w:val="0"/>
          <w:numId w:val="2"/>
        </w:numPr>
        <w:spacing w:after="60"/>
      </w:pPr>
      <w:r>
        <w:rPr>
          <w:rFonts w:ascii="Arial" w:cs="Arial" w:eastAsia="Arial" w:hAnsi="Arial"/>
          <w:sz w:val="22"/>
          <w:szCs w:val="22"/>
        </w:rPr>
        <w:t xml:space="preserve">Admin UI: Approval threshold configuration (visual tier builder).</w:t>
      </w:r>
    </w:p>
    <w:p>
      <w:pPr>
        <w:pStyle w:val="ListParagraph"/>
        <w:numPr>
          <w:ilvl w:val="0"/>
          <w:numId w:val="2"/>
        </w:numPr>
        <w:spacing w:after="60"/>
      </w:pPr>
      <w:r>
        <w:rPr>
          <w:rFonts w:ascii="Arial" w:cs="Arial" w:eastAsia="Arial" w:hAnsi="Arial"/>
          <w:sz w:val="22"/>
          <w:szCs w:val="22"/>
        </w:rPr>
        <w:t xml:space="preserve">Admin UI: Reference data management screens (Fund, TaxJurisdiction, AssetClass CRUD).</w:t>
      </w:r>
    </w:p>
    <w:p>
      <w:pPr>
        <w:pStyle w:val="ListParagraph"/>
        <w:numPr>
          <w:ilvl w:val="0"/>
          <w:numId w:val="2"/>
        </w:numPr>
        <w:spacing w:after="60"/>
      </w:pPr>
      <w:r>
        <w:rPr>
          <w:rFonts w:ascii="Arial" w:cs="Arial" w:eastAsia="Arial" w:hAnsi="Arial"/>
          <w:sz w:val="22"/>
          <w:szCs w:val="22"/>
        </w:rPr>
        <w:t xml:space="preserve">Refactor all services to read from ConfigurationService instead of hardcoded values or environment variables.</w:t>
      </w:r>
    </w:p>
    <w:p>
      <w:pPr>
        <w:pStyle w:val="ListParagraph"/>
        <w:numPr>
          <w:ilvl w:val="0"/>
          <w:numId w:val="2"/>
        </w:numPr>
        <w:spacing w:after="60"/>
      </w:pPr>
      <w:r>
        <w:rPr>
          <w:rFonts w:ascii="Arial" w:cs="Arial" w:eastAsia="Arial" w:hAnsi="Arial"/>
          <w:sz w:val="22"/>
          <w:szCs w:val="22"/>
        </w:rPr>
        <w:t xml:space="preserve">All period close steps must call resolveConfig with the period end date, not the current date, to get historically correct values.</w:t>
      </w:r>
    </w:p>
    <w:p>
      <w:pPr>
        <w:pStyle w:val="Heading2"/>
        <w:spacing w:before="280" w:after="160"/>
      </w:pPr>
      <w:r>
        <w:rPr>
          <w:rFonts w:ascii="Arial" w:cs="Arial" w:eastAsia="Arial" w:hAnsi="Arial"/>
          <w:b/>
          <w:bCs/>
          <w:sz w:val="28"/>
          <w:szCs w:val="28"/>
        </w:rPr>
        <w:t xml:space="preserve">6.3 Phase 2 additions</w:t>
      </w:r>
    </w:p>
    <w:p>
      <w:pPr>
        <w:pStyle w:val="ListParagraph"/>
        <w:numPr>
          <w:ilvl w:val="0"/>
          <w:numId w:val="2"/>
        </w:numPr>
        <w:spacing w:after="60"/>
      </w:pPr>
      <w:r>
        <w:rPr>
          <w:rFonts w:ascii="Arial" w:cs="Arial" w:eastAsia="Arial" w:hAnsi="Arial"/>
          <w:sz w:val="22"/>
          <w:szCs w:val="22"/>
        </w:rPr>
        <w:t xml:space="preserve">Admin UI: ECL rate matrix editor with historical versioning.</w:t>
      </w:r>
    </w:p>
    <w:p>
      <w:pPr>
        <w:pStyle w:val="ListParagraph"/>
        <w:numPr>
          <w:ilvl w:val="0"/>
          <w:numId w:val="2"/>
        </w:numPr>
        <w:spacing w:after="60"/>
      </w:pPr>
      <w:r>
        <w:rPr>
          <w:rFonts w:ascii="Arial" w:cs="Arial" w:eastAsia="Arial" w:hAnsi="Arial"/>
          <w:sz w:val="22"/>
          <w:szCs w:val="22"/>
        </w:rPr>
        <w:t xml:space="preserve">Admin UI: Transfer pricing policy per entity pair.</w:t>
      </w:r>
    </w:p>
    <w:p>
      <w:pPr>
        <w:pStyle w:val="ListParagraph"/>
        <w:numPr>
          <w:ilvl w:val="0"/>
          <w:numId w:val="2"/>
        </w:numPr>
        <w:spacing w:after="60"/>
      </w:pPr>
      <w:r>
        <w:rPr>
          <w:rFonts w:ascii="Arial" w:cs="Arial" w:eastAsia="Arial" w:hAnsi="Arial"/>
          <w:sz w:val="22"/>
          <w:szCs w:val="22"/>
        </w:rPr>
        <w:t xml:space="preserve">Restatement workflow: impact computation, draft batch generation, approval flow.</w:t>
      </w:r>
    </w:p>
    <w:p>
      <w:pPr>
        <w:pStyle w:val="Heading2"/>
        <w:spacing w:before="280" w:after="160"/>
      </w:pPr>
      <w:r>
        <w:rPr>
          <w:rFonts w:ascii="Arial" w:cs="Arial" w:eastAsia="Arial" w:hAnsi="Arial"/>
          <w:b/>
          <w:bCs/>
          <w:sz w:val="28"/>
          <w:szCs w:val="28"/>
        </w:rPr>
        <w:t xml:space="preserve">6.4 What this removes from the build plan</w:t>
      </w:r>
    </w:p>
    <w:p>
      <w:pPr>
        <w:spacing w:after="120"/>
      </w:pPr>
      <w:r>
        <w:rPr>
          <w:rFonts w:ascii="Arial" w:cs="Arial" w:eastAsia="Arial" w:hAnsi="Arial"/>
          <w:sz w:val="22"/>
          <w:szCs w:val="22"/>
        </w:rPr>
        <w:t xml:space="preserve">The “open decisions” sections in all spec documents are eliminated as blockers. No feature is gated on a human decision. Instead:</w:t>
      </w:r>
    </w:p>
    <w:p>
      <w:pPr>
        <w:pStyle w:val="ListParagraph"/>
        <w:numPr>
          <w:ilvl w:val="0"/>
          <w:numId w:val="2"/>
        </w:numPr>
        <w:spacing w:after="60"/>
      </w:pPr>
      <w:r>
        <w:rPr>
          <w:rFonts w:ascii="Arial" w:cs="Arial" w:eastAsia="Arial" w:hAnsi="Arial"/>
          <w:sz w:val="22"/>
          <w:szCs w:val="22"/>
        </w:rPr>
        <w:t xml:space="preserve">The system ships with sensible defaults for all settings.</w:t>
      </w:r>
    </w:p>
    <w:p>
      <w:pPr>
        <w:pStyle w:val="ListParagraph"/>
        <w:numPr>
          <w:ilvl w:val="0"/>
          <w:numId w:val="2"/>
        </w:numPr>
        <w:spacing w:after="60"/>
      </w:pPr>
      <w:r>
        <w:rPr>
          <w:rFonts w:ascii="Arial" w:cs="Arial" w:eastAsia="Arial" w:hAnsi="Arial"/>
          <w:sz w:val="22"/>
          <w:szCs w:val="22"/>
        </w:rPr>
        <w:t xml:space="preserve">The admin configures entity-specific values during onboarding.</w:t>
      </w:r>
    </w:p>
    <w:p>
      <w:pPr>
        <w:pStyle w:val="ListParagraph"/>
        <w:numPr>
          <w:ilvl w:val="0"/>
          <w:numId w:val="2"/>
        </w:numPr>
        <w:spacing w:after="60"/>
      </w:pPr>
      <w:r>
        <w:rPr>
          <w:rFonts w:ascii="Arial" w:cs="Arial" w:eastAsia="Arial" w:hAnsi="Arial"/>
          <w:sz w:val="22"/>
          <w:szCs w:val="22"/>
        </w:rPr>
        <w:t xml:space="preserve">Settings can be changed at any time. The system handles restatement when required.</w:t>
      </w:r>
    </w:p>
    <w:p>
      <w:pPr>
        <w:pStyle w:val="ListParagraph"/>
        <w:numPr>
          <w:ilvl w:val="0"/>
          <w:numId w:val="2"/>
        </w:numPr>
        <w:spacing w:after="60"/>
      </w:pPr>
      <w:r>
        <w:rPr>
          <w:rFonts w:ascii="Arial" w:cs="Arial" w:eastAsia="Arial" w:hAnsi="Arial"/>
          <w:sz w:val="22"/>
          <w:szCs w:val="22"/>
        </w:rPr>
        <w:t xml:space="preserve">New jurisdictions, credit programs, asset classes, and funds are added through CRUD, not code changes.</w:t>
      </w:r>
    </w:p>
    <w:p>
      <w:pPr>
        <w:spacing w:before="60" w:after="160"/>
      </w:pPr>
      <w:r>
        <w:rPr>
          <w:rFonts w:ascii="Arial" w:cs="Arial" w:eastAsia="Arial" w:hAnsi="Arial"/>
          <w:i/>
          <w:iCs/>
          <w:sz w:val="20"/>
          <w:szCs w:val="20"/>
        </w:rPr>
        <w:t xml:space="preserve">This does not mean the admin can ignore these settings. The onboarding workflow should present a configuration checklist that walks through all entity-scoped settings, with contextual guidance explaining each one. The difference is that an incomplete checklist doesn’t block development — it blocks the admin from activating that entity’s GL, which is an operational decision, not an engineering one.</w:t>
      </w:r>
    </w:p>
    <w:p>
      <w:r>
        <w:br w:type="page"/>
      </w:r>
    </w:p>
    <w:p>
      <w:pPr>
        <w:pStyle w:val="Heading1"/>
        <w:spacing w:before="360" w:after="200"/>
      </w:pPr>
      <w:r>
        <w:rPr>
          <w:rFonts w:ascii="Arial" w:cs="Arial" w:eastAsia="Arial" w:hAnsi="Arial"/>
          <w:b/>
          <w:bCs/>
          <w:sz w:val="32"/>
          <w:szCs w:val="32"/>
        </w:rPr>
        <w:t xml:space="preserve">7. Decision Reclassification Summary</w:t>
      </w:r>
    </w:p>
    <w:p>
      <w:pPr>
        <w:spacing w:after="120"/>
      </w:pPr>
      <w:r>
        <w:rPr>
          <w:rFonts w:ascii="Arial" w:cs="Arial" w:eastAsia="Arial" w:hAnsi="Arial"/>
          <w:sz w:val="22"/>
          <w:szCs w:val="22"/>
        </w:rPr>
        <w:t xml:space="preserve">This table replaces all “open decisions” sections across the spec (v1.0 Section 10.2, Addendum A Section 7, Addendum B Section 7). Each former “decision” is reclassified and mapped to its new configuration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4560"/>
      </w:tblGrid>
      <w:t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Original Decision</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Reclassified As</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Configuration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 cost flow method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inventory_cost_method. All three methods built. Entity selects.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NCI goodwill method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ConsolidationGroup.nci_method. US GAAP auto-defaults to FULL_GOODWILL.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currency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functional_currency. Restatement workflow if changed retroactively.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jurisdictions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Reference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TaxJurisdiction nodes. Admin CRUD.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Lease discount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default_ibr. Per-lease override on LeaseContract node.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ECL rate matrix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ecl_rate_matrix JSON. Admin updates quarterly.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Materiality 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materiality_threshold. Prospective. Suggest auto-recalc annually.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Consolidation perimeter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ConsolidationGroup.entity_ids. Admin manages membership.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pricing policy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Entity-pair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transfer_pricing_method. Per entity pair, per transaction type.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of accounts codes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Reference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StatutoryMapping rows. Bulk import from template.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thresholds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approval_thresholds JSON. Admin configures tier table.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NFP fund structure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Reference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 nodes. Admin creates per grant/program.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 NFP registration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registration_type. Drives T3010 vs T1044 filing.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NFP 501(c)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registration_type. Drives Form 990 variant.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Mission outcome metrics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Reference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Outcome.measurement_unit. Admin sets on each node.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Provincial/state tax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Reference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TaxJurisdiction nodes per province/state.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Cross-border treaty benefits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cross_border_treaty_reg. Admin toggles on registration.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reporting currency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System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combined_report_currency. Admin selects CAD or USD.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SR&amp;ED CCPC 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is_ccpc. Changes if ownership structure changes.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accounting policy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Program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credit_accounting_treatment. Per program × framework.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Provincial credit programs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Reference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TaxCreditProgram nodes. Admin creates per province.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state R&amp;D credits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Reference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TaxCreditProgram nodes. Admin creates per state.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IRA credit elections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Program setting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ira_election_type. Annual election per entity.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credit balances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Seed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TaxCreditBalance nodes via bulk import.</w:t>
            </w:r>
          </w:p>
        </w:tc>
      </w:tr>
    </w:tbl>
    <w:p>
      <w:pPr>
        <w:spacing w:before="360"/>
        <w:jc w:val="center"/>
      </w:pPr>
      <w:r>
        <w:rPr>
          <w:rFonts w:ascii="Arial" w:cs="Arial" w:eastAsia="Arial" w:hAnsi="Arial"/>
          <w:i/>
          <w:iCs/>
          <w:sz w:val="18"/>
          <w:szCs w:val="18"/>
        </w:rPr>
        <w:t xml:space="preserve">Enterprise Business Graph · v1.2 Addendum D · Configuration Management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Enterprise Business Graph · v1.2 · Configuration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2026-03-24T15:42:10.178Z</dcterms:created>
  <dcterms:modified xsi:type="dcterms:W3CDTF">2026-03-24T15:42:10.180Z</dcterms:modified>
</cp:coreProperties>
</file>

<file path=docProps/custom.xml><?xml version="1.0" encoding="utf-8"?>
<Properties xmlns="http://schemas.openxmlformats.org/officeDocument/2006/custom-properties" xmlns:vt="http://schemas.openxmlformats.org/officeDocument/2006/docPropsVTypes"/>
</file>