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Enterprise Business Graph</w:t>
      </w:r>
    </w:p>
    <w:p>
      <w:pPr>
        <w:spacing w:after="80"/>
        <w:jc w:val="center"/>
      </w:pPr>
      <w:r>
        <w:rPr>
          <w:rFonts w:ascii="Arial" w:cs="Arial" w:eastAsia="Arial" w:hAnsi="Arial"/>
          <w:sz w:val="28"/>
          <w:szCs w:val="28"/>
        </w:rPr>
        <w:t xml:space="preserve">Tax Credit &amp; Government Incentive Management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Version 1.2 Addendum B  ·  Extends Tax Engine Architecture (Section 8) and Build Plan (Section 10)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Design Rationale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v1.0 tax engine covers current tax, deferred tax, and temporary differences. It has no infrastructure for tax credits — a critical gap for a four-entity group where SR&amp;ED ITCs alone can return 35–64% of eligible R&amp;D expenditures. The v1.0 spec also listed government grants (IAS 20) as “not yet modeled” with a placeholder of “DEFERRED_REVENUE TemporalClaim with grant flag.” That placeholder is insufficient.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Tax credits and government incentives are distinct from both tax deductions and government grants, though they overlap: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Tax deductions reduce taxable income. Tax credits reduce tax payable dollar-for-dollar. A $100k deduction at 26.5% saves $26,500. A $100k credit saves $100,000.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Refundable credits (e.g., SR&amp;ED for CCPCs) are paid out even when there is no tax payable — they are effectively negative tax, generating cash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Government grants (IAS 20 / ASPE 3800) are recognized as income or cost reduction. Some tax credits have a grant-like character (refundable portion) and require dual accounting treatment.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Graph-native advantage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enterprise business graph has a structural advantage over traditional systems for tax credit management: eligible expenditures are already modeled as Activity and Project nodes with typed edges, epistemic properties, and CONTRIBUTES_TO paths. The system can use these existing properties to auto-identify qualifying spend rather than requiring manual line-item tagging. For example: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SR&amp;ED eligibility: Activity nodes with uncertainty_type = EPISTEMIC or MIXED, contributing to NEW_REVENUE or IMPROVE_REVENUE outcomes, involving systematic investigation (inferred from EpistemicActivity edges) are strong candidates for SR&amp;ED eligibility.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R&amp;D credit (IRC §41): Activity nodes with a CONTRIBUTES_TO path to NEW_REVENUE through a technical uncertainty resolution pattern (FORECASTED → ESTIMATED → VALIDATED state transitions) map to the four-part test for qualified research.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Clean economy credits: Activity or FixedAsset nodes tagged with specific environmental categories can auto-match to clean tech ITC, clean electricity ITC, or carbon capture ITC programs.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CRITICAL: AI auto-identification is a recommendation engine, not a compliance determination. Every auto-identified eligible expenditure must be reviewed and approved by the tax preparer before inclusion in a claim. The TaxCreditClaim node enforces this with an approval_status gate.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Node Schema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TaxCreditProgram node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Represents a specific tax credit or incentive program offered by a jurisdiction. Programs change with legislation, so this is a full node — not an enum. New legislation = new node, not a code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program_code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code. e.g., CA-SRED, CA-CLEAN-TECH-ITC, US-IRC41-RD, US-WOTC, US-IRA-45, CA-GST-REBATE.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name. e.g., “Scientific Research &amp; Experimental Development Investment Tax Credit.”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jurisdiction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3166-1 alpha-2 (CA, US) or sub-jurisdiction (CA-ON, US-CA).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 | IRS | PROVINCIAL | STATE. Determines filing and assessment process.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REFUNDABLE | NON_REFUNDABLE | PARTIALLY_REFUNDABLE | DIRECT_PAY. Drives accounting treatment and cash flow modeling.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credit_rate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credit rate. e.g., 0.35 for SR&amp;ED CCPC, 0.15 for SR&amp;ED non-CCPC, 0.20 for IRC §41 regular.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credit_rate_enhanced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rate if applicable. e.g., SR&amp;ED 35% CCPC rate on first $3M of qualified expenditures.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expenditure_limit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eligible expenditure for enhanced rate. e.g., $3M for SR&amp;ED CCPC enhanced.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annual_cap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credit claimable per year. Null if uncapped.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carryforward_years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Years unused credit can be carried forward. 20 for SR&amp;ED, 20 for IRC §41, null if no limit.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carryback_years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Years unused credit can be carried back. 3 for SR&amp;ED, 1 for IRC §41.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eligible_entity_types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[enum]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[FOR_PROFIT] | [NOT_FOR_PROFIT] | [FOR_PROFIT, NOT_FOR_PROFIT]. Which entity types can claim.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eligibility_criteria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Machine-readable eligibility rules. Used by AI auto-identification. See Section 3.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accounting_treatment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COST_REDUCTION | INCOME_APPROACH | ITC_METHOD. Drives GL posting. See Section 5.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legislation_reference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Statutory reference. e.g., “ITA §127(9)”, “IRC §41”.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effective_from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start date. Legislation changes create new nodes with updated effective_from.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effective_until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sunset date. Null if permanent.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filing_form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form. e.g., “T661” (SR&amp;ED), “Form 6765” (IRC §41), “Form 3800” (General Business Credit).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TaxCreditClaim node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Represents a specific claim for a specific entity for a specific period. This is the transactional node — it carries the actual amounts, eligible expenditure linkages, and approval workflow.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Claiming entity.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program_id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TaxCreditProgram.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AccountingPeriod this claim covers.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fiscal_year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year for filing. May differ from accounting period.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claim_status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| AI_IDENTIFIED | REVIEWED | APPROVED | FILED | ASSESSED | ADJUSTED | CLOSED. See Section 2.4.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eligible_expenditure_total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qualifying expenditures identified. Sum of linked Activity/Project/FixedAsset amounts.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credit_amount_claimed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amount on the filed return. eligible_expenditure_total × applicable rate(s).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credit_amount_assessed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amount per CRA/IRS assessment. May differ from claimed. Null until assessed.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refundable_portion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Portion that generates a cash refund regardless of tax payable.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non_refundable_portion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Portion that can only reduce tax payable. Excess carries forward.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applied_to_tax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applied against current period tax payable.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carried_forward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added to carryforward pool.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carried_back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carried back to prior year(s).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cash_received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cash received (refundable portion + prior year refund). Links to CashFlowEvent.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eligible_node_ids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[UUID]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Activity, Project, and FixedAsset nodes included in this claim. Source of truth for eligible expenditure detail.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ai_confidence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AI’s confidence that identified expenditures are eligible. 0–1. Null if manually prepared.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reviewed_by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who reviewed AI identification. Required before APPROVED status.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filed_date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claim was submitted to authority.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assessment_date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authority issued assessment/notice.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adjustment_reason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ADJUSTED: explanation from authority. Feeds back into AI eligibility model.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journal_entry_id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JournalEntry recording the accounting impact. Created at APPROVED status.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cashflow_event_id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CashFlowEvent for cash receipt (refundable portion). Created when cash received.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TaxCreditBalance node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Tracks the carryforward pool for non-refundable credits per program per entity. This is a running balance node — updated at each period close.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holding the balance.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program_id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TaxCreditProgram.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balance_as_of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 end date for this balance snapshot.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opening_balance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Carryforward balance at start of period.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credits_earned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credits from current period claims.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credits_applied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Credits used against current period tax.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credits_expired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Credits that exceeded carryforward_years and expired.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credits_carried_back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Credits carried back to prior years.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closing_balance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 + earned − applied − expired − carried_back. Carries to next period’s opening.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vintages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[{year, amount, expires_at}]. FIFO expiry: oldest vintages applied first. Required for carryforward tracking.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Claim status lifecycle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DRAFT → AI_IDENTIFIED → REVIEWED → APPROVED → FILED → ASSESSED → CLOSED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└→ ADJUSTED → CLOSED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DRAFT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created claim. No eligible expenditures linked yet.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AI_IDENTIFIED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has traversed the graph and identified eligible Activity/Project/FixedAsset nodes. eligible_node_ids populated. ai_confidence set.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REVIEWED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preparer has reviewed AI identification. Expenditures confirmed, adjusted, or removed. reviewed_by set.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Controller/CFO approved. JournalEntry created (accounting recognition). credit_amount_claimed finalized.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submitted to CRA/IRS. filed_date set. No further changes to amounts.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ASSESSED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Authority accepted claim as filed. credit_amount_assessed = credit_amount_claimed. Cash receipt expected.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ADJUSTED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Authority adjusted claim. credit_amount_assessed ≠ credit_amount_claimed. Adjustment JournalEntry created. adjustment_reason feeds back to AI.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cash received, all accounting entries posted, carryforward balance updated. Terminal state.</w:t>
            </w:r>
          </w:p>
        </w:tc>
      </w:tr>
    </w:tbl>
    <w:p>
      <w:pPr>
        <w:spacing w:before="60"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AI_IDENTIFIED → REVIEWED transition is a mandatory human gate. The system must never auto-advance past REVIEWED without explicit human approval. This is both a compliance requirement and a learning opportunity: when the reviewer removes expenditures the AI identified, the rejection reason feeds back into the eligibility model to improve future identification.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Eligible Expenditure Identification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QUALIFIES_FOR edge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Links an Activity, Project, or FixedAsset node to a TaxCreditProgram. Created by the AI identification service or manually by the tax preparer.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qualification_basis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AI_INFERRED | MANUALLY_TAGGED | RULE_MATCHED. How the qualification was identified.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eligible_amount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Qualifying expenditure amount from this node. May be less than total node cost (partial eligibility).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eligibility_confidence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0–1. AI confidence. 1.0 for manually tagged.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expenditure_category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| MATERIALS | SUBCONTRACTOR | OVERHEAD_PROXY | CAPITAL | OTHER. Program-specific categorization.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claim_id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TaxCreditClaim this edge is included in. Null until claim is created.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reviewer_accepted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during REVIEWED status. False = reviewer rejected this item. Feeds back to AI.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rejection_reason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rejected: why. e.g., “not systematic investigation”, “commercial production, not research.” AI training signal.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AI identification rules (eligibility_criteria on TaxCreditProgram)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eligibility_criteria JSON on TaxCreditProgram encodes machine-readable rules the AI uses to traverse the graph and identify candidate expenditures. The structure is a conjunction of graph pattern predicates: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SR&amp;ED example (CA-SRED):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"node_types": ["Activity", "Project"],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"predicates": [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{"property": "uncertainty_type", "operator": "IN", "values": ["EPISTEMIC", "MIXED"]},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{"path_pattern": "CONTRIBUTES_TO*1..6 -&gt; Outcome",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"outcome_types": ["NEW_REVENUE", "IMPROVE_REVENUE"]},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{"has_edge": "REDUCES_UNCERTAINTY_OF", "min_count": 1}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"expenditure_mapping": {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"SALARY": "LedgerLine WHERE economic_category = EXPENSE AND statutory_code LIKE '52%'",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"MATERIALS": "LedgerLine WHERE economic_category = EXPENSE AND node_ref_type = ACTIVITY AND tags CONTAINS 'materials'",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"OVERHEAD_PROXY": "SALARY * 0.55"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IRC §41 R&amp;D Credit example (US-IRC41-RD):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"node_types": ["Activity", "Project"],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"predicates": [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{"four_part_test": {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"permitted_purpose": {"path_pattern": "CONTRIBUTES_TO*1..6 -&gt; Outcome",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"outcome_types": ["NEW_REVENUE", "IMPROVE_REVENUE"]},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"technological_uncertainty": {"property": "uncertainty_type",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"operator": "IN", "values": ["EPISTEMIC", "MIXED"]},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"process_of_experimentation": {"has_edge": "REDUCES_UNCERTAINTY_OF", "min_count": 1},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"technological_in_nature": {"tags_contain_any": ["engineering", "software", "science", "technology"]}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}}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These rules are starting points. The AI refines them over time based on reviewer_accepted feedback on QUALIFIES_FOR edges. If the AI consistently identifies expenditures that reviewers reject with reason “not systematic investigation,” the model learns to weight the REDUCES_UNCERTAINTY_OF edge requirement more heavily.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Identification Cypher query (SR&amp;ED)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MATCH (a:Activity)-[:CONTRIBUTES_TO*1..6]-&gt;(o:Outcome)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WHERE a.entity_id = $entity_id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AND a.uncertainty_type IN ['EPISTEMIC', 'MIXED']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AND o.outcome_type IN ['NEW_REVENUE', 'IMPROVE_REVENUE']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AND EXISTS((a)-[:REDUCES_UNCERTAINTY_OF]-&gt;())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WITH a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MATCH (a)&lt;-[:POSTS_TO]-(ll:LedgerLine)&lt;-[:HAS_LINE]-(je:JournalEntry)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WHERE je.period_id = $period_id AND ll.side = 'DEBIT'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AND ll.economic_category = 'EXPENSE'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RETURN a.id AS activity_id, a.label AS activity_label,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SUM(ll.functional_amount) AS total_expenditure,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a.uncertainty_type, a.value_state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ORDER BY total_expenditure DESC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Accounting Treatment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Tax credits have three possible accounting treatments. The treatment is set per program (TaxCreditProgram.accounting_treatment) and drives how the GL entries are generated: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Treatment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 Posting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COST_REDUCTION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reduces the carrying amount of the related asset or expense. DR Tax Credit Receivable / CR Expense or Asset.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IAS 20 / ASPE 3800 cost reduction method. SR&amp;ED (ASPE), capital asset credits.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INCOME_APPROACH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recognized as income (government assistance income). DR Tax Credit Receivable / CR Other Income.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IAS 20 income approach. US GAAP ASC 740 credits. Some provincial grants.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ITC_METHOD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reduces income tax expense directly. DR Tax Credit Receivable / CR Income Tax Expense.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Non-refundable credits applied against tax payable. IRC §41 R&amp;D credit (US GAAP default).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Journal entry templates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Refundable credit — COST_REDUCTION (e.g., SR&amp;ED under ASPE)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// At APPROVED status: recognize the receivable and reduce expense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DR  TemporalClaim("SR&amp;ED ITC Receivable", ACCRUED_REVENUE, RECEIVABLE)  $350,000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CR  Activity("Q3 R&amp;D Project Alpha")                                     $350,000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entry_type: ADJUSTMENT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narrative: "SR&amp;ED ITC claim FY2026 — 35% of $1,000,000 eligible expenditures"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// When cash received from CRA: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DR  CashFlowEvent("CRA SR&amp;ED Refund", direction: INFLOW)                 $350,000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CR  TemporalClaim("SR&amp;ED ITC Receivable")                                $350,000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Non-refundable credit — ITC_METHOD (e.g., IRC §41 R&amp;D)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// At APPROVED status: reduce tax expense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DR  TemporalClaim("R&amp;D Credit Receivable", ACCRUED_REVENUE, RECEIVABLE)  $200,000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CR  TaxProvision("Current Tax Expense")                                  $200,000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entry_type: ADJUSTMENT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// If credit exceeds tax payable, excess goes to carryforward: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// TaxCreditBalance.carried_forward += excess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// No JournalEntry for the carryforward itself — it’s a tax memo, not an accounting entry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// DTA is recognized if future utilization is probable: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DR  DeferredTaxPosition("DTA — R&amp;D Credit Carryforward", direction: DEDUCTIBLE)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CR  Income Tax Expense (deferred component)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Direct pay for tax-exempt entity (e.g., IRA energy credit for US NFP)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// NFP elects direct pay under IRA §6417: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DR  TemporalClaim("IRA Direct Pay Receivable", ACCRUED_REVENUE, RECEIVABLE)  $150,000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CR  Outcome(SUSTAIN_FUNDING) or Activity (cost reduction)                      $150,000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entry_type: ADJUSTMENT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fund_id: [appropriate Fund for NFP]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CRITICAL: For ASPE entities, the cost reduction method is the default for SR&amp;ED ITCs. This means the credit reduces the cost of the related R&amp;D expense, not income. The AI must apply the correct treatment based on Entity.reporting_framework × TaxCreditProgram.accounting_treatment. A single credit program may have different accounting treatments in different frameworks.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ASPE vs US GAAP treatment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 Treatment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 GAAP Treatment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SR&amp;ED / R&amp;D credit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reduction (ASPE 3800). Credit netted against R&amp;D expense.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ITC method (ASC 740-10-25). Credit reduces income tax expense. ASU 2023-09 requires disaggregation.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 asset credits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reduction. Credit reduces asset carrying amount and future depreciation.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ITC method or cost reduction (ASC 740). Policy election.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IRA energy credits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(Canada has separate clean economy ITCs).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ITC method for taxable entities. Direct pay (cash receipt) for tax-exempt entities under §6417.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Recognition timing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reasonable assurance of receipt. Can accrue before filing if highly likely.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it is more likely than not (&gt;50%) the credit will be realized. ASC 740-10.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Tax Engine Extension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TaxJurisdictionEngine interface from v1.0 gains new methods for tax credit computation: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Extended interface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class TaxJurisdictionEngine(Protocol):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# Existing methods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def compute_current_tax(self, entity_id, period_id) -&gt; TaxProvision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def compute_deferred_tax(self, entity_id, period_id) -&gt; list[DeferredTaxPosition]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def get_temporary_differences(self, entity_id) -&gt; list[TemporaryDifference]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# NEW: Tax credit methods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def identify_eligible_expenditures(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self, entity_id, period_id, program_id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) -&gt; list[QualifiesForEdge]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def compute_credit_amount(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self, claim: TaxCreditClaim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) -&gt; CreditComputation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def apply_credits_to_provision(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self, entity_id, period_id, provision: TaxProvision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) -&gt; TaxProvision  # Updated with credits applied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def update_carryforward_balances(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self, entity_id, period_id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) -&gt; list[TaxCreditBalance]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def expire_stale_credits(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self, entity_id, period_id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) -&gt; list[TaxCreditBalance]  # Credits that expired this period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Period close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Tax credit processing slots into the period close sequence between step 14 (tax provision computation) and step 15 (tax return draft):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provision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Existing: compute current tax + deferred tax movement.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 identification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NEW: AI traverses graph to identify eligible expenditures per active TaxCreditProgram. Creates QUALIFIES_FOR edges. Creates TaxCreditClaim nodes at AI_IDENTIFIED status.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 application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NEW: For APPROVED claims, apply credits against tax provision. Update TaxProvision.credit_amount. Apply carryforward credits (FIFO). Generate JournalEntries per accounting_treatment.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Carryforward update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NEW: Update TaxCreditBalance nodes. Expire stale vintages. Roll closing balance forward.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return draft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Existing: aggregate TaxLines. Now includes credit schedules and carryforward schedules.</w:t>
            </w:r>
          </w:p>
        </w:tc>
      </w:tr>
    </w:tbl>
    <w:p>
      <w:pPr>
        <w:spacing w:before="60"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Steps 14a and 14b produce DRAFT claims and accounting entries. The tax preparer reviews and advances claims through the REVIEWED → APPROVED lifecycle before the entries become final. This may happen between soft close and hard close.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Outcome Layer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Tax credits create a feedback loop to the Outcome layer that the AI must model. A refundable SR&amp;ED credit on $1M of R&amp;D spending returns $350k in cash — meaning the net cost of that Activity is $650k, not $1M. This changes the effective ROI of the entire CONTRIBUTES_TO path.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REDUCES_COST_OF edge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new edge type linking a TaxCreditClaim to the Activity/Project nodes whose costs it reduces: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cost_reduction_amount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Dollar amount by which this credit reduces the activity’s effective cost.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cost_reduction_pct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reduction. e.g., 0.35 for 35% SR&amp;ED ITC.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certainty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CLAIMED | ASSESSED | REALIZED. Advances as the claim lifecycle progresses.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Impact on effective_contribution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effective_contribution formula from v1.0 should incorporate the credit-adjusted cost when computing ROI for resource allocation: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effective_cost = original_cost - sum(REDUCES_COST_OF.cost_reduction_amount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WHERE certainty IN ['ASSESSED', 'REALIZED'])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credit_adjusted_roi = effective_contribution / effective_cost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AI should use CLAIMED credits at a discounted confidence (e.g., 0.7) and ASSESSED/REALIZED credits at full confidence. This prevents over-optimistic resource allocation based on credits that haven’t been confirmed by the authority. The discount factor is calibrated over time based on the entity’s historical claim-to-assessment ratio.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For-profit outcome mapping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Tax credits map to the for-profit outcome layer as follows: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Refundable credits: MITIGATE_EXPENSE outcome. The credit directly reduces the net cost of operations. The refundable cash receipt is also an IMPROVE_REVENUE contributor (it’s recurring, predictable revenue from the government).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Non-refundable credits: MITIGATE_EXPENSE only. They reduce tax payable but don’t generate cash beyond the tax reduction.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AI should model QUALIFIES_FOR edges as implicit CONTRIBUTES_TO paths: an Activity’s contribution to outcomes is enhanced by the credit it generates. Higher credit rates = higher effective ROI = AI should allocate more resources.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NFP outcome mapping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not-for-profit entities, tax credits map to the mission ontology: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IRA direct pay credits: SUSTAIN_FUNDING. They are effectively contribution revenue from the government.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GST/HST rebates: STEWARD_RESOURCES. They improve the admin-to-program spending ratio by reducing overhead costs.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AI should factor available credits into program cost modeling. A program that qualifies for clean energy credits has a lower effective cost, making it more attractive in the DELIVER_MISSION allocation.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New Open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Needed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Needed Before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D19: SR&amp;ED eligibility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CA for-profit entity a CCPC (Canadian-Controlled Private Corporation)? This determines the 35% enhanced rate vs 15% base rate and whether the credit is refundable. CCPC status can change if ownership changes.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TaxCreditProgram node 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D20: Credit accounting policy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each credit program, which accounting treatment? ASPE allows cost reduction or income approach for government assistance. US GAAP allows ITC method or cost reduction for investment credits. This is a policy election.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TaxCreditProgram.accounting_treatment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D21: Provincial credit programs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provincial programs apply? Ontario: OITC (Ontario Innovation Tax Credit, 10%), ORDTC (Ontario R&amp;D Tax Credit, 3.5%), OIDMTC. Other provinces have different programs. Depends on where R&amp;D is performed.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TaxCreditProgram nodes for provincial programs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D22: US state R&amp;D credits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state(s) is the US for-profit conducting R&amp;D in? Many states offer R&amp;D credits that stack with the federal credit. Rates vary widely (California: 24%, Texas: 0%).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TaxCreditProgram nodes for state programs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D23: IRA credit elections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the US NFP elect direct pay (§6417) for clean energy credits? Will the US for-profit entity seek transferability (§6418) instead? These are irrevocable annual elections.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first energy credit claim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D24: Historical credits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any entities have existing carryforward balances from prior years? These need to be loaded as opening TaxCreditBalance vintages.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data migration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Build Plan Impact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Phase 0 additions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TaxCreditProgram node Cypher DDL.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TaxCreditClaim node Cypher DDL.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TaxCreditBalance node Cypher DDL.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QUALIFIES_FOR edge Cypher DDL.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REDUCES_COST_OF edge Cypher DDL.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 initial TaxCreditProgram nodes for known programs (CA-SRED, US-IRC41-RD, CA-GST-REBATE, US-IRA-45).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Phase 5 additions (tax engine)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Eligible expenditure identification service (AI traversal + rule matching).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Credit computation service per program.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Carryforward balance management (FIFO vintage tracking, expiry).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Period close steps 14a/14b/14c.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JournalEntry templates for each accounting_treatment.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CRA filing integration (T661 SR&amp;ED form data export).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IRS filing integration (Form 6765 R&amp;D credit data export).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Phase 6 additions (AI refinement)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Reviewer feedback loop: rejection_reason on QUALIFIES_FOR edges feeds back into eligibility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Assessment adjustment feedback: adjustment_reason on TaxCreditClaim feeds back into credit amount estimation.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Historical claim-to-assessment ratio calibration for certainty discounting.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Credit-adjusted ROI integration into the path traversal API and scenario engine.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8.4 Timeline estimate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0: +0.5 sprint (DDL for three new nodes, two new edges, program seed data).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5: +2–3 sprints (identification service, computation, carryforward, filing integration).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6: +1 sprint (AI feedback loop, credit-adjusted ROI).</w:t>
      </w:r>
    </w:p>
    <w:p>
      <w:pPr>
        <w:spacing w:before="36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Enterprise Business Graph · v1.2 Addendum B · Tax Credit &amp; Government Incentive Management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Enterprise Business Graph · v1.2 · Tax Credit Management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2026-03-23T21:46:37.806Z</dcterms:created>
  <dcterms:modified xsi:type="dcterms:W3CDTF">2026-03-23T21:46:37.806Z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