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6E"/>
          <w:sz w:val="56"/>
        </w:rPr>
        <w:t>Harness Give</w:t>
        <w:br/>
        <w:t>Forecast Assumptions</w:t>
      </w:r>
    </w:p>
    <w:p>
      <w:pPr>
        <w:jc w:val="center"/>
      </w:pPr>
      <w:r>
        <w:rPr>
          <w:color w:val="4A6C9E"/>
          <w:sz w:val="32"/>
        </w:rPr>
        <w:t>Scenario C: With Charity Intelligence + US Expansion</w:t>
      </w:r>
    </w:p>
    <w:p/>
    <w:p>
      <w:pPr>
        <w:jc w:val="center"/>
      </w:pPr>
      <w:r>
        <w:rPr>
          <w:color w:val="666666"/>
          <w:sz w:val="22"/>
        </w:rPr>
        <w:t>Prepared: April 15, 2026</w:t>
        <w:br/>
        <w:t>Confidential — For Internal Use Only</w:t>
      </w:r>
    </w:p>
    <w:p>
      <w:r>
        <w:br w:type="page"/>
      </w:r>
    </w:p>
    <w:p>
      <w:pPr>
        <w:pStyle w:val="Heading1"/>
      </w:pPr>
      <w:r>
        <w:t>Contents</w:t>
      </w:r>
    </w:p>
    <w:p>
      <w:pPr>
        <w:spacing w:after="40"/>
      </w:pPr>
      <w:r>
        <w:t>1. Scenario Overview</w:t>
      </w:r>
    </w:p>
    <w:p>
      <w:pPr>
        <w:spacing w:after="40"/>
      </w:pPr>
      <w:r>
        <w:t>2. Canadian Traffic Model (With CI)</w:t>
      </w:r>
    </w:p>
    <w:p>
      <w:pPr>
        <w:spacing w:after="40"/>
      </w:pPr>
      <w:r>
        <w:t>3. CI Traffic Analysis &amp; Projections</w:t>
      </w:r>
    </w:p>
    <w:p>
      <w:pPr>
        <w:spacing w:after="40"/>
      </w:pPr>
      <w:r>
        <w:t>4. Canadian Registration Funnel</w:t>
      </w:r>
    </w:p>
    <w:p>
      <w:pPr>
        <w:spacing w:after="40"/>
      </w:pPr>
      <w:r>
        <w:t>5. US Market Entry &amp; Bootstrap Mechanism</w:t>
      </w:r>
    </w:p>
    <w:p>
      <w:pPr>
        <w:spacing w:after="40"/>
      </w:pPr>
      <w:r>
        <w:t>6. US Traffic Model</w:t>
      </w:r>
    </w:p>
    <w:p>
      <w:pPr>
        <w:spacing w:after="40"/>
      </w:pPr>
      <w:r>
        <w:t>7. US Registration Funnel</w:t>
      </w:r>
    </w:p>
    <w:p>
      <w:pPr>
        <w:spacing w:after="40"/>
      </w:pPr>
      <w:r>
        <w:t>8. Combined User Growth (CA + US)</w:t>
      </w:r>
    </w:p>
    <w:p>
      <w:pPr>
        <w:spacing w:after="40"/>
      </w:pPr>
      <w:r>
        <w:t>9. Revenue Model</w:t>
      </w:r>
    </w:p>
    <w:p>
      <w:pPr>
        <w:spacing w:after="40"/>
      </w:pPr>
      <w:r>
        <w:t>10. Donation Seasonality</w:t>
      </w:r>
    </w:p>
    <w:p>
      <w:pPr>
        <w:spacing w:after="40"/>
      </w:pPr>
      <w:r>
        <w:t>11. Infrastructure Cost Model</w:t>
      </w:r>
    </w:p>
    <w:p>
      <w:pPr>
        <w:spacing w:after="40"/>
      </w:pPr>
      <w:r>
        <w:t>12. Marketing &amp; User Acquisition</w:t>
      </w:r>
    </w:p>
    <w:p>
      <w:pPr>
        <w:spacing w:after="40"/>
      </w:pPr>
      <w:r>
        <w:t>13. Organizational Costs — All Four Entities</w:t>
      </w:r>
    </w:p>
    <w:p>
      <w:pPr>
        <w:spacing w:after="40"/>
      </w:pPr>
      <w:r>
        <w:t>14. Key Modeling Decisions</w:t>
      </w:r>
    </w:p>
    <w:p>
      <w:pPr>
        <w:spacing w:after="40"/>
      </w:pPr>
      <w:r>
        <w:t>15. Known Gaps</w:t>
      </w:r>
    </w:p>
    <w:p>
      <w:pPr>
        <w:spacing w:after="40"/>
      </w:pPr>
      <w:r>
        <w:t>Sources &amp; References</w:t>
      </w:r>
    </w:p>
    <w:p>
      <w:r>
        <w:br w:type="page"/>
      </w:r>
    </w:p>
    <w:p>
      <w:pPr>
        <w:pStyle w:val="Heading1"/>
      </w:pPr>
      <w:r>
        <w:t>1. Scenario Overview</w:t>
      </w:r>
    </w:p>
    <w:p>
      <w:r>
        <w:t>Scenario C models a Canadian launch with the Charity Intelligence (CI) partnership (identical to Scenario A) that bootstraps US market entry four months later. The proven Canadian platform and "Charity Intelligence" trust signal accelerate US growth versus a cold-market entry.</w:t>
      </w:r>
    </w:p>
    <w:p>
      <w:r>
        <w:t>Timeline: Canada launches April 2026 (FY2027 start). The US enters August 2026 (4 months later). FY2027 US figures reflect 8 months of activity.</w:t>
      </w:r>
    </w:p>
    <w:p>
      <w:pPr>
        <w:pStyle w:val="Heading2"/>
      </w:pPr>
      <w:r>
        <w:t>Four-Entity Group Structure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Entity</w:t>
            </w:r>
          </w:p>
        </w:tc>
        <w:tc>
          <w:tcPr>
            <w:tcW w:type="dxa" w:w="2160"/>
          </w:tcPr>
          <w:p>
            <w:pPr>
              <w:jc w:val="center"/>
            </w:pPr>
            <w:r>
              <w:rPr>
                <w:b/>
                <w:sz w:val="19"/>
              </w:rPr>
              <w:t>Jurisdiction</w:t>
            </w:r>
          </w:p>
        </w:tc>
        <w:tc>
          <w:tcPr>
            <w:tcW w:type="dxa" w:w="2160"/>
          </w:tcPr>
          <w:p>
            <w:pPr>
              <w:jc w:val="center"/>
            </w:pPr>
            <w:r>
              <w:rPr>
                <w:b/>
                <w:sz w:val="19"/>
              </w:rPr>
              <w:t>Type</w:t>
            </w:r>
          </w:p>
        </w:tc>
        <w:tc>
          <w:tcPr>
            <w:tcW w:type="dxa" w:w="2160"/>
          </w:tcPr>
          <w:p>
            <w:pPr>
              <w:jc w:val="center"/>
            </w:pPr>
            <w:r>
              <w:rPr>
                <w:b/>
                <w:sz w:val="19"/>
              </w:rPr>
              <w:t>Standards</w:t>
            </w:r>
          </w:p>
        </w:tc>
      </w:tr>
      <w:tr>
        <w:tc>
          <w:tcPr>
            <w:tcW w:type="dxa" w:w="2160"/>
          </w:tcPr>
          <w:p>
            <w:pPr>
              <w:jc w:val="center"/>
            </w:pPr>
            <w:r>
              <w:rPr>
                <w:sz w:val="19"/>
              </w:rPr>
              <w:t>Harness Exchange</w:t>
            </w:r>
          </w:p>
        </w:tc>
        <w:tc>
          <w:tcPr>
            <w:tcW w:type="dxa" w:w="2160"/>
          </w:tcPr>
          <w:p>
            <w:pPr>
              <w:jc w:val="center"/>
            </w:pPr>
            <w:r>
              <w:rPr>
                <w:sz w:val="19"/>
              </w:rPr>
              <w:t>Canada (CBCA / Ontario)</w:t>
            </w:r>
          </w:p>
        </w:tc>
        <w:tc>
          <w:tcPr>
            <w:tcW w:type="dxa" w:w="2160"/>
          </w:tcPr>
          <w:p>
            <w:pPr>
              <w:jc w:val="center"/>
            </w:pPr>
            <w:r>
              <w:rPr>
                <w:sz w:val="19"/>
              </w:rPr>
              <w:t>For-Profit</w:t>
            </w:r>
          </w:p>
        </w:tc>
        <w:tc>
          <w:tcPr>
            <w:tcW w:type="dxa" w:w="2160"/>
          </w:tcPr>
          <w:p>
            <w:pPr>
              <w:jc w:val="center"/>
            </w:pPr>
            <w:r>
              <w:rPr>
                <w:sz w:val="19"/>
              </w:rPr>
              <w:t>ASPE</w:t>
            </w:r>
          </w:p>
        </w:tc>
      </w:tr>
      <w:tr>
        <w:tc>
          <w:tcPr>
            <w:tcW w:type="dxa" w:w="2160"/>
          </w:tcPr>
          <w:p>
            <w:pPr>
              <w:jc w:val="center"/>
            </w:pPr>
            <w:r>
              <w:rPr>
                <w:sz w:val="19"/>
              </w:rPr>
              <w:t>Harness Good</w:t>
            </w:r>
          </w:p>
        </w:tc>
        <w:tc>
          <w:tcPr>
            <w:tcW w:type="dxa" w:w="2160"/>
          </w:tcPr>
          <w:p>
            <w:pPr>
              <w:jc w:val="center"/>
            </w:pPr>
            <w:r>
              <w:rPr>
                <w:sz w:val="19"/>
              </w:rPr>
              <w:t>Canada (CNCA)</w:t>
            </w:r>
          </w:p>
        </w:tc>
        <w:tc>
          <w:tcPr>
            <w:tcW w:type="dxa" w:w="2160"/>
          </w:tcPr>
          <w:p>
            <w:pPr>
              <w:jc w:val="center"/>
            </w:pPr>
            <w:r>
              <w:rPr>
                <w:sz w:val="19"/>
              </w:rPr>
              <w:t>Not-for-Profit</w:t>
            </w:r>
          </w:p>
        </w:tc>
        <w:tc>
          <w:tcPr>
            <w:tcW w:type="dxa" w:w="2160"/>
          </w:tcPr>
          <w:p>
            <w:pPr>
              <w:jc w:val="center"/>
            </w:pPr>
            <w:r>
              <w:rPr>
                <w:sz w:val="19"/>
              </w:rPr>
              <w:t>ASNFPO</w:t>
            </w:r>
          </w:p>
        </w:tc>
      </w:tr>
      <w:tr>
        <w:tc>
          <w:tcPr>
            <w:tcW w:type="dxa" w:w="2160"/>
          </w:tcPr>
          <w:p>
            <w:pPr>
              <w:jc w:val="center"/>
            </w:pPr>
            <w:r>
              <w:rPr>
                <w:sz w:val="19"/>
              </w:rPr>
              <w:t>Harness Exchange US</w:t>
            </w:r>
          </w:p>
        </w:tc>
        <w:tc>
          <w:tcPr>
            <w:tcW w:type="dxa" w:w="2160"/>
          </w:tcPr>
          <w:p>
            <w:pPr>
              <w:jc w:val="center"/>
            </w:pPr>
            <w:r>
              <w:rPr>
                <w:sz w:val="19"/>
              </w:rPr>
              <w:t>Delaware C-Corp</w:t>
            </w:r>
          </w:p>
        </w:tc>
        <w:tc>
          <w:tcPr>
            <w:tcW w:type="dxa" w:w="2160"/>
          </w:tcPr>
          <w:p>
            <w:pPr>
              <w:jc w:val="center"/>
            </w:pPr>
            <w:r>
              <w:rPr>
                <w:sz w:val="19"/>
              </w:rPr>
              <w:t>For-Profit</w:t>
            </w:r>
          </w:p>
        </w:tc>
        <w:tc>
          <w:tcPr>
            <w:tcW w:type="dxa" w:w="2160"/>
          </w:tcPr>
          <w:p>
            <w:pPr>
              <w:jc w:val="center"/>
            </w:pPr>
            <w:r>
              <w:rPr>
                <w:sz w:val="19"/>
              </w:rPr>
              <w:t>US GAAP</w:t>
            </w:r>
          </w:p>
        </w:tc>
      </w:tr>
      <w:tr>
        <w:tc>
          <w:tcPr>
            <w:tcW w:type="dxa" w:w="2160"/>
          </w:tcPr>
          <w:p>
            <w:pPr>
              <w:jc w:val="center"/>
            </w:pPr>
            <w:r>
              <w:rPr>
                <w:sz w:val="19"/>
              </w:rPr>
              <w:t>Harness Good US Foundation</w:t>
            </w:r>
          </w:p>
        </w:tc>
        <w:tc>
          <w:tcPr>
            <w:tcW w:type="dxa" w:w="2160"/>
          </w:tcPr>
          <w:p>
            <w:pPr>
              <w:jc w:val="center"/>
            </w:pPr>
            <w:r>
              <w:rPr>
                <w:sz w:val="19"/>
              </w:rPr>
              <w:t>Delaware 501(c)(3)</w:t>
            </w:r>
          </w:p>
        </w:tc>
        <w:tc>
          <w:tcPr>
            <w:tcW w:type="dxa" w:w="2160"/>
          </w:tcPr>
          <w:p>
            <w:pPr>
              <w:jc w:val="center"/>
            </w:pPr>
            <w:r>
              <w:rPr>
                <w:sz w:val="19"/>
              </w:rPr>
              <w:t>Not-for-Profit</w:t>
            </w:r>
          </w:p>
        </w:tc>
        <w:tc>
          <w:tcPr>
            <w:tcW w:type="dxa" w:w="2160"/>
          </w:tcPr>
          <w:p>
            <w:pPr>
              <w:jc w:val="center"/>
            </w:pPr>
            <w:r>
              <w:rPr>
                <w:sz w:val="19"/>
              </w:rPr>
              <w:t>ASC 958</w:t>
            </w:r>
          </w:p>
        </w:tc>
      </w:tr>
    </w:tbl>
    <w:p/>
    <w:p>
      <w:pPr>
        <w:pStyle w:val="Heading1"/>
      </w:pPr>
      <w:r>
        <w:t>2. Canadian Traffic Model (With CI)</w:t>
      </w:r>
    </w:p>
    <w:p>
      <w:r>
        <w:t>The CI partnership provides the dominant traffic channel for the Canadian market. CI referral traffic is supplemented by organic search and paid media.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Year</w:t>
            </w:r>
          </w:p>
        </w:tc>
        <w:tc>
          <w:tcPr>
            <w:tcW w:type="dxa" w:w="1728"/>
          </w:tcPr>
          <w:p>
            <w:pPr>
              <w:jc w:val="center"/>
            </w:pPr>
            <w:r>
              <w:rPr>
                <w:b/>
                <w:sz w:val="19"/>
              </w:rPr>
              <w:t>CI Referral</w:t>
            </w:r>
          </w:p>
        </w:tc>
        <w:tc>
          <w:tcPr>
            <w:tcW w:type="dxa" w:w="1728"/>
          </w:tcPr>
          <w:p>
            <w:pPr>
              <w:jc w:val="center"/>
            </w:pPr>
            <w:r>
              <w:rPr>
                <w:b/>
                <w:sz w:val="19"/>
              </w:rPr>
              <w:t>Organic Search</w:t>
            </w:r>
          </w:p>
        </w:tc>
        <w:tc>
          <w:tcPr>
            <w:tcW w:type="dxa" w:w="1728"/>
          </w:tcPr>
          <w:p>
            <w:pPr>
              <w:jc w:val="center"/>
            </w:pPr>
            <w:r>
              <w:rPr>
                <w:b/>
                <w:sz w:val="19"/>
              </w:rPr>
              <w:t>Paid Media</w:t>
            </w:r>
          </w:p>
        </w:tc>
        <w:tc>
          <w:tcPr>
            <w:tcW w:type="dxa" w:w="1728"/>
          </w:tcPr>
          <w:p>
            <w:pPr>
              <w:jc w:val="center"/>
            </w:pPr>
            <w:r>
              <w:rPr>
                <w:b/>
                <w:sz w:val="19"/>
              </w:rPr>
              <w:t>Total Visitors</w:t>
            </w:r>
          </w:p>
        </w:tc>
      </w:tr>
      <w:tr>
        <w:tc>
          <w:tcPr>
            <w:tcW w:type="dxa" w:w="1728"/>
          </w:tcPr>
          <w:p>
            <w:pPr>
              <w:jc w:val="center"/>
            </w:pPr>
            <w:r>
              <w:rPr>
                <w:sz w:val="19"/>
              </w:rPr>
              <w:t>FY2027</w:t>
            </w:r>
          </w:p>
        </w:tc>
        <w:tc>
          <w:tcPr>
            <w:tcW w:type="dxa" w:w="1728"/>
          </w:tcPr>
          <w:p>
            <w:pPr>
              <w:jc w:val="center"/>
            </w:pPr>
            <w:r>
              <w:rPr>
                <w:sz w:val="19"/>
              </w:rPr>
              <w:t>90,000</w:t>
            </w:r>
          </w:p>
        </w:tc>
        <w:tc>
          <w:tcPr>
            <w:tcW w:type="dxa" w:w="1728"/>
          </w:tcPr>
          <w:p>
            <w:pPr>
              <w:jc w:val="center"/>
            </w:pPr>
            <w:r>
              <w:rPr>
                <w:sz w:val="19"/>
              </w:rPr>
              <w:t>22,000</w:t>
            </w:r>
          </w:p>
        </w:tc>
        <w:tc>
          <w:tcPr>
            <w:tcW w:type="dxa" w:w="1728"/>
          </w:tcPr>
          <w:p>
            <w:pPr>
              <w:jc w:val="center"/>
            </w:pPr>
            <w:r>
              <w:rPr>
                <w:sz w:val="19"/>
              </w:rPr>
              <w:t>18,000</w:t>
            </w:r>
          </w:p>
        </w:tc>
        <w:tc>
          <w:tcPr>
            <w:tcW w:type="dxa" w:w="1728"/>
          </w:tcPr>
          <w:p>
            <w:pPr>
              <w:jc w:val="center"/>
            </w:pPr>
            <w:r>
              <w:rPr>
                <w:sz w:val="19"/>
              </w:rPr>
              <w:t>130,000</w:t>
            </w:r>
          </w:p>
        </w:tc>
      </w:tr>
      <w:tr>
        <w:tc>
          <w:tcPr>
            <w:tcW w:type="dxa" w:w="1728"/>
          </w:tcPr>
          <w:p>
            <w:pPr>
              <w:jc w:val="center"/>
            </w:pPr>
            <w:r>
              <w:rPr>
                <w:sz w:val="19"/>
              </w:rPr>
              <w:t>FY2028</w:t>
            </w:r>
          </w:p>
        </w:tc>
        <w:tc>
          <w:tcPr>
            <w:tcW w:type="dxa" w:w="1728"/>
          </w:tcPr>
          <w:p>
            <w:pPr>
              <w:jc w:val="center"/>
            </w:pPr>
            <w:r>
              <w:rPr>
                <w:sz w:val="19"/>
              </w:rPr>
              <w:t>100,000</w:t>
            </w:r>
          </w:p>
        </w:tc>
        <w:tc>
          <w:tcPr>
            <w:tcW w:type="dxa" w:w="1728"/>
          </w:tcPr>
          <w:p>
            <w:pPr>
              <w:jc w:val="center"/>
            </w:pPr>
            <w:r>
              <w:rPr>
                <w:sz w:val="19"/>
              </w:rPr>
              <w:t>40,000</w:t>
            </w:r>
          </w:p>
        </w:tc>
        <w:tc>
          <w:tcPr>
            <w:tcW w:type="dxa" w:w="1728"/>
          </w:tcPr>
          <w:p>
            <w:pPr>
              <w:jc w:val="center"/>
            </w:pPr>
            <w:r>
              <w:rPr>
                <w:sz w:val="19"/>
              </w:rPr>
              <w:t>35,000</w:t>
            </w:r>
          </w:p>
        </w:tc>
        <w:tc>
          <w:tcPr>
            <w:tcW w:type="dxa" w:w="1728"/>
          </w:tcPr>
          <w:p>
            <w:pPr>
              <w:jc w:val="center"/>
            </w:pPr>
            <w:r>
              <w:rPr>
                <w:sz w:val="19"/>
              </w:rPr>
              <w:t>175,000</w:t>
            </w:r>
          </w:p>
        </w:tc>
      </w:tr>
      <w:tr>
        <w:tc>
          <w:tcPr>
            <w:tcW w:type="dxa" w:w="1728"/>
          </w:tcPr>
          <w:p>
            <w:pPr>
              <w:jc w:val="center"/>
            </w:pPr>
            <w:r>
              <w:rPr>
                <w:sz w:val="19"/>
              </w:rPr>
              <w:t>FY2029</w:t>
            </w:r>
          </w:p>
        </w:tc>
        <w:tc>
          <w:tcPr>
            <w:tcW w:type="dxa" w:w="1728"/>
          </w:tcPr>
          <w:p>
            <w:pPr>
              <w:jc w:val="center"/>
            </w:pPr>
            <w:r>
              <w:rPr>
                <w:sz w:val="19"/>
              </w:rPr>
              <w:t>120,000</w:t>
            </w:r>
          </w:p>
        </w:tc>
        <w:tc>
          <w:tcPr>
            <w:tcW w:type="dxa" w:w="1728"/>
          </w:tcPr>
          <w:p>
            <w:pPr>
              <w:jc w:val="center"/>
            </w:pPr>
            <w:r>
              <w:rPr>
                <w:sz w:val="19"/>
              </w:rPr>
              <w:t>50,000</w:t>
            </w:r>
          </w:p>
        </w:tc>
        <w:tc>
          <w:tcPr>
            <w:tcW w:type="dxa" w:w="1728"/>
          </w:tcPr>
          <w:p>
            <w:pPr>
              <w:jc w:val="center"/>
            </w:pPr>
            <w:r>
              <w:rPr>
                <w:sz w:val="19"/>
              </w:rPr>
              <w:t>40,000</w:t>
            </w:r>
          </w:p>
        </w:tc>
        <w:tc>
          <w:tcPr>
            <w:tcW w:type="dxa" w:w="1728"/>
          </w:tcPr>
          <w:p>
            <w:pPr>
              <w:jc w:val="center"/>
            </w:pPr>
            <w:r>
              <w:rPr>
                <w:sz w:val="19"/>
              </w:rPr>
              <w:t>210,000</w:t>
            </w:r>
          </w:p>
        </w:tc>
      </w:tr>
      <w:tr>
        <w:tc>
          <w:tcPr>
            <w:tcW w:type="dxa" w:w="1728"/>
          </w:tcPr>
          <w:p>
            <w:pPr>
              <w:jc w:val="center"/>
            </w:pPr>
            <w:r>
              <w:rPr>
                <w:sz w:val="19"/>
              </w:rPr>
              <w:t>FY2030</w:t>
            </w:r>
          </w:p>
        </w:tc>
        <w:tc>
          <w:tcPr>
            <w:tcW w:type="dxa" w:w="1728"/>
          </w:tcPr>
          <w:p>
            <w:pPr>
              <w:jc w:val="center"/>
            </w:pPr>
            <w:r>
              <w:rPr>
                <w:sz w:val="19"/>
              </w:rPr>
              <w:t>150,000</w:t>
            </w:r>
          </w:p>
        </w:tc>
        <w:tc>
          <w:tcPr>
            <w:tcW w:type="dxa" w:w="1728"/>
          </w:tcPr>
          <w:p>
            <w:pPr>
              <w:jc w:val="center"/>
            </w:pPr>
            <w:r>
              <w:rPr>
                <w:sz w:val="19"/>
              </w:rPr>
              <w:t>60,000</w:t>
            </w:r>
          </w:p>
        </w:tc>
        <w:tc>
          <w:tcPr>
            <w:tcW w:type="dxa" w:w="1728"/>
          </w:tcPr>
          <w:p>
            <w:pPr>
              <w:jc w:val="center"/>
            </w:pPr>
            <w:r>
              <w:rPr>
                <w:sz w:val="19"/>
              </w:rPr>
              <w:t>50,000</w:t>
            </w:r>
          </w:p>
        </w:tc>
        <w:tc>
          <w:tcPr>
            <w:tcW w:type="dxa" w:w="1728"/>
          </w:tcPr>
          <w:p>
            <w:pPr>
              <w:jc w:val="center"/>
            </w:pPr>
            <w:r>
              <w:rPr>
                <w:sz w:val="19"/>
              </w:rPr>
              <w:t>260,000</w:t>
            </w:r>
          </w:p>
        </w:tc>
      </w:tr>
      <w:tr>
        <w:tc>
          <w:tcPr>
            <w:tcW w:type="dxa" w:w="1728"/>
          </w:tcPr>
          <w:p>
            <w:pPr>
              <w:jc w:val="center"/>
            </w:pPr>
            <w:r>
              <w:rPr>
                <w:sz w:val="19"/>
              </w:rPr>
              <w:t>FY2031</w:t>
            </w:r>
          </w:p>
        </w:tc>
        <w:tc>
          <w:tcPr>
            <w:tcW w:type="dxa" w:w="1728"/>
          </w:tcPr>
          <w:p>
            <w:pPr>
              <w:jc w:val="center"/>
            </w:pPr>
            <w:r>
              <w:rPr>
                <w:sz w:val="19"/>
              </w:rPr>
              <w:t>180,000</w:t>
            </w:r>
          </w:p>
        </w:tc>
        <w:tc>
          <w:tcPr>
            <w:tcW w:type="dxa" w:w="1728"/>
          </w:tcPr>
          <w:p>
            <w:pPr>
              <w:jc w:val="center"/>
            </w:pPr>
            <w:r>
              <w:rPr>
                <w:sz w:val="19"/>
              </w:rPr>
              <w:t>75,000</w:t>
            </w:r>
          </w:p>
        </w:tc>
        <w:tc>
          <w:tcPr>
            <w:tcW w:type="dxa" w:w="1728"/>
          </w:tcPr>
          <w:p>
            <w:pPr>
              <w:jc w:val="center"/>
            </w:pPr>
            <w:r>
              <w:rPr>
                <w:sz w:val="19"/>
              </w:rPr>
              <w:t>65,000</w:t>
            </w:r>
          </w:p>
        </w:tc>
        <w:tc>
          <w:tcPr>
            <w:tcW w:type="dxa" w:w="1728"/>
          </w:tcPr>
          <w:p>
            <w:pPr>
              <w:jc w:val="center"/>
            </w:pPr>
            <w:r>
              <w:rPr>
                <w:sz w:val="19"/>
              </w:rPr>
              <w:t>320,000</w:t>
            </w:r>
          </w:p>
        </w:tc>
      </w:tr>
    </w:tbl>
    <w:p/>
    <w:p>
      <w:r>
        <w:t>CI referral traffic represents 69% of Year 1 visitors at zero incremental cost — the primary value proposition of the partnership. Organic search starts at 22K (SEO takes 6–12 months for meaningful results) and grows to 75K by Year 5. Paid media scales from Year 3 onward to compensate for CI's constrained ceiling.</w:t>
      </w:r>
    </w:p>
    <w:p>
      <w:pPr>
        <w:pStyle w:val="Heading1"/>
      </w:pPr>
      <w:r>
        <w:t>3. CI Traffic Analysis &amp; Projections</w:t>
      </w:r>
    </w:p>
    <w:p>
      <w:pPr>
        <w:pStyle w:val="Heading2"/>
      </w:pPr>
      <w:r>
        <w:t>Historical CI Traffic (Server-Side + GA4)</w:t>
      </w:r>
    </w:p>
    <w:p>
      <w:r>
        <w:t>CI's traffic has been declining since its 2022 peak of 594,769 visits (533K unique visitors). The decline accelerated through 2025.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Year</w:t>
            </w:r>
          </w:p>
        </w:tc>
        <w:tc>
          <w:tcPr>
            <w:tcW w:type="dxa" w:w="2160"/>
          </w:tcPr>
          <w:p>
            <w:pPr>
              <w:jc w:val="center"/>
            </w:pPr>
            <w:r>
              <w:rPr>
                <w:b/>
                <w:sz w:val="19"/>
              </w:rPr>
              <w:t>CI Visits</w:t>
            </w:r>
          </w:p>
        </w:tc>
        <w:tc>
          <w:tcPr>
            <w:tcW w:type="dxa" w:w="2160"/>
          </w:tcPr>
          <w:p>
            <w:pPr>
              <w:jc w:val="center"/>
            </w:pPr>
            <w:r>
              <w:rPr>
                <w:b/>
                <w:sz w:val="19"/>
              </w:rPr>
              <w:t>CI Unique Visitors</w:t>
            </w:r>
          </w:p>
        </w:tc>
        <w:tc>
          <w:tcPr>
            <w:tcW w:type="dxa" w:w="2160"/>
          </w:tcPr>
          <w:p>
            <w:pPr>
              <w:jc w:val="center"/>
            </w:pPr>
            <w:r>
              <w:rPr>
                <w:b/>
                <w:sz w:val="19"/>
              </w:rPr>
              <w:t>YoY Change (Visits)</w:t>
            </w:r>
          </w:p>
        </w:tc>
      </w:tr>
      <w:tr>
        <w:tc>
          <w:tcPr>
            <w:tcW w:type="dxa" w:w="2160"/>
          </w:tcPr>
          <w:p>
            <w:pPr>
              <w:jc w:val="center"/>
            </w:pPr>
            <w:r>
              <w:rPr>
                <w:sz w:val="19"/>
              </w:rPr>
              <w:t>2020</w:t>
            </w:r>
          </w:p>
        </w:tc>
        <w:tc>
          <w:tcPr>
            <w:tcW w:type="dxa" w:w="2160"/>
          </w:tcPr>
          <w:p>
            <w:pPr>
              <w:jc w:val="center"/>
            </w:pPr>
            <w:r>
              <w:rPr>
                <w:sz w:val="19"/>
              </w:rPr>
              <w:t>570,611</w:t>
            </w:r>
          </w:p>
        </w:tc>
        <w:tc>
          <w:tcPr>
            <w:tcW w:type="dxa" w:w="2160"/>
          </w:tcPr>
          <w:p>
            <w:pPr>
              <w:jc w:val="center"/>
            </w:pPr>
            <w:r>
              <w:rPr>
                <w:sz w:val="19"/>
              </w:rPr>
              <w:t>516,352</w:t>
            </w:r>
          </w:p>
        </w:tc>
        <w:tc>
          <w:tcPr>
            <w:tcW w:type="dxa" w:w="2160"/>
          </w:tcPr>
          <w:p>
            <w:pPr>
              <w:jc w:val="center"/>
            </w:pPr>
            <w:r>
              <w:rPr>
                <w:sz w:val="19"/>
              </w:rPr>
              <w:t>+10.8%</w:t>
            </w:r>
          </w:p>
        </w:tc>
      </w:tr>
      <w:tr>
        <w:tc>
          <w:tcPr>
            <w:tcW w:type="dxa" w:w="2160"/>
          </w:tcPr>
          <w:p>
            <w:pPr>
              <w:jc w:val="center"/>
            </w:pPr>
            <w:r>
              <w:rPr>
                <w:sz w:val="19"/>
              </w:rPr>
              <w:t>2021</w:t>
            </w:r>
          </w:p>
        </w:tc>
        <w:tc>
          <w:tcPr>
            <w:tcW w:type="dxa" w:w="2160"/>
          </w:tcPr>
          <w:p>
            <w:pPr>
              <w:jc w:val="center"/>
            </w:pPr>
            <w:r>
              <w:rPr>
                <w:sz w:val="19"/>
              </w:rPr>
              <w:t>526,391</w:t>
            </w:r>
          </w:p>
        </w:tc>
        <w:tc>
          <w:tcPr>
            <w:tcW w:type="dxa" w:w="2160"/>
          </w:tcPr>
          <w:p>
            <w:pPr>
              <w:jc w:val="center"/>
            </w:pPr>
            <w:r>
              <w:rPr>
                <w:sz w:val="19"/>
              </w:rPr>
              <w:t>478,648</w:t>
            </w:r>
          </w:p>
        </w:tc>
        <w:tc>
          <w:tcPr>
            <w:tcW w:type="dxa" w:w="2160"/>
          </w:tcPr>
          <w:p>
            <w:pPr>
              <w:jc w:val="center"/>
            </w:pPr>
            <w:r>
              <w:rPr>
                <w:sz w:val="19"/>
              </w:rPr>
              <w:t>-7.7%</w:t>
            </w:r>
          </w:p>
        </w:tc>
      </w:tr>
      <w:tr>
        <w:tc>
          <w:tcPr>
            <w:tcW w:type="dxa" w:w="2160"/>
          </w:tcPr>
          <w:p>
            <w:pPr>
              <w:jc w:val="center"/>
            </w:pPr>
            <w:r>
              <w:rPr>
                <w:sz w:val="19"/>
              </w:rPr>
              <w:t>2022</w:t>
            </w:r>
          </w:p>
        </w:tc>
        <w:tc>
          <w:tcPr>
            <w:tcW w:type="dxa" w:w="2160"/>
          </w:tcPr>
          <w:p>
            <w:pPr>
              <w:jc w:val="center"/>
            </w:pPr>
            <w:r>
              <w:rPr>
                <w:sz w:val="19"/>
              </w:rPr>
              <w:t>594,769</w:t>
            </w:r>
          </w:p>
        </w:tc>
        <w:tc>
          <w:tcPr>
            <w:tcW w:type="dxa" w:w="2160"/>
          </w:tcPr>
          <w:p>
            <w:pPr>
              <w:jc w:val="center"/>
            </w:pPr>
            <w:r>
              <w:rPr>
                <w:sz w:val="19"/>
              </w:rPr>
              <w:t>533,056</w:t>
            </w:r>
          </w:p>
        </w:tc>
        <w:tc>
          <w:tcPr>
            <w:tcW w:type="dxa" w:w="2160"/>
          </w:tcPr>
          <w:p>
            <w:pPr>
              <w:jc w:val="center"/>
            </w:pPr>
            <w:r>
              <w:rPr>
                <w:sz w:val="19"/>
              </w:rPr>
              <w:t>+13.0% (Ukraine crisis peak)</w:t>
            </w:r>
          </w:p>
        </w:tc>
      </w:tr>
      <w:tr>
        <w:tc>
          <w:tcPr>
            <w:tcW w:type="dxa" w:w="2160"/>
          </w:tcPr>
          <w:p>
            <w:pPr>
              <w:jc w:val="center"/>
            </w:pPr>
            <w:r>
              <w:rPr>
                <w:sz w:val="19"/>
              </w:rPr>
              <w:t>2023</w:t>
            </w:r>
          </w:p>
        </w:tc>
        <w:tc>
          <w:tcPr>
            <w:tcW w:type="dxa" w:w="2160"/>
          </w:tcPr>
          <w:p>
            <w:pPr>
              <w:jc w:val="center"/>
            </w:pPr>
            <w:r>
              <w:rPr>
                <w:sz w:val="19"/>
              </w:rPr>
              <w:t>465,210</w:t>
            </w:r>
          </w:p>
        </w:tc>
        <w:tc>
          <w:tcPr>
            <w:tcW w:type="dxa" w:w="2160"/>
          </w:tcPr>
          <w:p>
            <w:pPr>
              <w:jc w:val="center"/>
            </w:pPr>
            <w:r>
              <w:rPr>
                <w:sz w:val="19"/>
              </w:rPr>
              <w:t>400,097</w:t>
            </w:r>
          </w:p>
        </w:tc>
        <w:tc>
          <w:tcPr>
            <w:tcW w:type="dxa" w:w="2160"/>
          </w:tcPr>
          <w:p>
            <w:pPr>
              <w:jc w:val="center"/>
            </w:pPr>
            <w:r>
              <w:rPr>
                <w:sz w:val="19"/>
              </w:rPr>
              <w:t>-21.8% (GA4 migration + structural)</w:t>
            </w:r>
          </w:p>
        </w:tc>
      </w:tr>
      <w:tr>
        <w:tc>
          <w:tcPr>
            <w:tcW w:type="dxa" w:w="2160"/>
          </w:tcPr>
          <w:p>
            <w:pPr>
              <w:jc w:val="center"/>
            </w:pPr>
            <w:r>
              <w:rPr>
                <w:sz w:val="19"/>
              </w:rPr>
              <w:t>2024</w:t>
            </w:r>
          </w:p>
        </w:tc>
        <w:tc>
          <w:tcPr>
            <w:tcW w:type="dxa" w:w="2160"/>
          </w:tcPr>
          <w:p>
            <w:pPr>
              <w:jc w:val="center"/>
            </w:pPr>
            <w:r>
              <w:rPr>
                <w:sz w:val="19"/>
              </w:rPr>
              <w:t>447,732</w:t>
            </w:r>
          </w:p>
        </w:tc>
        <w:tc>
          <w:tcPr>
            <w:tcW w:type="dxa" w:w="2160"/>
          </w:tcPr>
          <w:p>
            <w:pPr>
              <w:jc w:val="center"/>
            </w:pPr>
            <w:r>
              <w:rPr>
                <w:sz w:val="19"/>
              </w:rPr>
              <w:t>363,364</w:t>
            </w:r>
          </w:p>
        </w:tc>
        <w:tc>
          <w:tcPr>
            <w:tcW w:type="dxa" w:w="2160"/>
          </w:tcPr>
          <w:p>
            <w:pPr>
              <w:jc w:val="center"/>
            </w:pPr>
            <w:r>
              <w:rPr>
                <w:sz w:val="19"/>
              </w:rPr>
              <w:t>-3.8%</w:t>
            </w:r>
          </w:p>
        </w:tc>
      </w:tr>
      <w:tr>
        <w:tc>
          <w:tcPr>
            <w:tcW w:type="dxa" w:w="2160"/>
          </w:tcPr>
          <w:p>
            <w:pPr>
              <w:jc w:val="center"/>
            </w:pPr>
            <w:r>
              <w:rPr>
                <w:sz w:val="19"/>
              </w:rPr>
              <w:t>2025*</w:t>
            </w:r>
          </w:p>
        </w:tc>
        <w:tc>
          <w:tcPr>
            <w:tcW w:type="dxa" w:w="2160"/>
          </w:tcPr>
          <w:p>
            <w:pPr>
              <w:jc w:val="center"/>
            </w:pPr>
            <w:r>
              <w:rPr>
                <w:sz w:val="19"/>
              </w:rPr>
              <w:t>387,290</w:t>
            </w:r>
          </w:p>
        </w:tc>
        <w:tc>
          <w:tcPr>
            <w:tcW w:type="dxa" w:w="2160"/>
          </w:tcPr>
          <w:p>
            <w:pPr>
              <w:jc w:val="center"/>
            </w:pPr>
            <w:r>
              <w:rPr>
                <w:sz w:val="19"/>
              </w:rPr>
              <w:t>312,760</w:t>
            </w:r>
          </w:p>
        </w:tc>
        <w:tc>
          <w:tcPr>
            <w:tcW w:type="dxa" w:w="2160"/>
          </w:tcPr>
          <w:p>
            <w:pPr>
              <w:jc w:val="center"/>
            </w:pPr>
            <w:r>
              <w:rPr>
                <w:sz w:val="19"/>
              </w:rPr>
              <w:t>-13.5% (annualized ~422K/~341K)</w:t>
            </w:r>
          </w:p>
        </w:tc>
      </w:tr>
    </w:tbl>
    <w:p/>
    <w:p>
      <w:r>
        <w:t xml:space="preserve">Source: </w:t>
      </w:r>
      <w:r>
        <w:rPr>
          <w:i/>
        </w:rPr>
        <w:t>CI Webstats daily log (server-side, 2009–2025) and GA4 (2023–2025). CI Web Traffic Analysis, prepared April 2026 (internal document).</w:t>
      </w:r>
    </w:p>
    <w:p>
      <w:pPr>
        <w:pStyle w:val="Heading2"/>
      </w:pPr>
      <w:r>
        <w:t>Decline Drivers</w:t>
      </w:r>
    </w:p>
    <w:p>
      <w:r>
        <w:t>Increased competition from AI-generated charity information (ChatGPT drove 3,036+ referral pageviews in 2025), Google SERP features reducing click-through rates, and aging Joomla CMS hurting SEO performance. The Harness platform migration (modern CMS, mobile-first, structured data) is expected to stabilize and partially reverse this trend.</w:t>
      </w:r>
    </w:p>
    <w:p>
      <w:pPr>
        <w:pStyle w:val="Heading2"/>
      </w:pPr>
      <w:r>
        <w:t>CI Unique Visitor Projections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9"/>
              </w:rPr>
              <w:t>Year</w:t>
            </w:r>
          </w:p>
        </w:tc>
        <w:tc>
          <w:tcPr>
            <w:tcW w:type="dxa" w:w="2880"/>
          </w:tcPr>
          <w:p>
            <w:pPr>
              <w:jc w:val="center"/>
            </w:pPr>
            <w:r>
              <w:rPr>
                <w:b/>
                <w:sz w:val="19"/>
              </w:rPr>
              <w:t>CI Unique Visitors</w:t>
            </w:r>
          </w:p>
        </w:tc>
        <w:tc>
          <w:tcPr>
            <w:tcW w:type="dxa" w:w="2880"/>
          </w:tcPr>
          <w:p>
            <w:pPr>
              <w:jc w:val="center"/>
            </w:pPr>
            <w:r>
              <w:rPr>
                <w:b/>
                <w:sz w:val="19"/>
              </w:rPr>
              <w:t>Trajectory Assumption</w:t>
            </w:r>
          </w:p>
        </w:tc>
      </w:tr>
      <w:tr>
        <w:tc>
          <w:tcPr>
            <w:tcW w:type="dxa" w:w="2880"/>
          </w:tcPr>
          <w:p>
            <w:pPr>
              <w:jc w:val="center"/>
            </w:pPr>
            <w:r>
              <w:rPr>
                <w:sz w:val="19"/>
              </w:rPr>
              <w:t>FY2027</w:t>
            </w:r>
          </w:p>
        </w:tc>
        <w:tc>
          <w:tcPr>
            <w:tcW w:type="dxa" w:w="2880"/>
          </w:tcPr>
          <w:p>
            <w:pPr>
              <w:jc w:val="center"/>
            </w:pPr>
            <w:r>
              <w:rPr>
                <w:sz w:val="19"/>
              </w:rPr>
              <w:t>305,000</w:t>
            </w:r>
          </w:p>
        </w:tc>
        <w:tc>
          <w:tcPr>
            <w:tcW w:type="dxa" w:w="2880"/>
          </w:tcPr>
          <w:p>
            <w:pPr>
              <w:jc w:val="center"/>
            </w:pPr>
            <w:r>
              <w:rPr>
                <w:sz w:val="19"/>
              </w:rPr>
              <w:t>Continued decline slowing; migration in progress</w:t>
            </w:r>
          </w:p>
        </w:tc>
      </w:tr>
      <w:tr>
        <w:tc>
          <w:tcPr>
            <w:tcW w:type="dxa" w:w="2880"/>
          </w:tcPr>
          <w:p>
            <w:pPr>
              <w:jc w:val="center"/>
            </w:pPr>
            <w:r>
              <w:rPr>
                <w:sz w:val="19"/>
              </w:rPr>
              <w:t>FY2028</w:t>
            </w:r>
          </w:p>
        </w:tc>
        <w:tc>
          <w:tcPr>
            <w:tcW w:type="dxa" w:w="2880"/>
          </w:tcPr>
          <w:p>
            <w:pPr>
              <w:jc w:val="center"/>
            </w:pPr>
            <w:r>
              <w:rPr>
                <w:sz w:val="19"/>
              </w:rPr>
              <w:t>295,000</w:t>
            </w:r>
          </w:p>
        </w:tc>
        <w:tc>
          <w:tcPr>
            <w:tcW w:type="dxa" w:w="2880"/>
          </w:tcPr>
          <w:p>
            <w:pPr>
              <w:jc w:val="center"/>
            </w:pPr>
            <w:r>
              <w:rPr>
                <w:sz w:val="19"/>
              </w:rPr>
              <w:t>Trough year; migration complete, SEO recovery begins</w:t>
            </w:r>
          </w:p>
        </w:tc>
      </w:tr>
      <w:tr>
        <w:tc>
          <w:tcPr>
            <w:tcW w:type="dxa" w:w="2880"/>
          </w:tcPr>
          <w:p>
            <w:pPr>
              <w:jc w:val="center"/>
            </w:pPr>
            <w:r>
              <w:rPr>
                <w:sz w:val="19"/>
              </w:rPr>
              <w:t>FY2029</w:t>
            </w:r>
          </w:p>
        </w:tc>
        <w:tc>
          <w:tcPr>
            <w:tcW w:type="dxa" w:w="2880"/>
          </w:tcPr>
          <w:p>
            <w:pPr>
              <w:jc w:val="center"/>
            </w:pPr>
            <w:r>
              <w:rPr>
                <w:sz w:val="19"/>
              </w:rPr>
              <w:t>315,000</w:t>
            </w:r>
          </w:p>
        </w:tc>
        <w:tc>
          <w:tcPr>
            <w:tcW w:type="dxa" w:w="2880"/>
          </w:tcPr>
          <w:p>
            <w:pPr>
              <w:jc w:val="center"/>
            </w:pPr>
            <w:r>
              <w:rPr>
                <w:sz w:val="19"/>
              </w:rPr>
              <w:t>Recovery: modern platform, improved mobile, structured data</w:t>
            </w:r>
          </w:p>
        </w:tc>
      </w:tr>
      <w:tr>
        <w:tc>
          <w:tcPr>
            <w:tcW w:type="dxa" w:w="2880"/>
          </w:tcPr>
          <w:p>
            <w:pPr>
              <w:jc w:val="center"/>
            </w:pPr>
            <w:r>
              <w:rPr>
                <w:sz w:val="19"/>
              </w:rPr>
              <w:t>FY2030</w:t>
            </w:r>
          </w:p>
        </w:tc>
        <w:tc>
          <w:tcPr>
            <w:tcW w:type="dxa" w:w="2880"/>
          </w:tcPr>
          <w:p>
            <w:pPr>
              <w:jc w:val="center"/>
            </w:pPr>
            <w:r>
              <w:rPr>
                <w:sz w:val="19"/>
              </w:rPr>
              <w:t>340,000</w:t>
            </w:r>
          </w:p>
        </w:tc>
        <w:tc>
          <w:tcPr>
            <w:tcW w:type="dxa" w:w="2880"/>
          </w:tcPr>
          <w:p>
            <w:pPr>
              <w:jc w:val="center"/>
            </w:pPr>
            <w:r>
              <w:rPr>
                <w:sz w:val="19"/>
              </w:rPr>
              <w:t>Growth: AI readiness, French content, enhanced E-E-A-T</w:t>
            </w:r>
          </w:p>
        </w:tc>
      </w:tr>
      <w:tr>
        <w:tc>
          <w:tcPr>
            <w:tcW w:type="dxa" w:w="2880"/>
          </w:tcPr>
          <w:p>
            <w:pPr>
              <w:jc w:val="center"/>
            </w:pPr>
            <w:r>
              <w:rPr>
                <w:sz w:val="19"/>
              </w:rPr>
              <w:t>FY2031</w:t>
            </w:r>
          </w:p>
        </w:tc>
        <w:tc>
          <w:tcPr>
            <w:tcW w:type="dxa" w:w="2880"/>
          </w:tcPr>
          <w:p>
            <w:pPr>
              <w:jc w:val="center"/>
            </w:pPr>
            <w:r>
              <w:rPr>
                <w:sz w:val="19"/>
              </w:rPr>
              <w:t>365,000</w:t>
            </w:r>
          </w:p>
        </w:tc>
        <w:tc>
          <w:tcPr>
            <w:tcW w:type="dxa" w:w="2880"/>
          </w:tcPr>
          <w:p>
            <w:pPr>
              <w:jc w:val="center"/>
            </w:pPr>
            <w:r>
              <w:rPr>
                <w:sz w:val="19"/>
              </w:rPr>
              <w:t>Sustained growth; unlikely to return to 2022 peak (533K)</w:t>
            </w:r>
          </w:p>
        </w:tc>
      </w:tr>
    </w:tbl>
    <w:p>
      <w:pPr>
        <w:pStyle w:val="Heading2"/>
      </w:pPr>
      <w:r>
        <w:t>Referral Capture Rate</w:t>
      </w:r>
    </w:p>
    <w:p>
      <w:r>
        <w:t>The capture rate is the percentage of CI unique visitors who click through to Give. Year 1 starts at 30% (simple cross-links, new/unfamiliar product) and grows to 49% by Year 5 as integration deepens. Capture above 50% is unlikely — CI's own data shows only 77% of pageviews are charity-related, and not all visitors have giving intent.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Year</w:t>
            </w:r>
          </w:p>
        </w:tc>
        <w:tc>
          <w:tcPr>
            <w:tcW w:type="dxa" w:w="1728"/>
          </w:tcPr>
          <w:p>
            <w:pPr>
              <w:jc w:val="center"/>
            </w:pPr>
            <w:r>
              <w:rPr>
                <w:b/>
                <w:sz w:val="19"/>
              </w:rPr>
              <w:t>CI Unique Visitors</w:t>
            </w:r>
          </w:p>
        </w:tc>
        <w:tc>
          <w:tcPr>
            <w:tcW w:type="dxa" w:w="1728"/>
          </w:tcPr>
          <w:p>
            <w:pPr>
              <w:jc w:val="center"/>
            </w:pPr>
            <w:r>
              <w:rPr>
                <w:b/>
                <w:sz w:val="19"/>
              </w:rPr>
              <w:t>Capture Rate</w:t>
            </w:r>
          </w:p>
        </w:tc>
        <w:tc>
          <w:tcPr>
            <w:tcW w:type="dxa" w:w="1728"/>
          </w:tcPr>
          <w:p>
            <w:pPr>
              <w:jc w:val="center"/>
            </w:pPr>
            <w:r>
              <w:rPr>
                <w:b/>
                <w:sz w:val="19"/>
              </w:rPr>
              <w:t>CI Referral</w:t>
            </w:r>
          </w:p>
        </w:tc>
        <w:tc>
          <w:tcPr>
            <w:tcW w:type="dxa" w:w="1728"/>
          </w:tcPr>
          <w:p>
            <w:pPr>
              <w:jc w:val="center"/>
            </w:pPr>
            <w:r>
              <w:rPr>
                <w:b/>
                <w:sz w:val="19"/>
              </w:rPr>
              <w:t>Integration Level</w:t>
            </w:r>
          </w:p>
        </w:tc>
      </w:tr>
      <w:tr>
        <w:tc>
          <w:tcPr>
            <w:tcW w:type="dxa" w:w="1728"/>
          </w:tcPr>
          <w:p>
            <w:pPr>
              <w:jc w:val="center"/>
            </w:pPr>
            <w:r>
              <w:rPr>
                <w:sz w:val="19"/>
              </w:rPr>
              <w:t>FY2027</w:t>
            </w:r>
          </w:p>
        </w:tc>
        <w:tc>
          <w:tcPr>
            <w:tcW w:type="dxa" w:w="1728"/>
          </w:tcPr>
          <w:p>
            <w:pPr>
              <w:jc w:val="center"/>
            </w:pPr>
            <w:r>
              <w:rPr>
                <w:sz w:val="19"/>
              </w:rPr>
              <w:t>305,000</w:t>
            </w:r>
          </w:p>
        </w:tc>
        <w:tc>
          <w:tcPr>
            <w:tcW w:type="dxa" w:w="1728"/>
          </w:tcPr>
          <w:p>
            <w:pPr>
              <w:jc w:val="center"/>
            </w:pPr>
            <w:r>
              <w:rPr>
                <w:sz w:val="19"/>
              </w:rPr>
              <w:t>30%</w:t>
            </w:r>
          </w:p>
        </w:tc>
        <w:tc>
          <w:tcPr>
            <w:tcW w:type="dxa" w:w="1728"/>
          </w:tcPr>
          <w:p>
            <w:pPr>
              <w:jc w:val="center"/>
            </w:pPr>
            <w:r>
              <w:rPr>
                <w:sz w:val="19"/>
              </w:rPr>
              <w:t>90,000</w:t>
            </w:r>
          </w:p>
        </w:tc>
        <w:tc>
          <w:tcPr>
            <w:tcW w:type="dxa" w:w="1728"/>
          </w:tcPr>
          <w:p>
            <w:pPr>
              <w:jc w:val="center"/>
            </w:pPr>
            <w:r>
              <w:rPr>
                <w:sz w:val="19"/>
              </w:rPr>
              <w:t>Cross-links on charity profile pages</w:t>
            </w:r>
          </w:p>
        </w:tc>
      </w:tr>
      <w:tr>
        <w:tc>
          <w:tcPr>
            <w:tcW w:type="dxa" w:w="1728"/>
          </w:tcPr>
          <w:p>
            <w:pPr>
              <w:jc w:val="center"/>
            </w:pPr>
            <w:r>
              <w:rPr>
                <w:sz w:val="19"/>
              </w:rPr>
              <w:t>FY2028</w:t>
            </w:r>
          </w:p>
        </w:tc>
        <w:tc>
          <w:tcPr>
            <w:tcW w:type="dxa" w:w="1728"/>
          </w:tcPr>
          <w:p>
            <w:pPr>
              <w:jc w:val="center"/>
            </w:pPr>
            <w:r>
              <w:rPr>
                <w:sz w:val="19"/>
              </w:rPr>
              <w:t>295,000</w:t>
            </w:r>
          </w:p>
        </w:tc>
        <w:tc>
          <w:tcPr>
            <w:tcW w:type="dxa" w:w="1728"/>
          </w:tcPr>
          <w:p>
            <w:pPr>
              <w:jc w:val="center"/>
            </w:pPr>
            <w:r>
              <w:rPr>
                <w:sz w:val="19"/>
              </w:rPr>
              <w:t>34%</w:t>
            </w:r>
          </w:p>
        </w:tc>
        <w:tc>
          <w:tcPr>
            <w:tcW w:type="dxa" w:w="1728"/>
          </w:tcPr>
          <w:p>
            <w:pPr>
              <w:jc w:val="center"/>
            </w:pPr>
            <w:r>
              <w:rPr>
                <w:sz w:val="19"/>
              </w:rPr>
              <w:t>100,000</w:t>
            </w:r>
          </w:p>
        </w:tc>
        <w:tc>
          <w:tcPr>
            <w:tcW w:type="dxa" w:w="1728"/>
          </w:tcPr>
          <w:p>
            <w:pPr>
              <w:jc w:val="center"/>
            </w:pPr>
            <w:r>
              <w:rPr>
                <w:sz w:val="19"/>
              </w:rPr>
              <w:t>Dedicated Give section in search results</w:t>
            </w:r>
          </w:p>
        </w:tc>
      </w:tr>
      <w:tr>
        <w:tc>
          <w:tcPr>
            <w:tcW w:type="dxa" w:w="1728"/>
          </w:tcPr>
          <w:p>
            <w:pPr>
              <w:jc w:val="center"/>
            </w:pPr>
            <w:r>
              <w:rPr>
                <w:sz w:val="19"/>
              </w:rPr>
              <w:t>FY2029</w:t>
            </w:r>
          </w:p>
        </w:tc>
        <w:tc>
          <w:tcPr>
            <w:tcW w:type="dxa" w:w="1728"/>
          </w:tcPr>
          <w:p>
            <w:pPr>
              <w:jc w:val="center"/>
            </w:pPr>
            <w:r>
              <w:rPr>
                <w:sz w:val="19"/>
              </w:rPr>
              <w:t>315,000</w:t>
            </w:r>
          </w:p>
        </w:tc>
        <w:tc>
          <w:tcPr>
            <w:tcW w:type="dxa" w:w="1728"/>
          </w:tcPr>
          <w:p>
            <w:pPr>
              <w:jc w:val="center"/>
            </w:pPr>
            <w:r>
              <w:rPr>
                <w:sz w:val="19"/>
              </w:rPr>
              <w:t>38%</w:t>
            </w:r>
          </w:p>
        </w:tc>
        <w:tc>
          <w:tcPr>
            <w:tcW w:type="dxa" w:w="1728"/>
          </w:tcPr>
          <w:p>
            <w:pPr>
              <w:jc w:val="center"/>
            </w:pPr>
            <w:r>
              <w:rPr>
                <w:sz w:val="19"/>
              </w:rPr>
              <w:t>120,000</w:t>
            </w:r>
          </w:p>
        </w:tc>
        <w:tc>
          <w:tcPr>
            <w:tcW w:type="dxa" w:w="1728"/>
          </w:tcPr>
          <w:p>
            <w:pPr>
              <w:jc w:val="center"/>
            </w:pPr>
            <w:r>
              <w:rPr>
                <w:sz w:val="19"/>
              </w:rPr>
              <w:t>Embedded donation widgets on CI pages</w:t>
            </w:r>
          </w:p>
        </w:tc>
      </w:tr>
      <w:tr>
        <w:tc>
          <w:tcPr>
            <w:tcW w:type="dxa" w:w="1728"/>
          </w:tcPr>
          <w:p>
            <w:pPr>
              <w:jc w:val="center"/>
            </w:pPr>
            <w:r>
              <w:rPr>
                <w:sz w:val="19"/>
              </w:rPr>
              <w:t>FY2030</w:t>
            </w:r>
          </w:p>
        </w:tc>
        <w:tc>
          <w:tcPr>
            <w:tcW w:type="dxa" w:w="1728"/>
          </w:tcPr>
          <w:p>
            <w:pPr>
              <w:jc w:val="center"/>
            </w:pPr>
            <w:r>
              <w:rPr>
                <w:sz w:val="19"/>
              </w:rPr>
              <w:t>340,000</w:t>
            </w:r>
          </w:p>
        </w:tc>
        <w:tc>
          <w:tcPr>
            <w:tcW w:type="dxa" w:w="1728"/>
          </w:tcPr>
          <w:p>
            <w:pPr>
              <w:jc w:val="center"/>
            </w:pPr>
            <w:r>
              <w:rPr>
                <w:sz w:val="19"/>
              </w:rPr>
              <w:t>44%</w:t>
            </w:r>
          </w:p>
        </w:tc>
        <w:tc>
          <w:tcPr>
            <w:tcW w:type="dxa" w:w="1728"/>
          </w:tcPr>
          <w:p>
            <w:pPr>
              <w:jc w:val="center"/>
            </w:pPr>
            <w:r>
              <w:rPr>
                <w:sz w:val="19"/>
              </w:rPr>
              <w:t>150,000</w:t>
            </w:r>
          </w:p>
        </w:tc>
        <w:tc>
          <w:tcPr>
            <w:tcW w:type="dxa" w:w="1728"/>
          </w:tcPr>
          <w:p>
            <w:pPr>
              <w:jc w:val="center"/>
            </w:pPr>
            <w:r>
              <w:rPr>
                <w:sz w:val="19"/>
              </w:rPr>
              <w:t>Co-branded giving flows, email cross-promo</w:t>
            </w:r>
          </w:p>
        </w:tc>
      </w:tr>
      <w:tr>
        <w:tc>
          <w:tcPr>
            <w:tcW w:type="dxa" w:w="1728"/>
          </w:tcPr>
          <w:p>
            <w:pPr>
              <w:jc w:val="center"/>
            </w:pPr>
            <w:r>
              <w:rPr>
                <w:sz w:val="19"/>
              </w:rPr>
              <w:t>FY2031</w:t>
            </w:r>
          </w:p>
        </w:tc>
        <w:tc>
          <w:tcPr>
            <w:tcW w:type="dxa" w:w="1728"/>
          </w:tcPr>
          <w:p>
            <w:pPr>
              <w:jc w:val="center"/>
            </w:pPr>
            <w:r>
              <w:rPr>
                <w:sz w:val="19"/>
              </w:rPr>
              <w:t>365,000</w:t>
            </w:r>
          </w:p>
        </w:tc>
        <w:tc>
          <w:tcPr>
            <w:tcW w:type="dxa" w:w="1728"/>
          </w:tcPr>
          <w:p>
            <w:pPr>
              <w:jc w:val="center"/>
            </w:pPr>
            <w:r>
              <w:rPr>
                <w:sz w:val="19"/>
              </w:rPr>
              <w:t>49%</w:t>
            </w:r>
          </w:p>
        </w:tc>
        <w:tc>
          <w:tcPr>
            <w:tcW w:type="dxa" w:w="1728"/>
          </w:tcPr>
          <w:p>
            <w:pPr>
              <w:jc w:val="center"/>
            </w:pPr>
            <w:r>
              <w:rPr>
                <w:sz w:val="19"/>
              </w:rPr>
              <w:t>180,000</w:t>
            </w:r>
          </w:p>
        </w:tc>
        <w:tc>
          <w:tcPr>
            <w:tcW w:type="dxa" w:w="1728"/>
          </w:tcPr>
          <w:p>
            <w:pPr>
              <w:jc w:val="center"/>
            </w:pPr>
            <w:r>
              <w:rPr>
                <w:sz w:val="19"/>
              </w:rPr>
              <w:t>Deep integration: CI as primary Give funnel</w:t>
            </w:r>
          </w:p>
        </w:tc>
      </w:tr>
    </w:tbl>
    <w:p/>
    <w:p>
      <w:r>
        <w:t xml:space="preserve">Source: </w:t>
      </w:r>
      <w:r>
        <w:rPr>
          <w:i/>
        </w:rPr>
        <w:t>Cross-site referral rates for partner integrations typically range 15–40% (loosely integrated) to 40–60% (deeply embedded). Partnerize State of the Nation 2024. CI-specific: 93% of pageviews and 77% of organic search clicks go to charity-related content (CI Web Traffic Analysis, Google Search Console Dec 2024–Nov 2025, internal).</w:t>
      </w:r>
    </w:p>
    <w:p>
      <w:pPr>
        <w:pStyle w:val="Heading1"/>
      </w:pPr>
      <w:r>
        <w:t>4. Canadian Registration Funnel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Year</w:t>
            </w:r>
          </w:p>
        </w:tc>
        <w:tc>
          <w:tcPr>
            <w:tcW w:type="dxa" w:w="2160"/>
          </w:tcPr>
          <w:p>
            <w:pPr>
              <w:jc w:val="center"/>
            </w:pPr>
            <w:r>
              <w:rPr>
                <w:b/>
                <w:sz w:val="19"/>
              </w:rPr>
              <w:t>Total Visitors</w:t>
            </w:r>
          </w:p>
        </w:tc>
        <w:tc>
          <w:tcPr>
            <w:tcW w:type="dxa" w:w="2160"/>
          </w:tcPr>
          <w:p>
            <w:pPr>
              <w:jc w:val="center"/>
            </w:pPr>
            <w:r>
              <w:rPr>
                <w:b/>
                <w:sz w:val="19"/>
              </w:rPr>
              <w:t>Registered</w:t>
            </w:r>
          </w:p>
        </w:tc>
        <w:tc>
          <w:tcPr>
            <w:tcW w:type="dxa" w:w="2160"/>
          </w:tcPr>
          <w:p>
            <w:pPr>
              <w:jc w:val="center"/>
            </w:pPr>
            <w:r>
              <w:rPr>
                <w:b/>
                <w:sz w:val="19"/>
              </w:rPr>
              <w:t>Conversion</w:t>
            </w:r>
          </w:p>
        </w:tc>
      </w:tr>
      <w:tr>
        <w:tc>
          <w:tcPr>
            <w:tcW w:type="dxa" w:w="2160"/>
          </w:tcPr>
          <w:p>
            <w:pPr>
              <w:jc w:val="center"/>
            </w:pPr>
            <w:r>
              <w:rPr>
                <w:sz w:val="19"/>
              </w:rPr>
              <w:t>FY2027</w:t>
            </w:r>
          </w:p>
        </w:tc>
        <w:tc>
          <w:tcPr>
            <w:tcW w:type="dxa" w:w="2160"/>
          </w:tcPr>
          <w:p>
            <w:pPr>
              <w:jc w:val="center"/>
            </w:pPr>
            <w:r>
              <w:rPr>
                <w:sz w:val="19"/>
              </w:rPr>
              <w:t>130,000</w:t>
            </w:r>
          </w:p>
        </w:tc>
        <w:tc>
          <w:tcPr>
            <w:tcW w:type="dxa" w:w="2160"/>
          </w:tcPr>
          <w:p>
            <w:pPr>
              <w:jc w:val="center"/>
            </w:pPr>
            <w:r>
              <w:rPr>
                <w:sz w:val="19"/>
              </w:rPr>
              <w:t>1,300</w:t>
            </w:r>
          </w:p>
        </w:tc>
        <w:tc>
          <w:tcPr>
            <w:tcW w:type="dxa" w:w="2160"/>
          </w:tcPr>
          <w:p>
            <w:pPr>
              <w:jc w:val="center"/>
            </w:pPr>
            <w:r>
              <w:rPr>
                <w:sz w:val="19"/>
              </w:rPr>
              <w:t>1.0%</w:t>
            </w:r>
          </w:p>
        </w:tc>
      </w:tr>
      <w:tr>
        <w:tc>
          <w:tcPr>
            <w:tcW w:type="dxa" w:w="2160"/>
          </w:tcPr>
          <w:p>
            <w:pPr>
              <w:jc w:val="center"/>
            </w:pPr>
            <w:r>
              <w:rPr>
                <w:sz w:val="19"/>
              </w:rPr>
              <w:t>FY2028</w:t>
            </w:r>
          </w:p>
        </w:tc>
        <w:tc>
          <w:tcPr>
            <w:tcW w:type="dxa" w:w="2160"/>
          </w:tcPr>
          <w:p>
            <w:pPr>
              <w:jc w:val="center"/>
            </w:pPr>
            <w:r>
              <w:rPr>
                <w:sz w:val="19"/>
              </w:rPr>
              <w:t>175,000</w:t>
            </w:r>
          </w:p>
        </w:tc>
        <w:tc>
          <w:tcPr>
            <w:tcW w:type="dxa" w:w="2160"/>
          </w:tcPr>
          <w:p>
            <w:pPr>
              <w:jc w:val="center"/>
            </w:pPr>
            <w:r>
              <w:rPr>
                <w:sz w:val="19"/>
              </w:rPr>
              <w:t>5,000</w:t>
            </w:r>
          </w:p>
        </w:tc>
        <w:tc>
          <w:tcPr>
            <w:tcW w:type="dxa" w:w="2160"/>
          </w:tcPr>
          <w:p>
            <w:pPr>
              <w:jc w:val="center"/>
            </w:pPr>
            <w:r>
              <w:rPr>
                <w:sz w:val="19"/>
              </w:rPr>
              <w:t>2.9%</w:t>
            </w:r>
          </w:p>
        </w:tc>
      </w:tr>
      <w:tr>
        <w:tc>
          <w:tcPr>
            <w:tcW w:type="dxa" w:w="2160"/>
          </w:tcPr>
          <w:p>
            <w:pPr>
              <w:jc w:val="center"/>
            </w:pPr>
            <w:r>
              <w:rPr>
                <w:sz w:val="19"/>
              </w:rPr>
              <w:t>FY2029</w:t>
            </w:r>
          </w:p>
        </w:tc>
        <w:tc>
          <w:tcPr>
            <w:tcW w:type="dxa" w:w="2160"/>
          </w:tcPr>
          <w:p>
            <w:pPr>
              <w:jc w:val="center"/>
            </w:pPr>
            <w:r>
              <w:rPr>
                <w:sz w:val="19"/>
              </w:rPr>
              <w:t>210,000</w:t>
            </w:r>
          </w:p>
        </w:tc>
        <w:tc>
          <w:tcPr>
            <w:tcW w:type="dxa" w:w="2160"/>
          </w:tcPr>
          <w:p>
            <w:pPr>
              <w:jc w:val="center"/>
            </w:pPr>
            <w:r>
              <w:rPr>
                <w:sz w:val="19"/>
              </w:rPr>
              <w:t>14,000</w:t>
            </w:r>
          </w:p>
        </w:tc>
        <w:tc>
          <w:tcPr>
            <w:tcW w:type="dxa" w:w="2160"/>
          </w:tcPr>
          <w:p>
            <w:pPr>
              <w:jc w:val="center"/>
            </w:pPr>
            <w:r>
              <w:rPr>
                <w:sz w:val="19"/>
              </w:rPr>
              <w:t>6.7%</w:t>
            </w:r>
          </w:p>
        </w:tc>
      </w:tr>
      <w:tr>
        <w:tc>
          <w:tcPr>
            <w:tcW w:type="dxa" w:w="2160"/>
          </w:tcPr>
          <w:p>
            <w:pPr>
              <w:jc w:val="center"/>
            </w:pPr>
            <w:r>
              <w:rPr>
                <w:sz w:val="19"/>
              </w:rPr>
              <w:t>FY2030</w:t>
            </w:r>
          </w:p>
        </w:tc>
        <w:tc>
          <w:tcPr>
            <w:tcW w:type="dxa" w:w="2160"/>
          </w:tcPr>
          <w:p>
            <w:pPr>
              <w:jc w:val="center"/>
            </w:pPr>
            <w:r>
              <w:rPr>
                <w:sz w:val="19"/>
              </w:rPr>
              <w:t>260,000</w:t>
            </w:r>
          </w:p>
        </w:tc>
        <w:tc>
          <w:tcPr>
            <w:tcW w:type="dxa" w:w="2160"/>
          </w:tcPr>
          <w:p>
            <w:pPr>
              <w:jc w:val="center"/>
            </w:pPr>
            <w:r>
              <w:rPr>
                <w:sz w:val="19"/>
              </w:rPr>
              <w:t>30,000</w:t>
            </w:r>
          </w:p>
        </w:tc>
        <w:tc>
          <w:tcPr>
            <w:tcW w:type="dxa" w:w="2160"/>
          </w:tcPr>
          <w:p>
            <w:pPr>
              <w:jc w:val="center"/>
            </w:pPr>
            <w:r>
              <w:rPr>
                <w:sz w:val="19"/>
              </w:rPr>
              <w:t>11.5%</w:t>
            </w:r>
          </w:p>
        </w:tc>
      </w:tr>
      <w:tr>
        <w:tc>
          <w:tcPr>
            <w:tcW w:type="dxa" w:w="2160"/>
          </w:tcPr>
          <w:p>
            <w:pPr>
              <w:jc w:val="center"/>
            </w:pPr>
            <w:r>
              <w:rPr>
                <w:sz w:val="19"/>
              </w:rPr>
              <w:t>FY2031</w:t>
            </w:r>
          </w:p>
        </w:tc>
        <w:tc>
          <w:tcPr>
            <w:tcW w:type="dxa" w:w="2160"/>
          </w:tcPr>
          <w:p>
            <w:pPr>
              <w:jc w:val="center"/>
            </w:pPr>
            <w:r>
              <w:rPr>
                <w:sz w:val="19"/>
              </w:rPr>
              <w:t>320,000</w:t>
            </w:r>
          </w:p>
        </w:tc>
        <w:tc>
          <w:tcPr>
            <w:tcW w:type="dxa" w:w="2160"/>
          </w:tcPr>
          <w:p>
            <w:pPr>
              <w:jc w:val="center"/>
            </w:pPr>
            <w:r>
              <w:rPr>
                <w:sz w:val="19"/>
              </w:rPr>
              <w:t>55,000</w:t>
            </w:r>
          </w:p>
        </w:tc>
        <w:tc>
          <w:tcPr>
            <w:tcW w:type="dxa" w:w="2160"/>
          </w:tcPr>
          <w:p>
            <w:pPr>
              <w:jc w:val="center"/>
            </w:pPr>
            <w:r>
              <w:rPr>
                <w:sz w:val="19"/>
              </w:rPr>
              <w:t>17.2%</w:t>
            </w:r>
          </w:p>
        </w:tc>
      </w:tr>
    </w:tbl>
    <w:p/>
    <w:p>
      <w:r>
        <w:t>Registration rate starts at 1.0% (cold traffic, new product) and improves to 17.2% by Year 5 as Give builds trust and CI integration becomes seamless. Industry average for nonprofit platforms is 1.8% visitor-to-registration (M+R Benchmarks 2024). Year 5 exceeds industry average because CI traffic is pre-qualified.</w:t>
      </w:r>
    </w:p>
    <w:p>
      <w:pPr>
        <w:pStyle w:val="Heading1"/>
      </w:pPr>
      <w:r>
        <w:t>5. US Market Entry &amp; Bootstrap Mechanism</w:t>
      </w:r>
    </w:p>
    <w:p>
      <w:r>
        <w:t>Canadian launch with CI bootstraps US market entry 4 months later. The proven Canadian platform and "Charity Intelligence" trust signal accelerate US growth versus a cold-market entry.</w:t>
      </w:r>
    </w:p>
    <w:p>
      <w:pPr>
        <w:pStyle w:val="Heading2"/>
      </w:pPr>
      <w:r>
        <w:t>Bootstrap Advantages</w:t>
      </w:r>
    </w:p>
    <w:p>
      <w:pPr>
        <w:pStyle w:val="ListBullet"/>
      </w:pPr>
      <w:r>
        <w:t>"As featured by Charity Intelligence Canada" trust signal in US marketing</w:t>
      </w:r>
    </w:p>
    <w:p>
      <w:pPr>
        <w:pStyle w:val="ListBullet"/>
      </w:pPr>
      <w:r>
        <w:t>Cross-border charity referrals (many US 501(c)(3)s have Canadian affiliates)</w:t>
      </w:r>
    </w:p>
    <w:p>
      <w:pPr>
        <w:pStyle w:val="ListBullet"/>
      </w:pPr>
      <w:r>
        <w:t>Proven platform with real user testimonials and charity ratings</w:t>
      </w:r>
    </w:p>
    <w:p>
      <w:pPr>
        <w:pStyle w:val="ListBullet"/>
      </w:pPr>
      <w:r>
        <w:t>Press coverage from Canadian launch drives US tech/nonprofit media interest</w:t>
      </w:r>
    </w:p>
    <w:p>
      <w:pPr>
        <w:pStyle w:val="ListBullet"/>
      </w:pPr>
      <w:r>
        <w:t>Existing compliance, security, and payment infrastructure to build on</w:t>
      </w:r>
    </w:p>
    <w:p>
      <w:pPr>
        <w:pStyle w:val="Heading1"/>
      </w:pPr>
      <w:r>
        <w:t>6. US Traffic Model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Year</w:t>
            </w:r>
          </w:p>
        </w:tc>
        <w:tc>
          <w:tcPr>
            <w:tcW w:type="dxa" w:w="1728"/>
          </w:tcPr>
          <w:p>
            <w:pPr>
              <w:jc w:val="center"/>
            </w:pPr>
            <w:r>
              <w:rPr>
                <w:b/>
                <w:sz w:val="19"/>
              </w:rPr>
              <w:t>Organic Search</w:t>
            </w:r>
          </w:p>
        </w:tc>
        <w:tc>
          <w:tcPr>
            <w:tcW w:type="dxa" w:w="1728"/>
          </w:tcPr>
          <w:p>
            <w:pPr>
              <w:jc w:val="center"/>
            </w:pPr>
            <w:r>
              <w:rPr>
                <w:b/>
                <w:sz w:val="19"/>
              </w:rPr>
              <w:t>Paid Media</w:t>
            </w:r>
          </w:p>
        </w:tc>
        <w:tc>
          <w:tcPr>
            <w:tcW w:type="dxa" w:w="1728"/>
          </w:tcPr>
          <w:p>
            <w:pPr>
              <w:jc w:val="center"/>
            </w:pPr>
            <w:r>
              <w:rPr>
                <w:b/>
                <w:sz w:val="19"/>
              </w:rPr>
              <w:t>PR / Referral</w:t>
            </w:r>
          </w:p>
        </w:tc>
        <w:tc>
          <w:tcPr>
            <w:tcW w:type="dxa" w:w="1728"/>
          </w:tcPr>
          <w:p>
            <w:pPr>
              <w:jc w:val="center"/>
            </w:pPr>
            <w:r>
              <w:rPr>
                <w:b/>
                <w:sz w:val="19"/>
              </w:rPr>
              <w:t>Total Visitors</w:t>
            </w:r>
          </w:p>
        </w:tc>
      </w:tr>
      <w:tr>
        <w:tc>
          <w:tcPr>
            <w:tcW w:type="dxa" w:w="1728"/>
          </w:tcPr>
          <w:p>
            <w:pPr>
              <w:jc w:val="center"/>
            </w:pPr>
            <w:r>
              <w:rPr>
                <w:sz w:val="19"/>
              </w:rPr>
              <w:t>FY2027 (8 mo)</w:t>
            </w:r>
          </w:p>
        </w:tc>
        <w:tc>
          <w:tcPr>
            <w:tcW w:type="dxa" w:w="1728"/>
          </w:tcPr>
          <w:p>
            <w:pPr>
              <w:jc w:val="center"/>
            </w:pPr>
            <w:r>
              <w:rPr>
                <w:sz w:val="19"/>
              </w:rPr>
              <w:t>10,000</w:t>
            </w:r>
          </w:p>
        </w:tc>
        <w:tc>
          <w:tcPr>
            <w:tcW w:type="dxa" w:w="1728"/>
          </w:tcPr>
          <w:p>
            <w:pPr>
              <w:jc w:val="center"/>
            </w:pPr>
            <w:r>
              <w:rPr>
                <w:sz w:val="19"/>
              </w:rPr>
              <w:t>40,000</w:t>
            </w:r>
          </w:p>
        </w:tc>
        <w:tc>
          <w:tcPr>
            <w:tcW w:type="dxa" w:w="1728"/>
          </w:tcPr>
          <w:p>
            <w:pPr>
              <w:jc w:val="center"/>
            </w:pPr>
            <w:r>
              <w:rPr>
                <w:sz w:val="19"/>
              </w:rPr>
              <w:t>10,000</w:t>
            </w:r>
          </w:p>
        </w:tc>
        <w:tc>
          <w:tcPr>
            <w:tcW w:type="dxa" w:w="1728"/>
          </w:tcPr>
          <w:p>
            <w:pPr>
              <w:jc w:val="center"/>
            </w:pPr>
            <w:r>
              <w:rPr>
                <w:sz w:val="19"/>
              </w:rPr>
              <w:t>60,000</w:t>
            </w:r>
          </w:p>
        </w:tc>
      </w:tr>
      <w:tr>
        <w:tc>
          <w:tcPr>
            <w:tcW w:type="dxa" w:w="1728"/>
          </w:tcPr>
          <w:p>
            <w:pPr>
              <w:jc w:val="center"/>
            </w:pPr>
            <w:r>
              <w:rPr>
                <w:sz w:val="19"/>
              </w:rPr>
              <w:t>FY2028</w:t>
            </w:r>
          </w:p>
        </w:tc>
        <w:tc>
          <w:tcPr>
            <w:tcW w:type="dxa" w:w="1728"/>
          </w:tcPr>
          <w:p>
            <w:pPr>
              <w:jc w:val="center"/>
            </w:pPr>
            <w:r>
              <w:rPr>
                <w:sz w:val="19"/>
              </w:rPr>
              <w:t>40,000</w:t>
            </w:r>
          </w:p>
        </w:tc>
        <w:tc>
          <w:tcPr>
            <w:tcW w:type="dxa" w:w="1728"/>
          </w:tcPr>
          <w:p>
            <w:pPr>
              <w:jc w:val="center"/>
            </w:pPr>
            <w:r>
              <w:rPr>
                <w:sz w:val="19"/>
              </w:rPr>
              <w:t>130,000</w:t>
            </w:r>
          </w:p>
        </w:tc>
        <w:tc>
          <w:tcPr>
            <w:tcW w:type="dxa" w:w="1728"/>
          </w:tcPr>
          <w:p>
            <w:pPr>
              <w:jc w:val="center"/>
            </w:pPr>
            <w:r>
              <w:rPr>
                <w:sz w:val="19"/>
              </w:rPr>
              <w:t>30,000</w:t>
            </w:r>
          </w:p>
        </w:tc>
        <w:tc>
          <w:tcPr>
            <w:tcW w:type="dxa" w:w="1728"/>
          </w:tcPr>
          <w:p>
            <w:pPr>
              <w:jc w:val="center"/>
            </w:pPr>
            <w:r>
              <w:rPr>
                <w:sz w:val="19"/>
              </w:rPr>
              <w:t>200,000</w:t>
            </w:r>
          </w:p>
        </w:tc>
      </w:tr>
      <w:tr>
        <w:tc>
          <w:tcPr>
            <w:tcW w:type="dxa" w:w="1728"/>
          </w:tcPr>
          <w:p>
            <w:pPr>
              <w:jc w:val="center"/>
            </w:pPr>
            <w:r>
              <w:rPr>
                <w:sz w:val="19"/>
              </w:rPr>
              <w:t>FY2029</w:t>
            </w:r>
          </w:p>
        </w:tc>
        <w:tc>
          <w:tcPr>
            <w:tcW w:type="dxa" w:w="1728"/>
          </w:tcPr>
          <w:p>
            <w:pPr>
              <w:jc w:val="center"/>
            </w:pPr>
            <w:r>
              <w:rPr>
                <w:sz w:val="19"/>
              </w:rPr>
              <w:t>80,000</w:t>
            </w:r>
          </w:p>
        </w:tc>
        <w:tc>
          <w:tcPr>
            <w:tcW w:type="dxa" w:w="1728"/>
          </w:tcPr>
          <w:p>
            <w:pPr>
              <w:jc w:val="center"/>
            </w:pPr>
            <w:r>
              <w:rPr>
                <w:sz w:val="19"/>
              </w:rPr>
              <w:t>270,000</w:t>
            </w:r>
          </w:p>
        </w:tc>
        <w:tc>
          <w:tcPr>
            <w:tcW w:type="dxa" w:w="1728"/>
          </w:tcPr>
          <w:p>
            <w:pPr>
              <w:jc w:val="center"/>
            </w:pPr>
            <w:r>
              <w:rPr>
                <w:sz w:val="19"/>
              </w:rPr>
              <w:t>50,000</w:t>
            </w:r>
          </w:p>
        </w:tc>
        <w:tc>
          <w:tcPr>
            <w:tcW w:type="dxa" w:w="1728"/>
          </w:tcPr>
          <w:p>
            <w:pPr>
              <w:jc w:val="center"/>
            </w:pPr>
            <w:r>
              <w:rPr>
                <w:sz w:val="19"/>
              </w:rPr>
              <w:t>400,000</w:t>
            </w:r>
          </w:p>
        </w:tc>
      </w:tr>
      <w:tr>
        <w:tc>
          <w:tcPr>
            <w:tcW w:type="dxa" w:w="1728"/>
          </w:tcPr>
          <w:p>
            <w:pPr>
              <w:jc w:val="center"/>
            </w:pPr>
            <w:r>
              <w:rPr>
                <w:sz w:val="19"/>
              </w:rPr>
              <w:t>FY2030</w:t>
            </w:r>
          </w:p>
        </w:tc>
        <w:tc>
          <w:tcPr>
            <w:tcW w:type="dxa" w:w="1728"/>
          </w:tcPr>
          <w:p>
            <w:pPr>
              <w:jc w:val="center"/>
            </w:pPr>
            <w:r>
              <w:rPr>
                <w:sz w:val="19"/>
              </w:rPr>
              <w:t>150,000</w:t>
            </w:r>
          </w:p>
        </w:tc>
        <w:tc>
          <w:tcPr>
            <w:tcW w:type="dxa" w:w="1728"/>
          </w:tcPr>
          <w:p>
            <w:pPr>
              <w:jc w:val="center"/>
            </w:pPr>
            <w:r>
              <w:rPr>
                <w:sz w:val="19"/>
              </w:rPr>
              <w:t>420,000</w:t>
            </w:r>
          </w:p>
        </w:tc>
        <w:tc>
          <w:tcPr>
            <w:tcW w:type="dxa" w:w="1728"/>
          </w:tcPr>
          <w:p>
            <w:pPr>
              <w:jc w:val="center"/>
            </w:pPr>
            <w:r>
              <w:rPr>
                <w:sz w:val="19"/>
              </w:rPr>
              <w:t>80,000</w:t>
            </w:r>
          </w:p>
        </w:tc>
        <w:tc>
          <w:tcPr>
            <w:tcW w:type="dxa" w:w="1728"/>
          </w:tcPr>
          <w:p>
            <w:pPr>
              <w:jc w:val="center"/>
            </w:pPr>
            <w:r>
              <w:rPr>
                <w:sz w:val="19"/>
              </w:rPr>
              <w:t>650,000</w:t>
            </w:r>
          </w:p>
        </w:tc>
      </w:tr>
      <w:tr>
        <w:tc>
          <w:tcPr>
            <w:tcW w:type="dxa" w:w="1728"/>
          </w:tcPr>
          <w:p>
            <w:pPr>
              <w:jc w:val="center"/>
            </w:pPr>
            <w:r>
              <w:rPr>
                <w:sz w:val="19"/>
              </w:rPr>
              <w:t>FY2031</w:t>
            </w:r>
          </w:p>
        </w:tc>
        <w:tc>
          <w:tcPr>
            <w:tcW w:type="dxa" w:w="1728"/>
          </w:tcPr>
          <w:p>
            <w:pPr>
              <w:jc w:val="center"/>
            </w:pPr>
            <w:r>
              <w:rPr>
                <w:sz w:val="19"/>
              </w:rPr>
              <w:t>250,000</w:t>
            </w:r>
          </w:p>
        </w:tc>
        <w:tc>
          <w:tcPr>
            <w:tcW w:type="dxa" w:w="1728"/>
          </w:tcPr>
          <w:p>
            <w:pPr>
              <w:jc w:val="center"/>
            </w:pPr>
            <w:r>
              <w:rPr>
                <w:sz w:val="19"/>
              </w:rPr>
              <w:t>580,000</w:t>
            </w:r>
          </w:p>
        </w:tc>
        <w:tc>
          <w:tcPr>
            <w:tcW w:type="dxa" w:w="1728"/>
          </w:tcPr>
          <w:p>
            <w:pPr>
              <w:jc w:val="center"/>
            </w:pPr>
            <w:r>
              <w:rPr>
                <w:sz w:val="19"/>
              </w:rPr>
              <w:t>120,000</w:t>
            </w:r>
          </w:p>
        </w:tc>
        <w:tc>
          <w:tcPr>
            <w:tcW w:type="dxa" w:w="1728"/>
          </w:tcPr>
          <w:p>
            <w:pPr>
              <w:jc w:val="center"/>
            </w:pPr>
            <w:r>
              <w:rPr>
                <w:sz w:val="19"/>
              </w:rPr>
              <w:t>950,000</w:t>
            </w:r>
          </w:p>
        </w:tc>
      </w:tr>
    </w:tbl>
    <w:p/>
    <w:p>
      <w:r>
        <w:t>The US market has no CI-equivalent traffic source. Paid media is the dominant channel, supplemented by organic search and PR/referral traffic leveraging the Canadian launch story.</w:t>
      </w:r>
    </w:p>
    <w:p>
      <w:pPr>
        <w:pStyle w:val="Heading1"/>
      </w:pPr>
      <w:r>
        <w:t>7. US Registration Funnel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Year</w:t>
            </w:r>
          </w:p>
        </w:tc>
        <w:tc>
          <w:tcPr>
            <w:tcW w:type="dxa" w:w="2160"/>
          </w:tcPr>
          <w:p>
            <w:pPr>
              <w:jc w:val="center"/>
            </w:pPr>
            <w:r>
              <w:rPr>
                <w:b/>
                <w:sz w:val="19"/>
              </w:rPr>
              <w:t>Total Visitors</w:t>
            </w:r>
          </w:p>
        </w:tc>
        <w:tc>
          <w:tcPr>
            <w:tcW w:type="dxa" w:w="2160"/>
          </w:tcPr>
          <w:p>
            <w:pPr>
              <w:jc w:val="center"/>
            </w:pPr>
            <w:r>
              <w:rPr>
                <w:b/>
                <w:sz w:val="19"/>
              </w:rPr>
              <w:t>Registered</w:t>
            </w:r>
          </w:p>
        </w:tc>
        <w:tc>
          <w:tcPr>
            <w:tcW w:type="dxa" w:w="2160"/>
          </w:tcPr>
          <w:p>
            <w:pPr>
              <w:jc w:val="center"/>
            </w:pPr>
            <w:r>
              <w:rPr>
                <w:b/>
                <w:sz w:val="19"/>
              </w:rPr>
              <w:t>Conversion</w:t>
            </w:r>
          </w:p>
        </w:tc>
      </w:tr>
      <w:tr>
        <w:tc>
          <w:tcPr>
            <w:tcW w:type="dxa" w:w="2160"/>
          </w:tcPr>
          <w:p>
            <w:pPr>
              <w:jc w:val="center"/>
            </w:pPr>
            <w:r>
              <w:rPr>
                <w:sz w:val="19"/>
              </w:rPr>
              <w:t>FY2027 (8 mo)</w:t>
            </w:r>
          </w:p>
        </w:tc>
        <w:tc>
          <w:tcPr>
            <w:tcW w:type="dxa" w:w="2160"/>
          </w:tcPr>
          <w:p>
            <w:pPr>
              <w:jc w:val="center"/>
            </w:pPr>
            <w:r>
              <w:rPr>
                <w:sz w:val="19"/>
              </w:rPr>
              <w:t>60,000</w:t>
            </w:r>
          </w:p>
        </w:tc>
        <w:tc>
          <w:tcPr>
            <w:tcW w:type="dxa" w:w="2160"/>
          </w:tcPr>
          <w:p>
            <w:pPr>
              <w:jc w:val="center"/>
            </w:pPr>
            <w:r>
              <w:rPr>
                <w:sz w:val="19"/>
              </w:rPr>
              <w:t>1,200</w:t>
            </w:r>
          </w:p>
        </w:tc>
        <w:tc>
          <w:tcPr>
            <w:tcW w:type="dxa" w:w="2160"/>
          </w:tcPr>
          <w:p>
            <w:pPr>
              <w:jc w:val="center"/>
            </w:pPr>
            <w:r>
              <w:rPr>
                <w:sz w:val="19"/>
              </w:rPr>
              <w:t>2.0%</w:t>
            </w:r>
          </w:p>
        </w:tc>
      </w:tr>
      <w:tr>
        <w:tc>
          <w:tcPr>
            <w:tcW w:type="dxa" w:w="2160"/>
          </w:tcPr>
          <w:p>
            <w:pPr>
              <w:jc w:val="center"/>
            </w:pPr>
            <w:r>
              <w:rPr>
                <w:sz w:val="19"/>
              </w:rPr>
              <w:t>FY2028</w:t>
            </w:r>
          </w:p>
        </w:tc>
        <w:tc>
          <w:tcPr>
            <w:tcW w:type="dxa" w:w="2160"/>
          </w:tcPr>
          <w:p>
            <w:pPr>
              <w:jc w:val="center"/>
            </w:pPr>
            <w:r>
              <w:rPr>
                <w:sz w:val="19"/>
              </w:rPr>
              <w:t>200,000</w:t>
            </w:r>
          </w:p>
        </w:tc>
        <w:tc>
          <w:tcPr>
            <w:tcW w:type="dxa" w:w="2160"/>
          </w:tcPr>
          <w:p>
            <w:pPr>
              <w:jc w:val="center"/>
            </w:pPr>
            <w:r>
              <w:rPr>
                <w:sz w:val="19"/>
              </w:rPr>
              <w:t>12,000</w:t>
            </w:r>
          </w:p>
        </w:tc>
        <w:tc>
          <w:tcPr>
            <w:tcW w:type="dxa" w:w="2160"/>
          </w:tcPr>
          <w:p>
            <w:pPr>
              <w:jc w:val="center"/>
            </w:pPr>
            <w:r>
              <w:rPr>
                <w:sz w:val="19"/>
              </w:rPr>
              <w:t>6.0%</w:t>
            </w:r>
          </w:p>
        </w:tc>
      </w:tr>
      <w:tr>
        <w:tc>
          <w:tcPr>
            <w:tcW w:type="dxa" w:w="2160"/>
          </w:tcPr>
          <w:p>
            <w:pPr>
              <w:jc w:val="center"/>
            </w:pPr>
            <w:r>
              <w:rPr>
                <w:sz w:val="19"/>
              </w:rPr>
              <w:t>FY2029</w:t>
            </w:r>
          </w:p>
        </w:tc>
        <w:tc>
          <w:tcPr>
            <w:tcW w:type="dxa" w:w="2160"/>
          </w:tcPr>
          <w:p>
            <w:pPr>
              <w:jc w:val="center"/>
            </w:pPr>
            <w:r>
              <w:rPr>
                <w:sz w:val="19"/>
              </w:rPr>
              <w:t>400,000</w:t>
            </w:r>
          </w:p>
        </w:tc>
        <w:tc>
          <w:tcPr>
            <w:tcW w:type="dxa" w:w="2160"/>
          </w:tcPr>
          <w:p>
            <w:pPr>
              <w:jc w:val="center"/>
            </w:pPr>
            <w:r>
              <w:rPr>
                <w:sz w:val="19"/>
              </w:rPr>
              <w:t>40,000</w:t>
            </w:r>
          </w:p>
        </w:tc>
        <w:tc>
          <w:tcPr>
            <w:tcW w:type="dxa" w:w="2160"/>
          </w:tcPr>
          <w:p>
            <w:pPr>
              <w:jc w:val="center"/>
            </w:pPr>
            <w:r>
              <w:rPr>
                <w:sz w:val="19"/>
              </w:rPr>
              <w:t>10.0%</w:t>
            </w:r>
          </w:p>
        </w:tc>
      </w:tr>
      <w:tr>
        <w:tc>
          <w:tcPr>
            <w:tcW w:type="dxa" w:w="2160"/>
          </w:tcPr>
          <w:p>
            <w:pPr>
              <w:jc w:val="center"/>
            </w:pPr>
            <w:r>
              <w:rPr>
                <w:sz w:val="19"/>
              </w:rPr>
              <w:t>FY2030</w:t>
            </w:r>
          </w:p>
        </w:tc>
        <w:tc>
          <w:tcPr>
            <w:tcW w:type="dxa" w:w="2160"/>
          </w:tcPr>
          <w:p>
            <w:pPr>
              <w:jc w:val="center"/>
            </w:pPr>
            <w:r>
              <w:rPr>
                <w:sz w:val="19"/>
              </w:rPr>
              <w:t>650,000</w:t>
            </w:r>
          </w:p>
        </w:tc>
        <w:tc>
          <w:tcPr>
            <w:tcW w:type="dxa" w:w="2160"/>
          </w:tcPr>
          <w:p>
            <w:pPr>
              <w:jc w:val="center"/>
            </w:pPr>
            <w:r>
              <w:rPr>
                <w:sz w:val="19"/>
              </w:rPr>
              <w:t>95,000</w:t>
            </w:r>
          </w:p>
        </w:tc>
        <w:tc>
          <w:tcPr>
            <w:tcW w:type="dxa" w:w="2160"/>
          </w:tcPr>
          <w:p>
            <w:pPr>
              <w:jc w:val="center"/>
            </w:pPr>
            <w:r>
              <w:rPr>
                <w:sz w:val="19"/>
              </w:rPr>
              <w:t>14.6%</w:t>
            </w:r>
          </w:p>
        </w:tc>
      </w:tr>
      <w:tr>
        <w:tc>
          <w:tcPr>
            <w:tcW w:type="dxa" w:w="2160"/>
          </w:tcPr>
          <w:p>
            <w:pPr>
              <w:jc w:val="center"/>
            </w:pPr>
            <w:r>
              <w:rPr>
                <w:sz w:val="19"/>
              </w:rPr>
              <w:t>FY2031</w:t>
            </w:r>
          </w:p>
        </w:tc>
        <w:tc>
          <w:tcPr>
            <w:tcW w:type="dxa" w:w="2160"/>
          </w:tcPr>
          <w:p>
            <w:pPr>
              <w:jc w:val="center"/>
            </w:pPr>
            <w:r>
              <w:rPr>
                <w:sz w:val="19"/>
              </w:rPr>
              <w:t>950,000</w:t>
            </w:r>
          </w:p>
        </w:tc>
        <w:tc>
          <w:tcPr>
            <w:tcW w:type="dxa" w:w="2160"/>
          </w:tcPr>
          <w:p>
            <w:pPr>
              <w:jc w:val="center"/>
            </w:pPr>
            <w:r>
              <w:rPr>
                <w:sz w:val="19"/>
              </w:rPr>
              <w:t>200,000</w:t>
            </w:r>
          </w:p>
        </w:tc>
        <w:tc>
          <w:tcPr>
            <w:tcW w:type="dxa" w:w="2160"/>
          </w:tcPr>
          <w:p>
            <w:pPr>
              <w:jc w:val="center"/>
            </w:pPr>
            <w:r>
              <w:rPr>
                <w:sz w:val="19"/>
              </w:rPr>
              <w:t>21.1%</w:t>
            </w:r>
          </w:p>
        </w:tc>
      </w:tr>
    </w:tbl>
    <w:p/>
    <w:p>
      <w:r>
        <w:t>US conversion rates start higher than Canada's cold-start (2.0% vs 1.0%) because the platform is already proven with Canadian testimonials and charity data. By Year 5, US registration rate (21.1%) exceeds Canada (17.2%) due to larger addressable market and stronger network effects at scale.</w:t>
      </w:r>
    </w:p>
    <w:p>
      <w:pPr>
        <w:pStyle w:val="Heading1"/>
      </w:pPr>
      <w:r>
        <w:t>8. Combined User Growth (CA + US)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Year</w:t>
            </w:r>
          </w:p>
        </w:tc>
        <w:tc>
          <w:tcPr>
            <w:tcW w:type="dxa" w:w="1728"/>
          </w:tcPr>
          <w:p>
            <w:pPr>
              <w:jc w:val="center"/>
            </w:pPr>
            <w:r>
              <w:rPr>
                <w:b/>
                <w:sz w:val="19"/>
              </w:rPr>
              <w:t>CA Users</w:t>
            </w:r>
          </w:p>
        </w:tc>
        <w:tc>
          <w:tcPr>
            <w:tcW w:type="dxa" w:w="1728"/>
          </w:tcPr>
          <w:p>
            <w:pPr>
              <w:jc w:val="center"/>
            </w:pPr>
            <w:r>
              <w:rPr>
                <w:b/>
                <w:sz w:val="19"/>
              </w:rPr>
              <w:t>US Users</w:t>
            </w:r>
          </w:p>
        </w:tc>
        <w:tc>
          <w:tcPr>
            <w:tcW w:type="dxa" w:w="1728"/>
          </w:tcPr>
          <w:p>
            <w:pPr>
              <w:jc w:val="center"/>
            </w:pPr>
            <w:r>
              <w:rPr>
                <w:b/>
                <w:sz w:val="19"/>
              </w:rPr>
              <w:t>Combined</w:t>
            </w:r>
          </w:p>
        </w:tc>
        <w:tc>
          <w:tcPr>
            <w:tcW w:type="dxa" w:w="1728"/>
          </w:tcPr>
          <w:p>
            <w:pPr>
              <w:jc w:val="center"/>
            </w:pPr>
            <w:r>
              <w:rPr>
                <w:b/>
                <w:sz w:val="19"/>
              </w:rPr>
              <w:t>Infrastructure Tier</w:t>
            </w:r>
          </w:p>
        </w:tc>
      </w:tr>
      <w:tr>
        <w:tc>
          <w:tcPr>
            <w:tcW w:type="dxa" w:w="1728"/>
          </w:tcPr>
          <w:p>
            <w:pPr>
              <w:jc w:val="center"/>
            </w:pPr>
            <w:r>
              <w:rPr>
                <w:sz w:val="19"/>
              </w:rPr>
              <w:t>FY2027</w:t>
            </w:r>
          </w:p>
        </w:tc>
        <w:tc>
          <w:tcPr>
            <w:tcW w:type="dxa" w:w="1728"/>
          </w:tcPr>
          <w:p>
            <w:pPr>
              <w:jc w:val="center"/>
            </w:pPr>
            <w:r>
              <w:rPr>
                <w:sz w:val="19"/>
              </w:rPr>
              <w:t>1,300</w:t>
            </w:r>
          </w:p>
        </w:tc>
        <w:tc>
          <w:tcPr>
            <w:tcW w:type="dxa" w:w="1728"/>
          </w:tcPr>
          <w:p>
            <w:pPr>
              <w:jc w:val="center"/>
            </w:pPr>
            <w:r>
              <w:rPr>
                <w:sz w:val="19"/>
              </w:rPr>
              <w:t>1,200</w:t>
            </w:r>
          </w:p>
        </w:tc>
        <w:tc>
          <w:tcPr>
            <w:tcW w:type="dxa" w:w="1728"/>
          </w:tcPr>
          <w:p>
            <w:pPr>
              <w:jc w:val="center"/>
            </w:pPr>
            <w:r>
              <w:rPr>
                <w:sz w:val="19"/>
              </w:rPr>
              <w:t>2,500</w:t>
            </w:r>
          </w:p>
        </w:tc>
        <w:tc>
          <w:tcPr>
            <w:tcW w:type="dxa" w:w="1728"/>
          </w:tcPr>
          <w:p>
            <w:pPr>
              <w:jc w:val="center"/>
            </w:pPr>
            <w:r>
              <w:rPr>
                <w:sz w:val="19"/>
              </w:rPr>
              <w:t>Startup → Growth (17%)</w:t>
            </w:r>
          </w:p>
        </w:tc>
      </w:tr>
      <w:tr>
        <w:tc>
          <w:tcPr>
            <w:tcW w:type="dxa" w:w="1728"/>
          </w:tcPr>
          <w:p>
            <w:pPr>
              <w:jc w:val="center"/>
            </w:pPr>
            <w:r>
              <w:rPr>
                <w:sz w:val="19"/>
              </w:rPr>
              <w:t>FY2028</w:t>
            </w:r>
          </w:p>
        </w:tc>
        <w:tc>
          <w:tcPr>
            <w:tcW w:type="dxa" w:w="1728"/>
          </w:tcPr>
          <w:p>
            <w:pPr>
              <w:jc w:val="center"/>
            </w:pPr>
            <w:r>
              <w:rPr>
                <w:sz w:val="19"/>
              </w:rPr>
              <w:t>5,000</w:t>
            </w:r>
          </w:p>
        </w:tc>
        <w:tc>
          <w:tcPr>
            <w:tcW w:type="dxa" w:w="1728"/>
          </w:tcPr>
          <w:p>
            <w:pPr>
              <w:jc w:val="center"/>
            </w:pPr>
            <w:r>
              <w:rPr>
                <w:sz w:val="19"/>
              </w:rPr>
              <w:t>12,000</w:t>
            </w:r>
          </w:p>
        </w:tc>
        <w:tc>
          <w:tcPr>
            <w:tcW w:type="dxa" w:w="1728"/>
          </w:tcPr>
          <w:p>
            <w:pPr>
              <w:jc w:val="center"/>
            </w:pPr>
            <w:r>
              <w:rPr>
                <w:sz w:val="19"/>
              </w:rPr>
              <w:t>17,000</w:t>
            </w:r>
          </w:p>
        </w:tc>
        <w:tc>
          <w:tcPr>
            <w:tcW w:type="dxa" w:w="1728"/>
          </w:tcPr>
          <w:p>
            <w:pPr>
              <w:jc w:val="center"/>
            </w:pPr>
            <w:r>
              <w:rPr>
                <w:sz w:val="19"/>
              </w:rPr>
              <w:t>Growth → Scale (18%)</w:t>
            </w:r>
          </w:p>
        </w:tc>
      </w:tr>
      <w:tr>
        <w:tc>
          <w:tcPr>
            <w:tcW w:type="dxa" w:w="1728"/>
          </w:tcPr>
          <w:p>
            <w:pPr>
              <w:jc w:val="center"/>
            </w:pPr>
            <w:r>
              <w:rPr>
                <w:sz w:val="19"/>
              </w:rPr>
              <w:t>FY2029</w:t>
            </w:r>
          </w:p>
        </w:tc>
        <w:tc>
          <w:tcPr>
            <w:tcW w:type="dxa" w:w="1728"/>
          </w:tcPr>
          <w:p>
            <w:pPr>
              <w:jc w:val="center"/>
            </w:pPr>
            <w:r>
              <w:rPr>
                <w:sz w:val="19"/>
              </w:rPr>
              <w:t>14,000</w:t>
            </w:r>
          </w:p>
        </w:tc>
        <w:tc>
          <w:tcPr>
            <w:tcW w:type="dxa" w:w="1728"/>
          </w:tcPr>
          <w:p>
            <w:pPr>
              <w:jc w:val="center"/>
            </w:pPr>
            <w:r>
              <w:rPr>
                <w:sz w:val="19"/>
              </w:rPr>
              <w:t>40,000</w:t>
            </w:r>
          </w:p>
        </w:tc>
        <w:tc>
          <w:tcPr>
            <w:tcW w:type="dxa" w:w="1728"/>
          </w:tcPr>
          <w:p>
            <w:pPr>
              <w:jc w:val="center"/>
            </w:pPr>
            <w:r>
              <w:rPr>
                <w:sz w:val="19"/>
              </w:rPr>
              <w:t>54,000</w:t>
            </w:r>
          </w:p>
        </w:tc>
        <w:tc>
          <w:tcPr>
            <w:tcW w:type="dxa" w:w="1728"/>
          </w:tcPr>
          <w:p>
            <w:pPr>
              <w:jc w:val="center"/>
            </w:pPr>
            <w:r>
              <w:rPr>
                <w:sz w:val="19"/>
              </w:rPr>
              <w:t>Scale → Enterprise (2%)</w:t>
            </w:r>
          </w:p>
        </w:tc>
      </w:tr>
      <w:tr>
        <w:tc>
          <w:tcPr>
            <w:tcW w:type="dxa" w:w="1728"/>
          </w:tcPr>
          <w:p>
            <w:pPr>
              <w:jc w:val="center"/>
            </w:pPr>
            <w:r>
              <w:rPr>
                <w:sz w:val="19"/>
              </w:rPr>
              <w:t>FY2030</w:t>
            </w:r>
          </w:p>
        </w:tc>
        <w:tc>
          <w:tcPr>
            <w:tcW w:type="dxa" w:w="1728"/>
          </w:tcPr>
          <w:p>
            <w:pPr>
              <w:jc w:val="center"/>
            </w:pPr>
            <w:r>
              <w:rPr>
                <w:sz w:val="19"/>
              </w:rPr>
              <w:t>30,000</w:t>
            </w:r>
          </w:p>
        </w:tc>
        <w:tc>
          <w:tcPr>
            <w:tcW w:type="dxa" w:w="1728"/>
          </w:tcPr>
          <w:p>
            <w:pPr>
              <w:jc w:val="center"/>
            </w:pPr>
            <w:r>
              <w:rPr>
                <w:sz w:val="19"/>
              </w:rPr>
              <w:t>95,000</w:t>
            </w:r>
          </w:p>
        </w:tc>
        <w:tc>
          <w:tcPr>
            <w:tcW w:type="dxa" w:w="1728"/>
          </w:tcPr>
          <w:p>
            <w:pPr>
              <w:jc w:val="center"/>
            </w:pPr>
            <w:r>
              <w:rPr>
                <w:sz w:val="19"/>
              </w:rPr>
              <w:t>125,000</w:t>
            </w:r>
          </w:p>
        </w:tc>
        <w:tc>
          <w:tcPr>
            <w:tcW w:type="dxa" w:w="1728"/>
          </w:tcPr>
          <w:p>
            <w:pPr>
              <w:jc w:val="center"/>
            </w:pPr>
            <w:r>
              <w:rPr>
                <w:sz w:val="19"/>
              </w:rPr>
              <w:t>Scale → Enterprise (38%)</w:t>
            </w:r>
          </w:p>
        </w:tc>
      </w:tr>
      <w:tr>
        <w:tc>
          <w:tcPr>
            <w:tcW w:type="dxa" w:w="1728"/>
          </w:tcPr>
          <w:p>
            <w:pPr>
              <w:jc w:val="center"/>
            </w:pPr>
            <w:r>
              <w:rPr>
                <w:sz w:val="19"/>
              </w:rPr>
              <w:t>FY2031</w:t>
            </w:r>
          </w:p>
        </w:tc>
        <w:tc>
          <w:tcPr>
            <w:tcW w:type="dxa" w:w="1728"/>
          </w:tcPr>
          <w:p>
            <w:pPr>
              <w:jc w:val="center"/>
            </w:pPr>
            <w:r>
              <w:rPr>
                <w:sz w:val="19"/>
              </w:rPr>
              <w:t>55,000</w:t>
            </w:r>
          </w:p>
        </w:tc>
        <w:tc>
          <w:tcPr>
            <w:tcW w:type="dxa" w:w="1728"/>
          </w:tcPr>
          <w:p>
            <w:pPr>
              <w:jc w:val="center"/>
            </w:pPr>
            <w:r>
              <w:rPr>
                <w:sz w:val="19"/>
              </w:rPr>
              <w:t>200,000</w:t>
            </w:r>
          </w:p>
        </w:tc>
        <w:tc>
          <w:tcPr>
            <w:tcW w:type="dxa" w:w="1728"/>
          </w:tcPr>
          <w:p>
            <w:pPr>
              <w:jc w:val="center"/>
            </w:pPr>
            <w:r>
              <w:rPr>
                <w:sz w:val="19"/>
              </w:rPr>
              <w:t>255,000</w:t>
            </w:r>
          </w:p>
        </w:tc>
        <w:tc>
          <w:tcPr>
            <w:tcW w:type="dxa" w:w="1728"/>
          </w:tcPr>
          <w:p>
            <w:pPr>
              <w:jc w:val="center"/>
            </w:pPr>
            <w:r>
              <w:rPr>
                <w:sz w:val="19"/>
              </w:rPr>
              <w:t>Enterprise</w:t>
            </w:r>
          </w:p>
        </w:tc>
      </w:tr>
    </w:tbl>
    <w:p/>
    <w:p>
      <w:r>
        <w:t>US overtakes Canada in users by Year 2, reflecting the ~10× larger addressable market. Combined user growth pushes infrastructure into higher tiers faster than either market alone — reaching Enterprise tier by Year 5.</w:t>
      </w:r>
    </w:p>
    <w:p>
      <w:pPr>
        <w:pStyle w:val="Heading1"/>
      </w:pPr>
      <w:r>
        <w:t>9. Revenue Model</w:t>
      </w:r>
    </w:p>
    <w:p>
      <w:pPr>
        <w:pStyle w:val="Heading2"/>
      </w:pPr>
      <w:r>
        <w:t>Canadian Transaction Fee Revenue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Parameter</w:t>
            </w:r>
          </w:p>
        </w:tc>
        <w:tc>
          <w:tcPr>
            <w:tcW w:type="dxa" w:w="2160"/>
          </w:tcPr>
          <w:p>
            <w:pPr>
              <w:jc w:val="center"/>
            </w:pPr>
            <w:r>
              <w:rPr>
                <w:b/>
                <w:sz w:val="19"/>
              </w:rPr>
              <w:t>Year 1</w:t>
            </w:r>
          </w:p>
        </w:tc>
        <w:tc>
          <w:tcPr>
            <w:tcW w:type="dxa" w:w="2160"/>
          </w:tcPr>
          <w:p>
            <w:pPr>
              <w:jc w:val="center"/>
            </w:pPr>
            <w:r>
              <w:rPr>
                <w:b/>
                <w:sz w:val="19"/>
              </w:rPr>
              <w:t>Year 5</w:t>
            </w:r>
          </w:p>
        </w:tc>
        <w:tc>
          <w:tcPr>
            <w:tcW w:type="dxa" w:w="2160"/>
          </w:tcPr>
          <w:p>
            <w:pPr>
              <w:jc w:val="center"/>
            </w:pPr>
            <w:r>
              <w:rPr>
                <w:b/>
                <w:sz w:val="19"/>
              </w:rPr>
              <w:t>Source</w:t>
            </w:r>
          </w:p>
        </w:tc>
      </w:tr>
      <w:tr>
        <w:tc>
          <w:tcPr>
            <w:tcW w:type="dxa" w:w="2160"/>
          </w:tcPr>
          <w:p>
            <w:pPr>
              <w:jc w:val="center"/>
            </w:pPr>
            <w:r>
              <w:rPr>
                <w:sz w:val="19"/>
              </w:rPr>
              <w:t>Active donor %</w:t>
            </w:r>
          </w:p>
        </w:tc>
        <w:tc>
          <w:tcPr>
            <w:tcW w:type="dxa" w:w="2160"/>
          </w:tcPr>
          <w:p>
            <w:pPr>
              <w:jc w:val="center"/>
            </w:pPr>
            <w:r>
              <w:rPr>
                <w:sz w:val="19"/>
              </w:rPr>
              <w:t>8–12%</w:t>
            </w:r>
          </w:p>
        </w:tc>
        <w:tc>
          <w:tcPr>
            <w:tcW w:type="dxa" w:w="2160"/>
          </w:tcPr>
          <w:p>
            <w:pPr>
              <w:jc w:val="center"/>
            </w:pPr>
            <w:r>
              <w:rPr>
                <w:sz w:val="19"/>
              </w:rPr>
              <w:t>21%</w:t>
            </w:r>
          </w:p>
        </w:tc>
        <w:tc>
          <w:tcPr>
            <w:tcW w:type="dxa" w:w="2160"/>
          </w:tcPr>
          <w:p>
            <w:pPr>
              <w:jc w:val="center"/>
            </w:pPr>
            <w:r>
              <w:rPr>
                <w:sz w:val="19"/>
              </w:rPr>
              <w:t>Industry avg: 10–15% (M+R 2024)</w:t>
            </w:r>
          </w:p>
        </w:tc>
      </w:tr>
      <w:tr>
        <w:tc>
          <w:tcPr>
            <w:tcW w:type="dxa" w:w="2160"/>
          </w:tcPr>
          <w:p>
            <w:pPr>
              <w:jc w:val="center"/>
            </w:pPr>
            <w:r>
              <w:rPr>
                <w:sz w:val="19"/>
              </w:rPr>
              <w:t>Donations per donor/yr</w:t>
            </w:r>
          </w:p>
        </w:tc>
        <w:tc>
          <w:tcPr>
            <w:tcW w:type="dxa" w:w="2160"/>
          </w:tcPr>
          <w:p>
            <w:pPr>
              <w:jc w:val="center"/>
            </w:pPr>
            <w:r>
              <w:rPr>
                <w:sz w:val="19"/>
              </w:rPr>
              <w:t>2.0–3.0</w:t>
            </w:r>
          </w:p>
        </w:tc>
        <w:tc>
          <w:tcPr>
            <w:tcW w:type="dxa" w:w="2160"/>
          </w:tcPr>
          <w:p>
            <w:pPr>
              <w:jc w:val="center"/>
            </w:pPr>
            <w:r>
              <w:rPr>
                <w:sz w:val="19"/>
              </w:rPr>
              <w:t>4.8</w:t>
            </w:r>
          </w:p>
        </w:tc>
        <w:tc>
          <w:tcPr>
            <w:tcW w:type="dxa" w:w="2160"/>
          </w:tcPr>
          <w:p>
            <w:pPr>
              <w:jc w:val="center"/>
            </w:pPr>
            <w:r>
              <w:rPr>
                <w:sz w:val="19"/>
              </w:rPr>
              <w:t>CanadaHelps avg: 3.2 txns/donor/yr</w:t>
            </w:r>
          </w:p>
        </w:tc>
      </w:tr>
      <w:tr>
        <w:tc>
          <w:tcPr>
            <w:tcW w:type="dxa" w:w="2160"/>
          </w:tcPr>
          <w:p>
            <w:pPr>
              <w:jc w:val="center"/>
            </w:pPr>
            <w:r>
              <w:rPr>
                <w:sz w:val="19"/>
              </w:rPr>
              <w:t>Avg donation</w:t>
            </w:r>
          </w:p>
        </w:tc>
        <w:tc>
          <w:tcPr>
            <w:tcW w:type="dxa" w:w="2160"/>
          </w:tcPr>
          <w:p>
            <w:pPr>
              <w:jc w:val="center"/>
            </w:pPr>
            <w:r>
              <w:rPr>
                <w:sz w:val="19"/>
              </w:rPr>
              <w:t>$320–350</w:t>
            </w:r>
          </w:p>
        </w:tc>
        <w:tc>
          <w:tcPr>
            <w:tcW w:type="dxa" w:w="2160"/>
          </w:tcPr>
          <w:p>
            <w:pPr>
              <w:jc w:val="center"/>
            </w:pPr>
            <w:r>
              <w:rPr>
                <w:sz w:val="19"/>
              </w:rPr>
              <w:t>$500</w:t>
            </w:r>
          </w:p>
        </w:tc>
        <w:tc>
          <w:tcPr>
            <w:tcW w:type="dxa" w:w="2160"/>
          </w:tcPr>
          <w:p>
            <w:pPr>
              <w:jc w:val="center"/>
            </w:pPr>
            <w:r>
              <w:rPr>
                <w:sz w:val="19"/>
              </w:rPr>
              <w:t>CRA T1 2023: median $390, online avg $500</w:t>
            </w:r>
          </w:p>
        </w:tc>
      </w:tr>
      <w:tr>
        <w:tc>
          <w:tcPr>
            <w:tcW w:type="dxa" w:w="2160"/>
          </w:tcPr>
          <w:p>
            <w:pPr>
              <w:jc w:val="center"/>
            </w:pPr>
            <w:r>
              <w:rPr>
                <w:sz w:val="19"/>
              </w:rPr>
              <w:t>Platform fee</w:t>
            </w:r>
          </w:p>
        </w:tc>
        <w:tc>
          <w:tcPr>
            <w:tcW w:type="dxa" w:w="2160"/>
          </w:tcPr>
          <w:p>
            <w:pPr>
              <w:jc w:val="center"/>
            </w:pPr>
            <w:r>
              <w:rPr>
                <w:sz w:val="19"/>
              </w:rPr>
              <w:t>3.5%</w:t>
            </w:r>
          </w:p>
        </w:tc>
        <w:tc>
          <w:tcPr>
            <w:tcW w:type="dxa" w:w="2160"/>
          </w:tcPr>
          <w:p>
            <w:pPr>
              <w:jc w:val="center"/>
            </w:pPr>
            <w:r>
              <w:rPr>
                <w:sz w:val="19"/>
              </w:rPr>
              <w:t>3.2%</w:t>
            </w:r>
          </w:p>
        </w:tc>
        <w:tc>
          <w:tcPr>
            <w:tcW w:type="dxa" w:w="2160"/>
          </w:tcPr>
          <w:p>
            <w:pPr>
              <w:jc w:val="center"/>
            </w:pPr>
            <w:r>
              <w:rPr>
                <w:sz w:val="19"/>
              </w:rPr>
              <w:t>CanadaHelps: 4.0%; GoFundMe: 2.9%</w:t>
            </w:r>
          </w:p>
        </w:tc>
      </w:tr>
    </w:tbl>
    <w:p/>
    <w:p>
      <w:pPr>
        <w:pStyle w:val="Heading2"/>
      </w:pPr>
      <w:r>
        <w:t>US Revenue 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Parameter</w:t>
            </w:r>
          </w:p>
        </w:tc>
        <w:tc>
          <w:tcPr>
            <w:tcW w:type="dxa" w:w="2160"/>
          </w:tcPr>
          <w:p>
            <w:pPr>
              <w:jc w:val="center"/>
            </w:pPr>
            <w:r>
              <w:rPr>
                <w:b/>
                <w:sz w:val="19"/>
              </w:rPr>
              <w:t>Year 1 (8 mo)</w:t>
            </w:r>
          </w:p>
        </w:tc>
        <w:tc>
          <w:tcPr>
            <w:tcW w:type="dxa" w:w="2160"/>
          </w:tcPr>
          <w:p>
            <w:pPr>
              <w:jc w:val="center"/>
            </w:pPr>
            <w:r>
              <w:rPr>
                <w:b/>
                <w:sz w:val="19"/>
              </w:rPr>
              <w:t>Year 5</w:t>
            </w:r>
          </w:p>
        </w:tc>
        <w:tc>
          <w:tcPr>
            <w:tcW w:type="dxa" w:w="2160"/>
          </w:tcPr>
          <w:p>
            <w:pPr>
              <w:jc w:val="center"/>
            </w:pPr>
            <w:r>
              <w:rPr>
                <w:b/>
                <w:sz w:val="19"/>
              </w:rPr>
              <w:t>Source</w:t>
            </w:r>
          </w:p>
        </w:tc>
      </w:tr>
      <w:tr>
        <w:tc>
          <w:tcPr>
            <w:tcW w:type="dxa" w:w="2160"/>
          </w:tcPr>
          <w:p>
            <w:pPr>
              <w:jc w:val="center"/>
            </w:pPr>
            <w:r>
              <w:rPr>
                <w:sz w:val="19"/>
              </w:rPr>
              <w:t>Active donor %</w:t>
            </w:r>
          </w:p>
        </w:tc>
        <w:tc>
          <w:tcPr>
            <w:tcW w:type="dxa" w:w="2160"/>
          </w:tcPr>
          <w:p>
            <w:pPr>
              <w:jc w:val="center"/>
            </w:pPr>
            <w:r>
              <w:rPr>
                <w:sz w:val="19"/>
              </w:rPr>
              <w:t>8%</w:t>
            </w:r>
          </w:p>
        </w:tc>
        <w:tc>
          <w:tcPr>
            <w:tcW w:type="dxa" w:w="2160"/>
          </w:tcPr>
          <w:p>
            <w:pPr>
              <w:jc w:val="center"/>
            </w:pPr>
            <w:r>
              <w:rPr>
                <w:sz w:val="19"/>
              </w:rPr>
              <w:t>19%</w:t>
            </w:r>
          </w:p>
        </w:tc>
        <w:tc>
          <w:tcPr>
            <w:tcW w:type="dxa" w:w="2160"/>
          </w:tcPr>
          <w:p>
            <w:pPr>
              <w:jc w:val="center"/>
            </w:pPr>
            <w:r>
              <w:rPr>
                <w:sz w:val="19"/>
              </w:rPr>
              <w:t>Lower than CA; US market more competitive</w:t>
            </w:r>
          </w:p>
        </w:tc>
      </w:tr>
      <w:tr>
        <w:tc>
          <w:tcPr>
            <w:tcW w:type="dxa" w:w="2160"/>
          </w:tcPr>
          <w:p>
            <w:pPr>
              <w:jc w:val="center"/>
            </w:pPr>
            <w:r>
              <w:rPr>
                <w:sz w:val="19"/>
              </w:rPr>
              <w:t>Donations per donor/yr</w:t>
            </w:r>
          </w:p>
        </w:tc>
        <w:tc>
          <w:tcPr>
            <w:tcW w:type="dxa" w:w="2160"/>
          </w:tcPr>
          <w:p>
            <w:pPr>
              <w:jc w:val="center"/>
            </w:pPr>
            <w:r>
              <w:rPr>
                <w:sz w:val="19"/>
              </w:rPr>
              <w:t>2.0</w:t>
            </w:r>
          </w:p>
        </w:tc>
        <w:tc>
          <w:tcPr>
            <w:tcW w:type="dxa" w:w="2160"/>
          </w:tcPr>
          <w:p>
            <w:pPr>
              <w:jc w:val="center"/>
            </w:pPr>
            <w:r>
              <w:rPr>
                <w:sz w:val="19"/>
              </w:rPr>
              <w:t>4.5</w:t>
            </w:r>
          </w:p>
        </w:tc>
        <w:tc>
          <w:tcPr>
            <w:tcW w:type="dxa" w:w="2160"/>
          </w:tcPr>
          <w:p>
            <w:pPr>
              <w:jc w:val="center"/>
            </w:pPr>
            <w:r>
              <w:rPr>
                <w:sz w:val="19"/>
              </w:rPr>
              <w:t>US online avg lower frequency (Network for Good 2023)</w:t>
            </w:r>
          </w:p>
        </w:tc>
      </w:tr>
      <w:tr>
        <w:tc>
          <w:tcPr>
            <w:tcW w:type="dxa" w:w="2160"/>
          </w:tcPr>
          <w:p>
            <w:pPr>
              <w:jc w:val="center"/>
            </w:pPr>
            <w:r>
              <w:rPr>
                <w:sz w:val="19"/>
              </w:rPr>
              <w:t>Avg donation (USD)</w:t>
            </w:r>
          </w:p>
        </w:tc>
        <w:tc>
          <w:tcPr>
            <w:tcW w:type="dxa" w:w="2160"/>
          </w:tcPr>
          <w:p>
            <w:pPr>
              <w:jc w:val="center"/>
            </w:pPr>
            <w:r>
              <w:rPr>
                <w:sz w:val="19"/>
              </w:rPr>
              <w:t>$250</w:t>
            </w:r>
          </w:p>
        </w:tc>
        <w:tc>
          <w:tcPr>
            <w:tcW w:type="dxa" w:w="2160"/>
          </w:tcPr>
          <w:p>
            <w:pPr>
              <w:jc w:val="center"/>
            </w:pPr>
            <w:r>
              <w:rPr>
                <w:sz w:val="19"/>
              </w:rPr>
              <w:t>$400</w:t>
            </w:r>
          </w:p>
        </w:tc>
        <w:tc>
          <w:tcPr>
            <w:tcW w:type="dxa" w:w="2160"/>
          </w:tcPr>
          <w:p>
            <w:pPr>
              <w:jc w:val="center"/>
            </w:pPr>
            <w:r>
              <w:rPr>
                <w:sz w:val="19"/>
              </w:rPr>
              <w:t>US online avg $200–250; trends up with maturity</w:t>
            </w:r>
          </w:p>
        </w:tc>
      </w:tr>
      <w:tr>
        <w:tc>
          <w:tcPr>
            <w:tcW w:type="dxa" w:w="2160"/>
          </w:tcPr>
          <w:p>
            <w:pPr>
              <w:jc w:val="center"/>
            </w:pPr>
            <w:r>
              <w:rPr>
                <w:sz w:val="19"/>
              </w:rPr>
              <w:t>Platform fee</w:t>
            </w:r>
          </w:p>
        </w:tc>
        <w:tc>
          <w:tcPr>
            <w:tcW w:type="dxa" w:w="2160"/>
          </w:tcPr>
          <w:p>
            <w:pPr>
              <w:jc w:val="center"/>
            </w:pPr>
            <w:r>
              <w:rPr>
                <w:sz w:val="19"/>
              </w:rPr>
              <w:t>3.5%</w:t>
            </w:r>
          </w:p>
        </w:tc>
        <w:tc>
          <w:tcPr>
            <w:tcW w:type="dxa" w:w="2160"/>
          </w:tcPr>
          <w:p>
            <w:pPr>
              <w:jc w:val="center"/>
            </w:pPr>
            <w:r>
              <w:rPr>
                <w:sz w:val="19"/>
              </w:rPr>
              <w:t>3.2%</w:t>
            </w:r>
          </w:p>
        </w:tc>
        <w:tc>
          <w:tcPr>
            <w:tcW w:type="dxa" w:w="2160"/>
          </w:tcPr>
          <w:p>
            <w:pPr>
              <w:jc w:val="center"/>
            </w:pPr>
            <w:r>
              <w:rPr>
                <w:sz w:val="19"/>
              </w:rPr>
              <w:t>Same trajectory as CA; competitive with US market</w:t>
            </w:r>
          </w:p>
        </w:tc>
      </w:tr>
      <w:tr>
        <w:tc>
          <w:tcPr>
            <w:tcW w:type="dxa" w:w="2160"/>
          </w:tcPr>
          <w:p>
            <w:pPr>
              <w:jc w:val="center"/>
            </w:pPr>
            <w:r>
              <w:rPr>
                <w:sz w:val="19"/>
              </w:rPr>
              <w:t>Stripe fee (US)</w:t>
            </w:r>
          </w:p>
        </w:tc>
        <w:tc>
          <w:tcPr>
            <w:tcW w:type="dxa" w:w="2160"/>
          </w:tcPr>
          <w:p>
            <w:pPr>
              <w:jc w:val="center"/>
            </w:pPr>
            <w:r>
              <w:rPr>
                <w:sz w:val="19"/>
              </w:rPr>
              <w:t>2.2% + $0.30</w:t>
            </w:r>
          </w:p>
        </w:tc>
        <w:tc>
          <w:tcPr>
            <w:tcW w:type="dxa" w:w="2160"/>
          </w:tcPr>
          <w:p>
            <w:pPr>
              <w:jc w:val="center"/>
            </w:pPr>
            <w:r>
              <w:rPr>
                <w:sz w:val="19"/>
              </w:rPr>
              <w:t>2.2% + $0.30</w:t>
            </w:r>
          </w:p>
        </w:tc>
        <w:tc>
          <w:tcPr>
            <w:tcW w:type="dxa" w:w="2160"/>
          </w:tcPr>
          <w:p>
            <w:pPr>
              <w:jc w:val="center"/>
            </w:pPr>
            <w:r>
              <w:rPr>
                <w:sz w:val="19"/>
              </w:rPr>
              <w:t>Stripe 501(c)(3) nonprofit discount</w:t>
            </w:r>
          </w:p>
        </w:tc>
      </w:tr>
    </w:tbl>
    <w:p/>
    <w:p>
      <w:pPr>
        <w:pStyle w:val="Heading2"/>
      </w:pPr>
      <w:r>
        <w:t>Payment Processing (Stripe)</w:t>
      </w:r>
    </w:p>
    <w:p>
      <w:r>
        <w:t>Stripe fees are modeled as a cost of revenue. Both CA and US use the nonprofit discount rate of 2.2% + $0.30 per transaction. Stripe offers verified 501(c)(3) / registered charity organizations this discounted rate (vs standard 2.9% + $0.30).</w:t>
      </w:r>
    </w:p>
    <w:p>
      <w:pPr>
        <w:pStyle w:val="Heading3"/>
      </w:pPr>
      <w:r>
        <w:t>Revenue Formula</w:t>
      </w:r>
    </w:p>
    <w:p>
      <w:r>
        <w:t>Active Donors = Users × Active Donor %</w:t>
        <w:br/>
        <w:t>Total Txns = Active Donors × Donations/Donor</w:t>
        <w:br/>
        <w:t>Donation Volume = Total Txns × Avg Donation</w:t>
        <w:br/>
        <w:t>Transaction Fee Revenue = Donation Volume × Platform Fee %</w:t>
      </w:r>
    </w:p>
    <w:p>
      <w:pPr>
        <w:pStyle w:val="Heading3"/>
      </w:pPr>
      <w:r>
        <w:t>Net Revenue Per Transaction</w:t>
      </w:r>
    </w:p>
    <w:p>
      <w:r>
        <w:t>Example — CA Year 1 ($350 avg donation, 3.5% fee):</w:t>
        <w:br/>
        <w:t xml:space="preserve">  Gross fee = $350 × 3.5% = $12.25</w:t>
        <w:br/>
        <w:t xml:space="preserve">  Stripe cost = $350 × 2.2% + $0.30 = $8.00</w:t>
        <w:br/>
        <w:t xml:space="preserve">  Net revenue = $4.25 (1.21% effective net margin)</w:t>
      </w:r>
    </w:p>
    <w:p>
      <w:r>
        <w:t>Example — US Year 1 ($250 avg donation, 3.5% fee):</w:t>
        <w:br/>
        <w:t xml:space="preserve">  Gross fee = $250 × 3.5% = $8.75</w:t>
        <w:br/>
        <w:t xml:space="preserve">  Stripe cost = $250 × 2.2% + $0.30 = $5.80</w:t>
        <w:br/>
        <w:t xml:space="preserve">  Net revenue = $2.95 (1.18% effective net margin)</w:t>
      </w:r>
    </w:p>
    <w:p>
      <w:pPr>
        <w:pStyle w:val="Heading2"/>
      </w:pPr>
      <w:r>
        <w:t>Charity Partner SaaS Revenue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Year</w:t>
            </w:r>
          </w:p>
        </w:tc>
        <w:tc>
          <w:tcPr>
            <w:tcW w:type="dxa" w:w="2160"/>
          </w:tcPr>
          <w:p>
            <w:pPr>
              <w:jc w:val="center"/>
            </w:pPr>
            <w:r>
              <w:rPr>
                <w:b/>
                <w:sz w:val="19"/>
              </w:rPr>
              <w:t>Partners</w:t>
            </w:r>
          </w:p>
        </w:tc>
        <w:tc>
          <w:tcPr>
            <w:tcW w:type="dxa" w:w="2160"/>
          </w:tcPr>
          <w:p>
            <w:pPr>
              <w:jc w:val="center"/>
            </w:pPr>
            <w:r>
              <w:rPr>
                <w:b/>
                <w:sz w:val="19"/>
              </w:rPr>
              <w:t>Avg Annual Fee</w:t>
            </w:r>
          </w:p>
        </w:tc>
        <w:tc>
          <w:tcPr>
            <w:tcW w:type="dxa" w:w="2160"/>
          </w:tcPr>
          <w:p>
            <w:pPr>
              <w:jc w:val="center"/>
            </w:pPr>
            <w:r>
              <w:rPr>
                <w:b/>
                <w:sz w:val="19"/>
              </w:rPr>
              <w:t>Total</w:t>
            </w:r>
          </w:p>
        </w:tc>
      </w:tr>
      <w:tr>
        <w:tc>
          <w:tcPr>
            <w:tcW w:type="dxa" w:w="2160"/>
          </w:tcPr>
          <w:p>
            <w:pPr>
              <w:jc w:val="center"/>
            </w:pPr>
            <w:r>
              <w:rPr>
                <w:sz w:val="19"/>
              </w:rPr>
              <w:t>FY2027</w:t>
            </w:r>
          </w:p>
        </w:tc>
        <w:tc>
          <w:tcPr>
            <w:tcW w:type="dxa" w:w="2160"/>
          </w:tcPr>
          <w:p>
            <w:pPr>
              <w:jc w:val="center"/>
            </w:pPr>
            <w:r>
              <w:rPr>
                <w:sz w:val="19"/>
              </w:rPr>
              <w:t>1–5</w:t>
            </w:r>
          </w:p>
        </w:tc>
        <w:tc>
          <w:tcPr>
            <w:tcW w:type="dxa" w:w="2160"/>
          </w:tcPr>
          <w:p>
            <w:pPr>
              <w:jc w:val="center"/>
            </w:pPr>
            <w:r>
              <w:rPr>
                <w:sz w:val="19"/>
              </w:rPr>
              <w:t>$600</w:t>
            </w:r>
          </w:p>
        </w:tc>
        <w:tc>
          <w:tcPr>
            <w:tcW w:type="dxa" w:w="2160"/>
          </w:tcPr>
          <w:p>
            <w:pPr>
              <w:jc w:val="center"/>
            </w:pPr>
            <w:r>
              <w:rPr>
                <w:sz w:val="19"/>
              </w:rPr>
              <w:t>$600–$3,000</w:t>
            </w:r>
          </w:p>
        </w:tc>
      </w:tr>
      <w:tr>
        <w:tc>
          <w:tcPr>
            <w:tcW w:type="dxa" w:w="2160"/>
          </w:tcPr>
          <w:p>
            <w:pPr>
              <w:jc w:val="center"/>
            </w:pPr>
            <w:r>
              <w:rPr>
                <w:sz w:val="19"/>
              </w:rPr>
              <w:t>FY2028</w:t>
            </w:r>
          </w:p>
        </w:tc>
        <w:tc>
          <w:tcPr>
            <w:tcW w:type="dxa" w:w="2160"/>
          </w:tcPr>
          <w:p>
            <w:pPr>
              <w:jc w:val="center"/>
            </w:pPr>
            <w:r>
              <w:rPr>
                <w:sz w:val="19"/>
              </w:rPr>
              <w:t>10–35</w:t>
            </w:r>
          </w:p>
        </w:tc>
        <w:tc>
          <w:tcPr>
            <w:tcW w:type="dxa" w:w="2160"/>
          </w:tcPr>
          <w:p>
            <w:pPr>
              <w:jc w:val="center"/>
            </w:pPr>
            <w:r>
              <w:rPr>
                <w:sz w:val="19"/>
              </w:rPr>
              <w:t>$900</w:t>
            </w:r>
          </w:p>
        </w:tc>
        <w:tc>
          <w:tcPr>
            <w:tcW w:type="dxa" w:w="2160"/>
          </w:tcPr>
          <w:p>
            <w:pPr>
              <w:jc w:val="center"/>
            </w:pPr>
            <w:r>
              <w:rPr>
                <w:sz w:val="19"/>
              </w:rPr>
              <w:t>$9,000–$31,500</w:t>
            </w:r>
          </w:p>
        </w:tc>
      </w:tr>
      <w:tr>
        <w:tc>
          <w:tcPr>
            <w:tcW w:type="dxa" w:w="2160"/>
          </w:tcPr>
          <w:p>
            <w:pPr>
              <w:jc w:val="center"/>
            </w:pPr>
            <w:r>
              <w:rPr>
                <w:sz w:val="19"/>
              </w:rPr>
              <w:t>FY2029</w:t>
            </w:r>
          </w:p>
        </w:tc>
        <w:tc>
          <w:tcPr>
            <w:tcW w:type="dxa" w:w="2160"/>
          </w:tcPr>
          <w:p>
            <w:pPr>
              <w:jc w:val="center"/>
            </w:pPr>
            <w:r>
              <w:rPr>
                <w:sz w:val="19"/>
              </w:rPr>
              <w:t>40–80</w:t>
            </w:r>
          </w:p>
        </w:tc>
        <w:tc>
          <w:tcPr>
            <w:tcW w:type="dxa" w:w="2160"/>
          </w:tcPr>
          <w:p>
            <w:pPr>
              <w:jc w:val="center"/>
            </w:pPr>
            <w:r>
              <w:rPr>
                <w:sz w:val="19"/>
              </w:rPr>
              <w:t>$1,200</w:t>
            </w:r>
          </w:p>
        </w:tc>
        <w:tc>
          <w:tcPr>
            <w:tcW w:type="dxa" w:w="2160"/>
          </w:tcPr>
          <w:p>
            <w:pPr>
              <w:jc w:val="center"/>
            </w:pPr>
            <w:r>
              <w:rPr>
                <w:sz w:val="19"/>
              </w:rPr>
              <w:t>$48,000–$96,000</w:t>
            </w:r>
          </w:p>
        </w:tc>
      </w:tr>
      <w:tr>
        <w:tc>
          <w:tcPr>
            <w:tcW w:type="dxa" w:w="2160"/>
          </w:tcPr>
          <w:p>
            <w:pPr>
              <w:jc w:val="center"/>
            </w:pPr>
            <w:r>
              <w:rPr>
                <w:sz w:val="19"/>
              </w:rPr>
              <w:t>FY2030</w:t>
            </w:r>
          </w:p>
        </w:tc>
        <w:tc>
          <w:tcPr>
            <w:tcW w:type="dxa" w:w="2160"/>
          </w:tcPr>
          <w:p>
            <w:pPr>
              <w:jc w:val="center"/>
            </w:pPr>
            <w:r>
              <w:rPr>
                <w:sz w:val="19"/>
              </w:rPr>
              <w:t>100–150</w:t>
            </w:r>
          </w:p>
        </w:tc>
        <w:tc>
          <w:tcPr>
            <w:tcW w:type="dxa" w:w="2160"/>
          </w:tcPr>
          <w:p>
            <w:pPr>
              <w:jc w:val="center"/>
            </w:pPr>
            <w:r>
              <w:rPr>
                <w:sz w:val="19"/>
              </w:rPr>
              <w:t>$1,500</w:t>
            </w:r>
          </w:p>
        </w:tc>
        <w:tc>
          <w:tcPr>
            <w:tcW w:type="dxa" w:w="2160"/>
          </w:tcPr>
          <w:p>
            <w:pPr>
              <w:jc w:val="center"/>
            </w:pPr>
            <w:r>
              <w:rPr>
                <w:sz w:val="19"/>
              </w:rPr>
              <w:t>$150,000–$225,000</w:t>
            </w:r>
          </w:p>
        </w:tc>
      </w:tr>
      <w:tr>
        <w:tc>
          <w:tcPr>
            <w:tcW w:type="dxa" w:w="2160"/>
          </w:tcPr>
          <w:p>
            <w:pPr>
              <w:jc w:val="center"/>
            </w:pPr>
            <w:r>
              <w:rPr>
                <w:sz w:val="19"/>
              </w:rPr>
              <w:t>FY2031</w:t>
            </w:r>
          </w:p>
        </w:tc>
        <w:tc>
          <w:tcPr>
            <w:tcW w:type="dxa" w:w="2160"/>
          </w:tcPr>
          <w:p>
            <w:pPr>
              <w:jc w:val="center"/>
            </w:pPr>
            <w:r>
              <w:rPr>
                <w:sz w:val="19"/>
              </w:rPr>
              <w:t>250–280</w:t>
            </w:r>
          </w:p>
        </w:tc>
        <w:tc>
          <w:tcPr>
            <w:tcW w:type="dxa" w:w="2160"/>
          </w:tcPr>
          <w:p>
            <w:pPr>
              <w:jc w:val="center"/>
            </w:pPr>
            <w:r>
              <w:rPr>
                <w:sz w:val="19"/>
              </w:rPr>
              <w:t>$1,800</w:t>
            </w:r>
          </w:p>
        </w:tc>
        <w:tc>
          <w:tcPr>
            <w:tcW w:type="dxa" w:w="2160"/>
          </w:tcPr>
          <w:p>
            <w:pPr>
              <w:jc w:val="center"/>
            </w:pPr>
            <w:r>
              <w:rPr>
                <w:sz w:val="19"/>
              </w:rPr>
              <w:t>$450,000–$504,000</w:t>
            </w:r>
          </w:p>
        </w:tc>
      </w:tr>
    </w:tbl>
    <w:p>
      <w:pPr>
        <w:pStyle w:val="Heading1"/>
      </w:pPr>
      <w:r>
        <w:t>10. Donation Seasonality</w:t>
      </w:r>
    </w:p>
    <w:p>
      <w:r>
        <w:t>Donation revenue and Stripe processing fees follow a giving-season curve. SaaS revenue and infrastructure costs use uniform monthly distribution.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Month</w:t>
            </w:r>
          </w:p>
        </w:tc>
        <w:tc>
          <w:tcPr>
            <w:tcW w:type="dxa" w:w="2160"/>
          </w:tcPr>
          <w:p>
            <w:pPr>
              <w:jc w:val="center"/>
            </w:pPr>
            <w:r>
              <w:rPr>
                <w:b/>
                <w:sz w:val="19"/>
              </w:rPr>
              <w:t>Donation Weight</w:t>
            </w:r>
          </w:p>
        </w:tc>
        <w:tc>
          <w:tcPr>
            <w:tcW w:type="dxa" w:w="2160"/>
          </w:tcPr>
          <w:p>
            <w:pPr>
              <w:jc w:val="center"/>
            </w:pPr>
            <w:r>
              <w:rPr>
                <w:b/>
                <w:sz w:val="19"/>
              </w:rPr>
              <w:t>Marketing Weight</w:t>
            </w:r>
          </w:p>
        </w:tc>
        <w:tc>
          <w:tcPr>
            <w:tcW w:type="dxa" w:w="2160"/>
          </w:tcPr>
          <w:p>
            <w:pPr>
              <w:jc w:val="center"/>
            </w:pPr>
            <w:r>
              <w:rPr>
                <w:b/>
                <w:sz w:val="19"/>
              </w:rPr>
              <w:t>Rationale</w:t>
            </w:r>
          </w:p>
        </w:tc>
      </w:tr>
      <w:tr>
        <w:tc>
          <w:tcPr>
            <w:tcW w:type="dxa" w:w="2160"/>
          </w:tcPr>
          <w:p>
            <w:pPr>
              <w:jc w:val="center"/>
            </w:pPr>
            <w:r>
              <w:rPr>
                <w:sz w:val="19"/>
              </w:rPr>
              <w:t>Jan</w:t>
            </w:r>
          </w:p>
        </w:tc>
        <w:tc>
          <w:tcPr>
            <w:tcW w:type="dxa" w:w="2160"/>
          </w:tcPr>
          <w:p>
            <w:pPr>
              <w:jc w:val="center"/>
            </w:pPr>
            <w:r>
              <w:rPr>
                <w:sz w:val="19"/>
              </w:rPr>
              <w:t>8%</w:t>
            </w:r>
          </w:p>
        </w:tc>
        <w:tc>
          <w:tcPr>
            <w:tcW w:type="dxa" w:w="2160"/>
          </w:tcPr>
          <w:p>
            <w:pPr>
              <w:jc w:val="center"/>
            </w:pPr>
            <w:r>
              <w:rPr>
                <w:sz w:val="19"/>
              </w:rPr>
              <w:t>6%</w:t>
            </w:r>
          </w:p>
        </w:tc>
        <w:tc>
          <w:tcPr>
            <w:tcW w:type="dxa" w:w="2160"/>
          </w:tcPr>
          <w:p>
            <w:pPr>
              <w:jc w:val="center"/>
            </w:pPr>
            <w:r>
              <w:rPr>
                <w:sz w:val="19"/>
              </w:rPr>
              <w:t>Post-holiday giving, New Year pledges</w:t>
            </w:r>
          </w:p>
        </w:tc>
      </w:tr>
      <w:tr>
        <w:tc>
          <w:tcPr>
            <w:tcW w:type="dxa" w:w="2160"/>
          </w:tcPr>
          <w:p>
            <w:pPr>
              <w:jc w:val="center"/>
            </w:pPr>
            <w:r>
              <w:rPr>
                <w:sz w:val="19"/>
              </w:rPr>
              <w:t>Feb</w:t>
            </w:r>
          </w:p>
        </w:tc>
        <w:tc>
          <w:tcPr>
            <w:tcW w:type="dxa" w:w="2160"/>
          </w:tcPr>
          <w:p>
            <w:pPr>
              <w:jc w:val="center"/>
            </w:pPr>
            <w:r>
              <w:rPr>
                <w:sz w:val="19"/>
              </w:rPr>
              <w:t>5%</w:t>
            </w:r>
          </w:p>
        </w:tc>
        <w:tc>
          <w:tcPr>
            <w:tcW w:type="dxa" w:w="2160"/>
          </w:tcPr>
          <w:p>
            <w:pPr>
              <w:jc w:val="center"/>
            </w:pPr>
            <w:r>
              <w:rPr>
                <w:sz w:val="19"/>
              </w:rPr>
              <w:t>4%</w:t>
            </w:r>
          </w:p>
        </w:tc>
        <w:tc>
          <w:tcPr>
            <w:tcW w:type="dxa" w:w="2160"/>
          </w:tcPr>
          <w:p>
            <w:pPr>
              <w:jc w:val="center"/>
            </w:pPr>
            <w:r>
              <w:rPr>
                <w:sz w:val="19"/>
              </w:rPr>
              <w:t>Baseline</w:t>
            </w:r>
          </w:p>
        </w:tc>
      </w:tr>
      <w:tr>
        <w:tc>
          <w:tcPr>
            <w:tcW w:type="dxa" w:w="2160"/>
          </w:tcPr>
          <w:p>
            <w:pPr>
              <w:jc w:val="center"/>
            </w:pPr>
            <w:r>
              <w:rPr>
                <w:sz w:val="19"/>
              </w:rPr>
              <w:t>Mar</w:t>
            </w:r>
          </w:p>
        </w:tc>
        <w:tc>
          <w:tcPr>
            <w:tcW w:type="dxa" w:w="2160"/>
          </w:tcPr>
          <w:p>
            <w:pPr>
              <w:jc w:val="center"/>
            </w:pPr>
            <w:r>
              <w:rPr>
                <w:sz w:val="19"/>
              </w:rPr>
              <w:t>6%</w:t>
            </w:r>
          </w:p>
        </w:tc>
        <w:tc>
          <w:tcPr>
            <w:tcW w:type="dxa" w:w="2160"/>
          </w:tcPr>
          <w:p>
            <w:pPr>
              <w:jc w:val="center"/>
            </w:pPr>
            <w:r>
              <w:rPr>
                <w:sz w:val="19"/>
              </w:rPr>
              <w:t>5%</w:t>
            </w:r>
          </w:p>
        </w:tc>
        <w:tc>
          <w:tcPr>
            <w:tcW w:type="dxa" w:w="2160"/>
          </w:tcPr>
          <w:p>
            <w:pPr>
              <w:jc w:val="center"/>
            </w:pPr>
            <w:r>
              <w:rPr>
                <w:sz w:val="19"/>
              </w:rPr>
              <w:t>Fiscal year-end giving</w:t>
            </w:r>
          </w:p>
        </w:tc>
      </w:tr>
      <w:tr>
        <w:tc>
          <w:tcPr>
            <w:tcW w:type="dxa" w:w="2160"/>
          </w:tcPr>
          <w:p>
            <w:pPr>
              <w:jc w:val="center"/>
            </w:pPr>
            <w:r>
              <w:rPr>
                <w:sz w:val="19"/>
              </w:rPr>
              <w:t>Apr</w:t>
            </w:r>
          </w:p>
        </w:tc>
        <w:tc>
          <w:tcPr>
            <w:tcW w:type="dxa" w:w="2160"/>
          </w:tcPr>
          <w:p>
            <w:pPr>
              <w:jc w:val="center"/>
            </w:pPr>
            <w:r>
              <w:rPr>
                <w:sz w:val="19"/>
              </w:rPr>
              <w:t>5%</w:t>
            </w:r>
          </w:p>
        </w:tc>
        <w:tc>
          <w:tcPr>
            <w:tcW w:type="dxa" w:w="2160"/>
          </w:tcPr>
          <w:p>
            <w:pPr>
              <w:jc w:val="center"/>
            </w:pPr>
            <w:r>
              <w:rPr>
                <w:sz w:val="19"/>
              </w:rPr>
              <w:t>4%</w:t>
            </w:r>
          </w:p>
        </w:tc>
        <w:tc>
          <w:tcPr>
            <w:tcW w:type="dxa" w:w="2160"/>
          </w:tcPr>
          <w:p>
            <w:pPr>
              <w:jc w:val="center"/>
            </w:pPr>
            <w:r>
              <w:rPr>
                <w:sz w:val="19"/>
              </w:rPr>
              <w:t>Baseline</w:t>
            </w:r>
          </w:p>
        </w:tc>
      </w:tr>
      <w:tr>
        <w:tc>
          <w:tcPr>
            <w:tcW w:type="dxa" w:w="2160"/>
          </w:tcPr>
          <w:p>
            <w:pPr>
              <w:jc w:val="center"/>
            </w:pPr>
            <w:r>
              <w:rPr>
                <w:sz w:val="19"/>
              </w:rPr>
              <w:t>May</w:t>
            </w:r>
          </w:p>
        </w:tc>
        <w:tc>
          <w:tcPr>
            <w:tcW w:type="dxa" w:w="2160"/>
          </w:tcPr>
          <w:p>
            <w:pPr>
              <w:jc w:val="center"/>
            </w:pPr>
            <w:r>
              <w:rPr>
                <w:sz w:val="19"/>
              </w:rPr>
              <w:t>5%</w:t>
            </w:r>
          </w:p>
        </w:tc>
        <w:tc>
          <w:tcPr>
            <w:tcW w:type="dxa" w:w="2160"/>
          </w:tcPr>
          <w:p>
            <w:pPr>
              <w:jc w:val="center"/>
            </w:pPr>
            <w:r>
              <w:rPr>
                <w:sz w:val="19"/>
              </w:rPr>
              <w:t>4%</w:t>
            </w:r>
          </w:p>
        </w:tc>
        <w:tc>
          <w:tcPr>
            <w:tcW w:type="dxa" w:w="2160"/>
          </w:tcPr>
          <w:p>
            <w:pPr>
              <w:jc w:val="center"/>
            </w:pPr>
            <w:r>
              <w:rPr>
                <w:sz w:val="19"/>
              </w:rPr>
              <w:t>Baseline</w:t>
            </w:r>
          </w:p>
        </w:tc>
      </w:tr>
      <w:tr>
        <w:tc>
          <w:tcPr>
            <w:tcW w:type="dxa" w:w="2160"/>
          </w:tcPr>
          <w:p>
            <w:pPr>
              <w:jc w:val="center"/>
            </w:pPr>
            <w:r>
              <w:rPr>
                <w:sz w:val="19"/>
              </w:rPr>
              <w:t>Jun</w:t>
            </w:r>
          </w:p>
        </w:tc>
        <w:tc>
          <w:tcPr>
            <w:tcW w:type="dxa" w:w="2160"/>
          </w:tcPr>
          <w:p>
            <w:pPr>
              <w:jc w:val="center"/>
            </w:pPr>
            <w:r>
              <w:rPr>
                <w:sz w:val="19"/>
              </w:rPr>
              <w:t>5%</w:t>
            </w:r>
          </w:p>
        </w:tc>
        <w:tc>
          <w:tcPr>
            <w:tcW w:type="dxa" w:w="2160"/>
          </w:tcPr>
          <w:p>
            <w:pPr>
              <w:jc w:val="center"/>
            </w:pPr>
            <w:r>
              <w:rPr>
                <w:sz w:val="19"/>
              </w:rPr>
              <w:t>5%</w:t>
            </w:r>
          </w:p>
        </w:tc>
        <w:tc>
          <w:tcPr>
            <w:tcW w:type="dxa" w:w="2160"/>
          </w:tcPr>
          <w:p>
            <w:pPr>
              <w:jc w:val="center"/>
            </w:pPr>
            <w:r>
              <w:rPr>
                <w:sz w:val="19"/>
              </w:rPr>
              <w:t>Mid-year campaigns</w:t>
            </w:r>
          </w:p>
        </w:tc>
      </w:tr>
      <w:tr>
        <w:tc>
          <w:tcPr>
            <w:tcW w:type="dxa" w:w="2160"/>
          </w:tcPr>
          <w:p>
            <w:pPr>
              <w:jc w:val="center"/>
            </w:pPr>
            <w:r>
              <w:rPr>
                <w:sz w:val="19"/>
              </w:rPr>
              <w:t>Jul</w:t>
            </w:r>
          </w:p>
        </w:tc>
        <w:tc>
          <w:tcPr>
            <w:tcW w:type="dxa" w:w="2160"/>
          </w:tcPr>
          <w:p>
            <w:pPr>
              <w:jc w:val="center"/>
            </w:pPr>
            <w:r>
              <w:rPr>
                <w:sz w:val="19"/>
              </w:rPr>
              <w:t>4%</w:t>
            </w:r>
          </w:p>
        </w:tc>
        <w:tc>
          <w:tcPr>
            <w:tcW w:type="dxa" w:w="2160"/>
          </w:tcPr>
          <w:p>
            <w:pPr>
              <w:jc w:val="center"/>
            </w:pPr>
            <w:r>
              <w:rPr>
                <w:sz w:val="19"/>
              </w:rPr>
              <w:t>5%</w:t>
            </w:r>
          </w:p>
        </w:tc>
        <w:tc>
          <w:tcPr>
            <w:tcW w:type="dxa" w:w="2160"/>
          </w:tcPr>
          <w:p>
            <w:pPr>
              <w:jc w:val="center"/>
            </w:pPr>
            <w:r>
              <w:rPr>
                <w:sz w:val="19"/>
              </w:rPr>
              <w:t>Summer low</w:t>
            </w:r>
          </w:p>
        </w:tc>
      </w:tr>
      <w:tr>
        <w:tc>
          <w:tcPr>
            <w:tcW w:type="dxa" w:w="2160"/>
          </w:tcPr>
          <w:p>
            <w:pPr>
              <w:jc w:val="center"/>
            </w:pPr>
            <w:r>
              <w:rPr>
                <w:sz w:val="19"/>
              </w:rPr>
              <w:t>Aug</w:t>
            </w:r>
          </w:p>
        </w:tc>
        <w:tc>
          <w:tcPr>
            <w:tcW w:type="dxa" w:w="2160"/>
          </w:tcPr>
          <w:p>
            <w:pPr>
              <w:jc w:val="center"/>
            </w:pPr>
            <w:r>
              <w:rPr>
                <w:sz w:val="19"/>
              </w:rPr>
              <w:t>4%</w:t>
            </w:r>
          </w:p>
        </w:tc>
        <w:tc>
          <w:tcPr>
            <w:tcW w:type="dxa" w:w="2160"/>
          </w:tcPr>
          <w:p>
            <w:pPr>
              <w:jc w:val="center"/>
            </w:pPr>
            <w:r>
              <w:rPr>
                <w:sz w:val="19"/>
              </w:rPr>
              <w:t>6%</w:t>
            </w:r>
          </w:p>
        </w:tc>
        <w:tc>
          <w:tcPr>
            <w:tcW w:type="dxa" w:w="2160"/>
          </w:tcPr>
          <w:p>
            <w:pPr>
              <w:jc w:val="center"/>
            </w:pPr>
            <w:r>
              <w:rPr>
                <w:sz w:val="19"/>
              </w:rPr>
              <w:t>Creative production, audience building</w:t>
            </w:r>
          </w:p>
        </w:tc>
      </w:tr>
      <w:tr>
        <w:tc>
          <w:tcPr>
            <w:tcW w:type="dxa" w:w="2160"/>
          </w:tcPr>
          <w:p>
            <w:pPr>
              <w:jc w:val="center"/>
            </w:pPr>
            <w:r>
              <w:rPr>
                <w:sz w:val="19"/>
              </w:rPr>
              <w:t>Sep</w:t>
            </w:r>
          </w:p>
        </w:tc>
        <w:tc>
          <w:tcPr>
            <w:tcW w:type="dxa" w:w="2160"/>
          </w:tcPr>
          <w:p>
            <w:pPr>
              <w:jc w:val="center"/>
            </w:pPr>
            <w:r>
              <w:rPr>
                <w:sz w:val="19"/>
              </w:rPr>
              <w:t>5%</w:t>
            </w:r>
          </w:p>
        </w:tc>
        <w:tc>
          <w:tcPr>
            <w:tcW w:type="dxa" w:w="2160"/>
          </w:tcPr>
          <w:p>
            <w:pPr>
              <w:jc w:val="center"/>
            </w:pPr>
            <w:r>
              <w:rPr>
                <w:sz w:val="19"/>
              </w:rPr>
              <w:t>11%</w:t>
            </w:r>
          </w:p>
        </w:tc>
        <w:tc>
          <w:tcPr>
            <w:tcW w:type="dxa" w:w="2160"/>
          </w:tcPr>
          <w:p>
            <w:pPr>
              <w:jc w:val="center"/>
            </w:pPr>
            <w:r>
              <w:rPr>
                <w:sz w:val="19"/>
              </w:rPr>
              <w:t>Campaign launch; early giving season</w:t>
            </w:r>
          </w:p>
        </w:tc>
      </w:tr>
      <w:tr>
        <w:tc>
          <w:tcPr>
            <w:tcW w:type="dxa" w:w="2160"/>
          </w:tcPr>
          <w:p>
            <w:pPr>
              <w:jc w:val="center"/>
            </w:pPr>
            <w:r>
              <w:rPr>
                <w:sz w:val="19"/>
              </w:rPr>
              <w:t>Oct</w:t>
            </w:r>
          </w:p>
        </w:tc>
        <w:tc>
          <w:tcPr>
            <w:tcW w:type="dxa" w:w="2160"/>
          </w:tcPr>
          <w:p>
            <w:pPr>
              <w:jc w:val="center"/>
            </w:pPr>
            <w:r>
              <w:rPr>
                <w:sz w:val="19"/>
              </w:rPr>
              <w:t>9%</w:t>
            </w:r>
          </w:p>
        </w:tc>
        <w:tc>
          <w:tcPr>
            <w:tcW w:type="dxa" w:w="2160"/>
          </w:tcPr>
          <w:p>
            <w:pPr>
              <w:jc w:val="center"/>
            </w:pPr>
            <w:r>
              <w:rPr>
                <w:sz w:val="19"/>
              </w:rPr>
              <w:t>15%</w:t>
            </w:r>
          </w:p>
        </w:tc>
        <w:tc>
          <w:tcPr>
            <w:tcW w:type="dxa" w:w="2160"/>
          </w:tcPr>
          <w:p>
            <w:pPr>
              <w:jc w:val="center"/>
            </w:pPr>
            <w:r>
              <w:rPr>
                <w:sz w:val="19"/>
              </w:rPr>
              <w:t>Giving season begins; Thanksgiving (CA)</w:t>
            </w:r>
          </w:p>
        </w:tc>
      </w:tr>
      <w:tr>
        <w:tc>
          <w:tcPr>
            <w:tcW w:type="dxa" w:w="2160"/>
          </w:tcPr>
          <w:p>
            <w:pPr>
              <w:jc w:val="center"/>
            </w:pPr>
            <w:r>
              <w:rPr>
                <w:sz w:val="19"/>
              </w:rPr>
              <w:t>Nov</w:t>
            </w:r>
          </w:p>
        </w:tc>
        <w:tc>
          <w:tcPr>
            <w:tcW w:type="dxa" w:w="2160"/>
          </w:tcPr>
          <w:p>
            <w:pPr>
              <w:jc w:val="center"/>
            </w:pPr>
            <w:r>
              <w:rPr>
                <w:sz w:val="19"/>
              </w:rPr>
              <w:t>13%</w:t>
            </w:r>
          </w:p>
        </w:tc>
        <w:tc>
          <w:tcPr>
            <w:tcW w:type="dxa" w:w="2160"/>
          </w:tcPr>
          <w:p>
            <w:pPr>
              <w:jc w:val="center"/>
            </w:pPr>
            <w:r>
              <w:rPr>
                <w:sz w:val="19"/>
              </w:rPr>
              <w:t>18%</w:t>
            </w:r>
          </w:p>
        </w:tc>
        <w:tc>
          <w:tcPr>
            <w:tcW w:type="dxa" w:w="2160"/>
          </w:tcPr>
          <w:p>
            <w:pPr>
              <w:jc w:val="center"/>
            </w:pPr>
            <w:r>
              <w:rPr>
                <w:sz w:val="19"/>
              </w:rPr>
              <w:t>GivingTuesday; pre-holiday campaigns</w:t>
            </w:r>
          </w:p>
        </w:tc>
      </w:tr>
      <w:tr>
        <w:tc>
          <w:tcPr>
            <w:tcW w:type="dxa" w:w="2160"/>
          </w:tcPr>
          <w:p>
            <w:pPr>
              <w:jc w:val="center"/>
            </w:pPr>
            <w:r>
              <w:rPr>
                <w:sz w:val="19"/>
              </w:rPr>
              <w:t>Dec</w:t>
            </w:r>
          </w:p>
        </w:tc>
        <w:tc>
          <w:tcPr>
            <w:tcW w:type="dxa" w:w="2160"/>
          </w:tcPr>
          <w:p>
            <w:pPr>
              <w:jc w:val="center"/>
            </w:pPr>
            <w:r>
              <w:rPr>
                <w:sz w:val="19"/>
              </w:rPr>
              <w:t>31%</w:t>
            </w:r>
          </w:p>
        </w:tc>
        <w:tc>
          <w:tcPr>
            <w:tcW w:type="dxa" w:w="2160"/>
          </w:tcPr>
          <w:p>
            <w:pPr>
              <w:jc w:val="center"/>
            </w:pPr>
            <w:r>
              <w:rPr>
                <w:sz w:val="19"/>
              </w:rPr>
              <w:t>17%</w:t>
            </w:r>
          </w:p>
        </w:tc>
        <w:tc>
          <w:tcPr>
            <w:tcW w:type="dxa" w:w="2160"/>
          </w:tcPr>
          <w:p>
            <w:pPr>
              <w:jc w:val="center"/>
            </w:pPr>
            <w:r>
              <w:rPr>
                <w:sz w:val="19"/>
              </w:rPr>
              <w:t>Peak holiday giving; ~30% of annual online donations</w:t>
            </w:r>
          </w:p>
        </w:tc>
      </w:tr>
    </w:tbl>
    <w:p/>
    <w:p>
      <w:r>
        <w:t xml:space="preserve">Sources: </w:t>
      </w:r>
      <w:r>
        <w:rPr>
          <w:i/>
        </w:rPr>
        <w:t>Blackbaud Charitable Giving Report 2023 (30% of annual online giving in December); M+R Benchmarks 2024 (Nov + Dec = 26–36% of annual online revenue); CanadaHelps Giving Report 2023; Network for Good Digital Giving Trends 2023 (47% of online donations in Q4).</w:t>
      </w:r>
    </w:p>
    <w:p>
      <w:pPr>
        <w:pStyle w:val="Heading1"/>
      </w:pPr>
      <w:r>
        <w:t>11. Infrastructure Cost Model</w:t>
      </w:r>
    </w:p>
    <w:p>
      <w:r>
        <w:t>Monthly per-tier estimates based on actual cloud provider pricing (Q1 2026). When a year falls between tiers, costs are linearly interpolated.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Category</w:t>
            </w:r>
          </w:p>
        </w:tc>
        <w:tc>
          <w:tcPr>
            <w:tcW w:type="dxa" w:w="1728"/>
          </w:tcPr>
          <w:p>
            <w:pPr>
              <w:jc w:val="center"/>
            </w:pPr>
            <w:r>
              <w:rPr>
                <w:b/>
                <w:sz w:val="19"/>
              </w:rPr>
              <w:t>Startup (1K)</w:t>
            </w:r>
          </w:p>
        </w:tc>
        <w:tc>
          <w:tcPr>
            <w:tcW w:type="dxa" w:w="1728"/>
          </w:tcPr>
          <w:p>
            <w:pPr>
              <w:jc w:val="center"/>
            </w:pPr>
            <w:r>
              <w:rPr>
                <w:b/>
                <w:sz w:val="19"/>
              </w:rPr>
              <w:t>Growth (10K)</w:t>
            </w:r>
          </w:p>
        </w:tc>
        <w:tc>
          <w:tcPr>
            <w:tcW w:type="dxa" w:w="1728"/>
          </w:tcPr>
          <w:p>
            <w:pPr>
              <w:jc w:val="center"/>
            </w:pPr>
            <w:r>
              <w:rPr>
                <w:b/>
                <w:sz w:val="19"/>
              </w:rPr>
              <w:t>Scale (50K)</w:t>
            </w:r>
          </w:p>
        </w:tc>
        <w:tc>
          <w:tcPr>
            <w:tcW w:type="dxa" w:w="1728"/>
          </w:tcPr>
          <w:p>
            <w:pPr>
              <w:jc w:val="center"/>
            </w:pPr>
            <w:r>
              <w:rPr>
                <w:b/>
                <w:sz w:val="19"/>
              </w:rPr>
              <w:t>Enterprise (250K)</w:t>
            </w:r>
          </w:p>
        </w:tc>
      </w:tr>
      <w:tr>
        <w:tc>
          <w:tcPr>
            <w:tcW w:type="dxa" w:w="1728"/>
          </w:tcPr>
          <w:p>
            <w:pPr>
              <w:jc w:val="center"/>
            </w:pPr>
            <w:r>
              <w:rPr>
                <w:sz w:val="19"/>
              </w:rPr>
              <w:t>Compute &amp; Hosting</w:t>
            </w:r>
          </w:p>
        </w:tc>
        <w:tc>
          <w:tcPr>
            <w:tcW w:type="dxa" w:w="1728"/>
          </w:tcPr>
          <w:p>
            <w:pPr>
              <w:jc w:val="center"/>
            </w:pPr>
            <w:r>
              <w:rPr>
                <w:sz w:val="19"/>
              </w:rPr>
              <w:t>$35</w:t>
            </w:r>
          </w:p>
        </w:tc>
        <w:tc>
          <w:tcPr>
            <w:tcW w:type="dxa" w:w="1728"/>
          </w:tcPr>
          <w:p>
            <w:pPr>
              <w:jc w:val="center"/>
            </w:pPr>
            <w:r>
              <w:rPr>
                <w:sz w:val="19"/>
              </w:rPr>
              <w:t>$85</w:t>
            </w:r>
          </w:p>
        </w:tc>
        <w:tc>
          <w:tcPr>
            <w:tcW w:type="dxa" w:w="1728"/>
          </w:tcPr>
          <w:p>
            <w:pPr>
              <w:jc w:val="center"/>
            </w:pPr>
            <w:r>
              <w:rPr>
                <w:sz w:val="19"/>
              </w:rPr>
              <w:t>$400</w:t>
            </w:r>
          </w:p>
        </w:tc>
        <w:tc>
          <w:tcPr>
            <w:tcW w:type="dxa" w:w="1728"/>
          </w:tcPr>
          <w:p>
            <w:pPr>
              <w:jc w:val="center"/>
            </w:pPr>
            <w:r>
              <w:rPr>
                <w:sz w:val="19"/>
              </w:rPr>
              <w:t>$1,050</w:t>
            </w:r>
          </w:p>
        </w:tc>
      </w:tr>
      <w:tr>
        <w:tc>
          <w:tcPr>
            <w:tcW w:type="dxa" w:w="1728"/>
          </w:tcPr>
          <w:p>
            <w:pPr>
              <w:jc w:val="center"/>
            </w:pPr>
            <w:r>
              <w:rPr>
                <w:sz w:val="19"/>
              </w:rPr>
              <w:t>PostgreSQL + pgvector</w:t>
            </w:r>
          </w:p>
        </w:tc>
        <w:tc>
          <w:tcPr>
            <w:tcW w:type="dxa" w:w="1728"/>
          </w:tcPr>
          <w:p>
            <w:pPr>
              <w:jc w:val="center"/>
            </w:pPr>
            <w:r>
              <w:rPr>
                <w:sz w:val="19"/>
              </w:rPr>
              <w:t>$18</w:t>
            </w:r>
          </w:p>
        </w:tc>
        <w:tc>
          <w:tcPr>
            <w:tcW w:type="dxa" w:w="1728"/>
          </w:tcPr>
          <w:p>
            <w:pPr>
              <w:jc w:val="center"/>
            </w:pPr>
            <w:r>
              <w:rPr>
                <w:sz w:val="19"/>
              </w:rPr>
              <w:t>$100</w:t>
            </w:r>
          </w:p>
        </w:tc>
        <w:tc>
          <w:tcPr>
            <w:tcW w:type="dxa" w:w="1728"/>
          </w:tcPr>
          <w:p>
            <w:pPr>
              <w:jc w:val="center"/>
            </w:pPr>
            <w:r>
              <w:rPr>
                <w:sz w:val="19"/>
              </w:rPr>
              <w:t>$375</w:t>
            </w:r>
          </w:p>
        </w:tc>
        <w:tc>
          <w:tcPr>
            <w:tcW w:type="dxa" w:w="1728"/>
          </w:tcPr>
          <w:p>
            <w:pPr>
              <w:jc w:val="center"/>
            </w:pPr>
            <w:r>
              <w:rPr>
                <w:sz w:val="19"/>
              </w:rPr>
              <w:t>$1,400</w:t>
            </w:r>
          </w:p>
        </w:tc>
      </w:tr>
      <w:tr>
        <w:tc>
          <w:tcPr>
            <w:tcW w:type="dxa" w:w="1728"/>
          </w:tcPr>
          <w:p>
            <w:pPr>
              <w:jc w:val="center"/>
            </w:pPr>
            <w:r>
              <w:rPr>
                <w:sz w:val="19"/>
              </w:rPr>
              <w:t>Redis Cache</w:t>
            </w:r>
          </w:p>
        </w:tc>
        <w:tc>
          <w:tcPr>
            <w:tcW w:type="dxa" w:w="1728"/>
          </w:tcPr>
          <w:p>
            <w:pPr>
              <w:jc w:val="center"/>
            </w:pPr>
            <w:r>
              <w:rPr>
                <w:sz w:val="19"/>
              </w:rPr>
              <w:t>$5</w:t>
            </w:r>
          </w:p>
        </w:tc>
        <w:tc>
          <w:tcPr>
            <w:tcW w:type="dxa" w:w="1728"/>
          </w:tcPr>
          <w:p>
            <w:pPr>
              <w:jc w:val="center"/>
            </w:pPr>
            <w:r>
              <w:rPr>
                <w:sz w:val="19"/>
              </w:rPr>
              <w:t>$35</w:t>
            </w:r>
          </w:p>
        </w:tc>
        <w:tc>
          <w:tcPr>
            <w:tcW w:type="dxa" w:w="1728"/>
          </w:tcPr>
          <w:p>
            <w:pPr>
              <w:jc w:val="center"/>
            </w:pPr>
            <w:r>
              <w:rPr>
                <w:sz w:val="19"/>
              </w:rPr>
              <w:t>$150</w:t>
            </w:r>
          </w:p>
        </w:tc>
        <w:tc>
          <w:tcPr>
            <w:tcW w:type="dxa" w:w="1728"/>
          </w:tcPr>
          <w:p>
            <w:pPr>
              <w:jc w:val="center"/>
            </w:pPr>
            <w:r>
              <w:rPr>
                <w:sz w:val="19"/>
              </w:rPr>
              <w:t>$300</w:t>
            </w:r>
          </w:p>
        </w:tc>
      </w:tr>
      <w:tr>
        <w:tc>
          <w:tcPr>
            <w:tcW w:type="dxa" w:w="1728"/>
          </w:tcPr>
          <w:p>
            <w:pPr>
              <w:jc w:val="center"/>
            </w:pPr>
            <w:r>
              <w:rPr>
                <w:sz w:val="19"/>
              </w:rPr>
              <w:t>Kafka / Event Streaming</w:t>
            </w:r>
          </w:p>
        </w:tc>
        <w:tc>
          <w:tcPr>
            <w:tcW w:type="dxa" w:w="1728"/>
          </w:tcPr>
          <w:p>
            <w:pPr>
              <w:jc w:val="center"/>
            </w:pPr>
            <w:r>
              <w:rPr>
                <w:sz w:val="19"/>
              </w:rPr>
              <w:t>$0</w:t>
            </w:r>
          </w:p>
        </w:tc>
        <w:tc>
          <w:tcPr>
            <w:tcW w:type="dxa" w:w="1728"/>
          </w:tcPr>
          <w:p>
            <w:pPr>
              <w:jc w:val="center"/>
            </w:pPr>
            <w:r>
              <w:rPr>
                <w:sz w:val="19"/>
              </w:rPr>
              <w:t>$55</w:t>
            </w:r>
          </w:p>
        </w:tc>
        <w:tc>
          <w:tcPr>
            <w:tcW w:type="dxa" w:w="1728"/>
          </w:tcPr>
          <w:p>
            <w:pPr>
              <w:jc w:val="center"/>
            </w:pPr>
            <w:r>
              <w:rPr>
                <w:sz w:val="19"/>
              </w:rPr>
              <w:t>$200</w:t>
            </w:r>
          </w:p>
        </w:tc>
        <w:tc>
          <w:tcPr>
            <w:tcW w:type="dxa" w:w="1728"/>
          </w:tcPr>
          <w:p>
            <w:pPr>
              <w:jc w:val="center"/>
            </w:pPr>
            <w:r>
              <w:rPr>
                <w:sz w:val="19"/>
              </w:rPr>
              <w:t>$1,000</w:t>
            </w:r>
          </w:p>
        </w:tc>
      </w:tr>
      <w:tr>
        <w:tc>
          <w:tcPr>
            <w:tcW w:type="dxa" w:w="1728"/>
          </w:tcPr>
          <w:p>
            <w:pPr>
              <w:jc w:val="center"/>
            </w:pPr>
            <w:r>
              <w:rPr>
                <w:sz w:val="19"/>
              </w:rPr>
              <w:t>AI/LLM Tokens (Claude)</w:t>
            </w:r>
          </w:p>
        </w:tc>
        <w:tc>
          <w:tcPr>
            <w:tcW w:type="dxa" w:w="1728"/>
          </w:tcPr>
          <w:p>
            <w:pPr>
              <w:jc w:val="center"/>
            </w:pPr>
            <w:r>
              <w:rPr>
                <w:sz w:val="19"/>
              </w:rPr>
              <w:t>$10</w:t>
            </w:r>
          </w:p>
        </w:tc>
        <w:tc>
          <w:tcPr>
            <w:tcW w:type="dxa" w:w="1728"/>
          </w:tcPr>
          <w:p>
            <w:pPr>
              <w:jc w:val="center"/>
            </w:pPr>
            <w:r>
              <w:rPr>
                <w:sz w:val="19"/>
              </w:rPr>
              <w:t>$100</w:t>
            </w:r>
          </w:p>
        </w:tc>
        <w:tc>
          <w:tcPr>
            <w:tcW w:type="dxa" w:w="1728"/>
          </w:tcPr>
          <w:p>
            <w:pPr>
              <w:jc w:val="center"/>
            </w:pPr>
            <w:r>
              <w:rPr>
                <w:sz w:val="19"/>
              </w:rPr>
              <w:t>$475</w:t>
            </w:r>
          </w:p>
        </w:tc>
        <w:tc>
          <w:tcPr>
            <w:tcW w:type="dxa" w:w="1728"/>
          </w:tcPr>
          <w:p>
            <w:pPr>
              <w:jc w:val="center"/>
            </w:pPr>
            <w:r>
              <w:rPr>
                <w:sz w:val="19"/>
              </w:rPr>
              <w:t>$2,350</w:t>
            </w:r>
          </w:p>
        </w:tc>
      </w:tr>
      <w:tr>
        <w:tc>
          <w:tcPr>
            <w:tcW w:type="dxa" w:w="1728"/>
          </w:tcPr>
          <w:p>
            <w:pPr>
              <w:jc w:val="center"/>
            </w:pPr>
            <w:r>
              <w:rPr>
                <w:sz w:val="19"/>
              </w:rPr>
              <w:t>Email (Resend)</w:t>
            </w:r>
          </w:p>
        </w:tc>
        <w:tc>
          <w:tcPr>
            <w:tcW w:type="dxa" w:w="1728"/>
          </w:tcPr>
          <w:p>
            <w:pPr>
              <w:jc w:val="center"/>
            </w:pPr>
            <w:r>
              <w:rPr>
                <w:sz w:val="19"/>
              </w:rPr>
              <w:t>$0</w:t>
            </w:r>
          </w:p>
        </w:tc>
        <w:tc>
          <w:tcPr>
            <w:tcW w:type="dxa" w:w="1728"/>
          </w:tcPr>
          <w:p>
            <w:pPr>
              <w:jc w:val="center"/>
            </w:pPr>
            <w:r>
              <w:rPr>
                <w:sz w:val="19"/>
              </w:rPr>
              <w:t>$30</w:t>
            </w:r>
          </w:p>
        </w:tc>
        <w:tc>
          <w:tcPr>
            <w:tcW w:type="dxa" w:w="1728"/>
          </w:tcPr>
          <w:p>
            <w:pPr>
              <w:jc w:val="center"/>
            </w:pPr>
            <w:r>
              <w:rPr>
                <w:sz w:val="19"/>
              </w:rPr>
              <w:t>$75</w:t>
            </w:r>
          </w:p>
        </w:tc>
        <w:tc>
          <w:tcPr>
            <w:tcW w:type="dxa" w:w="1728"/>
          </w:tcPr>
          <w:p>
            <w:pPr>
              <w:jc w:val="center"/>
            </w:pPr>
            <w:r>
              <w:rPr>
                <w:sz w:val="19"/>
              </w:rPr>
              <w:t>$300</w:t>
            </w:r>
          </w:p>
        </w:tc>
      </w:tr>
      <w:tr>
        <w:tc>
          <w:tcPr>
            <w:tcW w:type="dxa" w:w="1728"/>
          </w:tcPr>
          <w:p>
            <w:pPr>
              <w:jc w:val="center"/>
            </w:pPr>
            <w:r>
              <w:rPr>
                <w:sz w:val="19"/>
              </w:rPr>
              <w:t>SMS (Twilio)</w:t>
            </w:r>
          </w:p>
        </w:tc>
        <w:tc>
          <w:tcPr>
            <w:tcW w:type="dxa" w:w="1728"/>
          </w:tcPr>
          <w:p>
            <w:pPr>
              <w:jc w:val="center"/>
            </w:pPr>
            <w:r>
              <w:rPr>
                <w:sz w:val="19"/>
              </w:rPr>
              <w:t>$2</w:t>
            </w:r>
          </w:p>
        </w:tc>
        <w:tc>
          <w:tcPr>
            <w:tcW w:type="dxa" w:w="1728"/>
          </w:tcPr>
          <w:p>
            <w:pPr>
              <w:jc w:val="center"/>
            </w:pPr>
            <w:r>
              <w:rPr>
                <w:sz w:val="19"/>
              </w:rPr>
              <w:t>$25</w:t>
            </w:r>
          </w:p>
        </w:tc>
        <w:tc>
          <w:tcPr>
            <w:tcW w:type="dxa" w:w="1728"/>
          </w:tcPr>
          <w:p>
            <w:pPr>
              <w:jc w:val="center"/>
            </w:pPr>
            <w:r>
              <w:rPr>
                <w:sz w:val="19"/>
              </w:rPr>
              <w:t>$90</w:t>
            </w:r>
          </w:p>
        </w:tc>
        <w:tc>
          <w:tcPr>
            <w:tcW w:type="dxa" w:w="1728"/>
          </w:tcPr>
          <w:p>
            <w:pPr>
              <w:jc w:val="center"/>
            </w:pPr>
            <w:r>
              <w:rPr>
                <w:sz w:val="19"/>
              </w:rPr>
              <w:t>$450</w:t>
            </w:r>
          </w:p>
        </w:tc>
      </w:tr>
      <w:tr>
        <w:tc>
          <w:tcPr>
            <w:tcW w:type="dxa" w:w="1728"/>
          </w:tcPr>
          <w:p>
            <w:pPr>
              <w:jc w:val="center"/>
            </w:pPr>
            <w:r>
              <w:rPr>
                <w:sz w:val="19"/>
              </w:rPr>
              <w:t>CDN + Storage (S3/CF)</w:t>
            </w:r>
          </w:p>
        </w:tc>
        <w:tc>
          <w:tcPr>
            <w:tcW w:type="dxa" w:w="1728"/>
          </w:tcPr>
          <w:p>
            <w:pPr>
              <w:jc w:val="center"/>
            </w:pPr>
            <w:r>
              <w:rPr>
                <w:sz w:val="19"/>
              </w:rPr>
              <w:t>$6</w:t>
            </w:r>
          </w:p>
        </w:tc>
        <w:tc>
          <w:tcPr>
            <w:tcW w:type="dxa" w:w="1728"/>
          </w:tcPr>
          <w:p>
            <w:pPr>
              <w:jc w:val="center"/>
            </w:pPr>
            <w:r>
              <w:rPr>
                <w:sz w:val="19"/>
              </w:rPr>
              <w:t>$35</w:t>
            </w:r>
          </w:p>
        </w:tc>
        <w:tc>
          <w:tcPr>
            <w:tcW w:type="dxa" w:w="1728"/>
          </w:tcPr>
          <w:p>
            <w:pPr>
              <w:jc w:val="center"/>
            </w:pPr>
            <w:r>
              <w:rPr>
                <w:sz w:val="19"/>
              </w:rPr>
              <w:t>$170</w:t>
            </w:r>
          </w:p>
        </w:tc>
        <w:tc>
          <w:tcPr>
            <w:tcW w:type="dxa" w:w="1728"/>
          </w:tcPr>
          <w:p>
            <w:pPr>
              <w:jc w:val="center"/>
            </w:pPr>
            <w:r>
              <w:rPr>
                <w:sz w:val="19"/>
              </w:rPr>
              <w:t>$500</w:t>
            </w:r>
          </w:p>
        </w:tc>
      </w:tr>
      <w:tr>
        <w:tc>
          <w:tcPr>
            <w:tcW w:type="dxa" w:w="1728"/>
          </w:tcPr>
          <w:p>
            <w:pPr>
              <w:jc w:val="center"/>
            </w:pPr>
            <w:r>
              <w:rPr>
                <w:sz w:val="19"/>
              </w:rPr>
              <w:t>Monitoring</w:t>
            </w:r>
          </w:p>
        </w:tc>
        <w:tc>
          <w:tcPr>
            <w:tcW w:type="dxa" w:w="1728"/>
          </w:tcPr>
          <w:p>
            <w:pPr>
              <w:jc w:val="center"/>
            </w:pPr>
            <w:r>
              <w:rPr>
                <w:sz w:val="19"/>
              </w:rPr>
              <w:t>$0</w:t>
            </w:r>
          </w:p>
        </w:tc>
        <w:tc>
          <w:tcPr>
            <w:tcW w:type="dxa" w:w="1728"/>
          </w:tcPr>
          <w:p>
            <w:pPr>
              <w:jc w:val="center"/>
            </w:pPr>
            <w:r>
              <w:rPr>
                <w:sz w:val="19"/>
              </w:rPr>
              <w:t>$30</w:t>
            </w:r>
          </w:p>
        </w:tc>
        <w:tc>
          <w:tcPr>
            <w:tcW w:type="dxa" w:w="1728"/>
          </w:tcPr>
          <w:p>
            <w:pPr>
              <w:jc w:val="center"/>
            </w:pPr>
            <w:r>
              <w:rPr>
                <w:sz w:val="19"/>
              </w:rPr>
              <w:t>$80</w:t>
            </w:r>
          </w:p>
        </w:tc>
        <w:tc>
          <w:tcPr>
            <w:tcW w:type="dxa" w:w="1728"/>
          </w:tcPr>
          <w:p>
            <w:pPr>
              <w:jc w:val="center"/>
            </w:pPr>
            <w:r>
              <w:rPr>
                <w:sz w:val="19"/>
              </w:rPr>
              <w:t>$200</w:t>
            </w:r>
          </w:p>
        </w:tc>
      </w:tr>
      <w:tr>
        <w:tc>
          <w:tcPr>
            <w:tcW w:type="dxa" w:w="1728"/>
          </w:tcPr>
          <w:p>
            <w:pPr>
              <w:jc w:val="center"/>
            </w:pPr>
            <w:r>
              <w:rPr>
                <w:sz w:val="19"/>
              </w:rPr>
              <w:t>Search (Elasticsearch)</w:t>
            </w:r>
          </w:p>
        </w:tc>
        <w:tc>
          <w:tcPr>
            <w:tcW w:type="dxa" w:w="1728"/>
          </w:tcPr>
          <w:p>
            <w:pPr>
              <w:jc w:val="center"/>
            </w:pPr>
            <w:r>
              <w:rPr>
                <w:sz w:val="19"/>
              </w:rPr>
              <w:t>$0</w:t>
            </w:r>
          </w:p>
        </w:tc>
        <w:tc>
          <w:tcPr>
            <w:tcW w:type="dxa" w:w="1728"/>
          </w:tcPr>
          <w:p>
            <w:pPr>
              <w:jc w:val="center"/>
            </w:pPr>
            <w:r>
              <w:rPr>
                <w:sz w:val="19"/>
              </w:rPr>
              <w:t>$75</w:t>
            </w:r>
          </w:p>
        </w:tc>
        <w:tc>
          <w:tcPr>
            <w:tcW w:type="dxa" w:w="1728"/>
          </w:tcPr>
          <w:p>
            <w:pPr>
              <w:jc w:val="center"/>
            </w:pPr>
            <w:r>
              <w:rPr>
                <w:sz w:val="19"/>
              </w:rPr>
              <w:t>$300</w:t>
            </w:r>
          </w:p>
        </w:tc>
        <w:tc>
          <w:tcPr>
            <w:tcW w:type="dxa" w:w="1728"/>
          </w:tcPr>
          <w:p>
            <w:pPr>
              <w:jc w:val="center"/>
            </w:pPr>
            <w:r>
              <w:rPr>
                <w:sz w:val="19"/>
              </w:rPr>
              <w:t>$700</w:t>
            </w:r>
          </w:p>
        </w:tc>
      </w:tr>
      <w:tr>
        <w:tc>
          <w:tcPr>
            <w:tcW w:type="dxa" w:w="1728"/>
          </w:tcPr>
          <w:p>
            <w:pPr>
              <w:jc w:val="center"/>
            </w:pPr>
            <w:r>
              <w:rPr>
                <w:sz w:val="19"/>
              </w:rPr>
              <w:t>Domain + SSL</w:t>
            </w:r>
          </w:p>
        </w:tc>
        <w:tc>
          <w:tcPr>
            <w:tcW w:type="dxa" w:w="1728"/>
          </w:tcPr>
          <w:p>
            <w:pPr>
              <w:jc w:val="center"/>
            </w:pPr>
            <w:r>
              <w:rPr>
                <w:sz w:val="19"/>
              </w:rPr>
              <w:t>$15</w:t>
            </w:r>
          </w:p>
        </w:tc>
        <w:tc>
          <w:tcPr>
            <w:tcW w:type="dxa" w:w="1728"/>
          </w:tcPr>
          <w:p>
            <w:pPr>
              <w:jc w:val="center"/>
            </w:pPr>
            <w:r>
              <w:rPr>
                <w:sz w:val="19"/>
              </w:rPr>
              <w:t>$15</w:t>
            </w:r>
          </w:p>
        </w:tc>
        <w:tc>
          <w:tcPr>
            <w:tcW w:type="dxa" w:w="1728"/>
          </w:tcPr>
          <w:p>
            <w:pPr>
              <w:jc w:val="center"/>
            </w:pPr>
            <w:r>
              <w:rPr>
                <w:sz w:val="19"/>
              </w:rPr>
              <w:t>$15</w:t>
            </w:r>
          </w:p>
        </w:tc>
        <w:tc>
          <w:tcPr>
            <w:tcW w:type="dxa" w:w="1728"/>
          </w:tcPr>
          <w:p>
            <w:pPr>
              <w:jc w:val="center"/>
            </w:pPr>
            <w:r>
              <w:rPr>
                <w:sz w:val="19"/>
              </w:rPr>
              <w:t>$15</w:t>
            </w:r>
          </w:p>
        </w:tc>
      </w:tr>
    </w:tbl>
    <w:p/>
    <w:p>
      <w:pPr>
        <w:pStyle w:val="Heading2"/>
      </w:pPr>
      <w:r>
        <w:t>Annual Compliance &amp; Security Costs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Cost</w:t>
            </w:r>
          </w:p>
        </w:tc>
        <w:tc>
          <w:tcPr>
            <w:tcW w:type="dxa" w:w="1440"/>
          </w:tcPr>
          <w:p>
            <w:pPr>
              <w:jc w:val="center"/>
            </w:pPr>
            <w:r>
              <w:rPr>
                <w:b/>
                <w:sz w:val="19"/>
              </w:rPr>
              <w:t>Year 1</w:t>
            </w:r>
          </w:p>
        </w:tc>
        <w:tc>
          <w:tcPr>
            <w:tcW w:type="dxa" w:w="1440"/>
          </w:tcPr>
          <w:p>
            <w:pPr>
              <w:jc w:val="center"/>
            </w:pPr>
            <w:r>
              <w:rPr>
                <w:b/>
                <w:sz w:val="19"/>
              </w:rPr>
              <w:t>Year 2</w:t>
            </w:r>
          </w:p>
        </w:tc>
        <w:tc>
          <w:tcPr>
            <w:tcW w:type="dxa" w:w="1440"/>
          </w:tcPr>
          <w:p>
            <w:pPr>
              <w:jc w:val="center"/>
            </w:pPr>
            <w:r>
              <w:rPr>
                <w:b/>
                <w:sz w:val="19"/>
              </w:rPr>
              <w:t>Year 3</w:t>
            </w:r>
          </w:p>
        </w:tc>
        <w:tc>
          <w:tcPr>
            <w:tcW w:type="dxa" w:w="1440"/>
          </w:tcPr>
          <w:p>
            <w:pPr>
              <w:jc w:val="center"/>
            </w:pPr>
            <w:r>
              <w:rPr>
                <w:b/>
                <w:sz w:val="19"/>
              </w:rPr>
              <w:t>Year 4</w:t>
            </w:r>
          </w:p>
        </w:tc>
        <w:tc>
          <w:tcPr>
            <w:tcW w:type="dxa" w:w="1440"/>
          </w:tcPr>
          <w:p>
            <w:pPr>
              <w:jc w:val="center"/>
            </w:pPr>
            <w:r>
              <w:rPr>
                <w:b/>
                <w:sz w:val="19"/>
              </w:rPr>
              <w:t>Year 5</w:t>
            </w:r>
          </w:p>
        </w:tc>
      </w:tr>
      <w:tr>
        <w:tc>
          <w:tcPr>
            <w:tcW w:type="dxa" w:w="1440"/>
          </w:tcPr>
          <w:p>
            <w:pPr>
              <w:jc w:val="center"/>
            </w:pPr>
            <w:r>
              <w:rPr>
                <w:sz w:val="19"/>
              </w:rPr>
              <w:t>PCI-DSS Compliance</w:t>
            </w:r>
          </w:p>
        </w:tc>
        <w:tc>
          <w:tcPr>
            <w:tcW w:type="dxa" w:w="1440"/>
          </w:tcPr>
          <w:p>
            <w:pPr>
              <w:jc w:val="center"/>
            </w:pPr>
            <w:r>
              <w:rPr>
                <w:sz w:val="19"/>
              </w:rPr>
              <w:t>$250</w:t>
            </w:r>
          </w:p>
        </w:tc>
        <w:tc>
          <w:tcPr>
            <w:tcW w:type="dxa" w:w="1440"/>
          </w:tcPr>
          <w:p>
            <w:pPr>
              <w:jc w:val="center"/>
            </w:pPr>
            <w:r>
              <w:rPr>
                <w:sz w:val="19"/>
              </w:rPr>
              <w:t>$250</w:t>
            </w:r>
          </w:p>
        </w:tc>
        <w:tc>
          <w:tcPr>
            <w:tcW w:type="dxa" w:w="1440"/>
          </w:tcPr>
          <w:p>
            <w:pPr>
              <w:jc w:val="center"/>
            </w:pPr>
            <w:r>
              <w:rPr>
                <w:sz w:val="19"/>
              </w:rPr>
              <w:t>$500</w:t>
            </w:r>
          </w:p>
        </w:tc>
        <w:tc>
          <w:tcPr>
            <w:tcW w:type="dxa" w:w="1440"/>
          </w:tcPr>
          <w:p>
            <w:pPr>
              <w:jc w:val="center"/>
            </w:pPr>
            <w:r>
              <w:rPr>
                <w:sz w:val="19"/>
              </w:rPr>
              <w:t>$500</w:t>
            </w:r>
          </w:p>
        </w:tc>
        <w:tc>
          <w:tcPr>
            <w:tcW w:type="dxa" w:w="1440"/>
          </w:tcPr>
          <w:p>
            <w:pPr>
              <w:jc w:val="center"/>
            </w:pPr>
            <w:r>
              <w:rPr>
                <w:sz w:val="19"/>
              </w:rPr>
              <w:t>$500</w:t>
            </w:r>
          </w:p>
        </w:tc>
      </w:tr>
      <w:tr>
        <w:tc>
          <w:tcPr>
            <w:tcW w:type="dxa" w:w="1440"/>
          </w:tcPr>
          <w:p>
            <w:pPr>
              <w:jc w:val="center"/>
            </w:pPr>
            <w:r>
              <w:rPr>
                <w:sz w:val="19"/>
              </w:rPr>
              <w:t>Penetration Testing</w:t>
            </w:r>
          </w:p>
        </w:tc>
        <w:tc>
          <w:tcPr>
            <w:tcW w:type="dxa" w:w="1440"/>
          </w:tcPr>
          <w:p>
            <w:pPr>
              <w:jc w:val="center"/>
            </w:pPr>
            <w:r>
              <w:rPr>
                <w:sz w:val="19"/>
              </w:rPr>
              <w:t>$5,000</w:t>
            </w:r>
          </w:p>
        </w:tc>
        <w:tc>
          <w:tcPr>
            <w:tcW w:type="dxa" w:w="1440"/>
          </w:tcPr>
          <w:p>
            <w:pPr>
              <w:jc w:val="center"/>
            </w:pPr>
            <w:r>
              <w:rPr>
                <w:sz w:val="19"/>
              </w:rPr>
              <w:t>$5,000</w:t>
            </w:r>
          </w:p>
        </w:tc>
        <w:tc>
          <w:tcPr>
            <w:tcW w:type="dxa" w:w="1440"/>
          </w:tcPr>
          <w:p>
            <w:pPr>
              <w:jc w:val="center"/>
            </w:pPr>
            <w:r>
              <w:rPr>
                <w:sz w:val="19"/>
              </w:rPr>
              <w:t>$10,000</w:t>
            </w:r>
          </w:p>
        </w:tc>
        <w:tc>
          <w:tcPr>
            <w:tcW w:type="dxa" w:w="1440"/>
          </w:tcPr>
          <w:p>
            <w:pPr>
              <w:jc w:val="center"/>
            </w:pPr>
            <w:r>
              <w:rPr>
                <w:sz w:val="19"/>
              </w:rPr>
              <w:t>$10,000</w:t>
            </w:r>
          </w:p>
        </w:tc>
        <w:tc>
          <w:tcPr>
            <w:tcW w:type="dxa" w:w="1440"/>
          </w:tcPr>
          <w:p>
            <w:pPr>
              <w:jc w:val="center"/>
            </w:pPr>
            <w:r>
              <w:rPr>
                <w:sz w:val="19"/>
              </w:rPr>
              <w:t>$15,000</w:t>
            </w:r>
          </w:p>
        </w:tc>
      </w:tr>
      <w:tr>
        <w:tc>
          <w:tcPr>
            <w:tcW w:type="dxa" w:w="1440"/>
          </w:tcPr>
          <w:p>
            <w:pPr>
              <w:jc w:val="center"/>
            </w:pPr>
            <w:r>
              <w:rPr>
                <w:sz w:val="19"/>
              </w:rPr>
              <w:t>SOC 2 Type II Audit</w:t>
            </w:r>
          </w:p>
        </w:tc>
        <w:tc>
          <w:tcPr>
            <w:tcW w:type="dxa" w:w="1440"/>
          </w:tcPr>
          <w:p>
            <w:pPr>
              <w:jc w:val="center"/>
            </w:pPr>
            <w:r>
              <w:rPr>
                <w:sz w:val="19"/>
              </w:rPr>
              <w:t>$0</w:t>
            </w:r>
          </w:p>
        </w:tc>
        <w:tc>
          <w:tcPr>
            <w:tcW w:type="dxa" w:w="1440"/>
          </w:tcPr>
          <w:p>
            <w:pPr>
              <w:jc w:val="center"/>
            </w:pPr>
            <w:r>
              <w:rPr>
                <w:sz w:val="19"/>
              </w:rPr>
              <w:t>$25,000</w:t>
            </w:r>
          </w:p>
        </w:tc>
        <w:tc>
          <w:tcPr>
            <w:tcW w:type="dxa" w:w="1440"/>
          </w:tcPr>
          <w:p>
            <w:pPr>
              <w:jc w:val="center"/>
            </w:pPr>
            <w:r>
              <w:rPr>
                <w:sz w:val="19"/>
              </w:rPr>
              <w:t>$30,000</w:t>
            </w:r>
          </w:p>
        </w:tc>
        <w:tc>
          <w:tcPr>
            <w:tcW w:type="dxa" w:w="1440"/>
          </w:tcPr>
          <w:p>
            <w:pPr>
              <w:jc w:val="center"/>
            </w:pPr>
            <w:r>
              <w:rPr>
                <w:sz w:val="19"/>
              </w:rPr>
              <w:t>$35,000</w:t>
            </w:r>
          </w:p>
        </w:tc>
        <w:tc>
          <w:tcPr>
            <w:tcW w:type="dxa" w:w="1440"/>
          </w:tcPr>
          <w:p>
            <w:pPr>
              <w:jc w:val="center"/>
            </w:pPr>
            <w:r>
              <w:rPr>
                <w:sz w:val="19"/>
              </w:rPr>
              <w:t>$40,000</w:t>
            </w:r>
          </w:p>
        </w:tc>
      </w:tr>
      <w:tr>
        <w:tc>
          <w:tcPr>
            <w:tcW w:type="dxa" w:w="1440"/>
          </w:tcPr>
          <w:p>
            <w:pPr>
              <w:jc w:val="center"/>
            </w:pPr>
            <w:r>
              <w:rPr>
                <w:sz w:val="19"/>
              </w:rPr>
              <w:t>Apple Developer Program</w:t>
            </w:r>
          </w:p>
        </w:tc>
        <w:tc>
          <w:tcPr>
            <w:tcW w:type="dxa" w:w="1440"/>
          </w:tcPr>
          <w:p>
            <w:pPr>
              <w:jc w:val="center"/>
            </w:pPr>
            <w:r>
              <w:rPr>
                <w:sz w:val="19"/>
              </w:rPr>
              <w:t>$99</w:t>
            </w:r>
          </w:p>
        </w:tc>
        <w:tc>
          <w:tcPr>
            <w:tcW w:type="dxa" w:w="1440"/>
          </w:tcPr>
          <w:p>
            <w:pPr>
              <w:jc w:val="center"/>
            </w:pPr>
            <w:r>
              <w:rPr>
                <w:sz w:val="19"/>
              </w:rPr>
              <w:t>$99</w:t>
            </w:r>
          </w:p>
        </w:tc>
        <w:tc>
          <w:tcPr>
            <w:tcW w:type="dxa" w:w="1440"/>
          </w:tcPr>
          <w:p>
            <w:pPr>
              <w:jc w:val="center"/>
            </w:pPr>
            <w:r>
              <w:rPr>
                <w:sz w:val="19"/>
              </w:rPr>
              <w:t>$99</w:t>
            </w:r>
          </w:p>
        </w:tc>
        <w:tc>
          <w:tcPr>
            <w:tcW w:type="dxa" w:w="1440"/>
          </w:tcPr>
          <w:p>
            <w:pPr>
              <w:jc w:val="center"/>
            </w:pPr>
            <w:r>
              <w:rPr>
                <w:sz w:val="19"/>
              </w:rPr>
              <w:t>$99</w:t>
            </w:r>
          </w:p>
        </w:tc>
        <w:tc>
          <w:tcPr>
            <w:tcW w:type="dxa" w:w="1440"/>
          </w:tcPr>
          <w:p>
            <w:pPr>
              <w:jc w:val="center"/>
            </w:pPr>
            <w:r>
              <w:rPr>
                <w:sz w:val="19"/>
              </w:rPr>
              <w:t>$99</w:t>
            </w:r>
          </w:p>
        </w:tc>
      </w:tr>
    </w:tbl>
    <w:p>
      <w:pPr>
        <w:pStyle w:val="Heading1"/>
      </w:pPr>
      <w:r>
        <w:t>12. Marketing &amp; User Acquisition</w:t>
      </w:r>
    </w:p>
    <w:p>
      <w:pPr>
        <w:pStyle w:val="Heading2"/>
      </w:pPr>
      <w:r>
        <w:t>Canadian Marketing (With CI)</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Channel</w:t>
            </w:r>
          </w:p>
        </w:tc>
        <w:tc>
          <w:tcPr>
            <w:tcW w:type="dxa" w:w="1440"/>
          </w:tcPr>
          <w:p>
            <w:pPr>
              <w:jc w:val="center"/>
            </w:pPr>
            <w:r>
              <w:rPr>
                <w:b/>
                <w:sz w:val="19"/>
              </w:rPr>
              <w:t>Year 1</w:t>
            </w:r>
          </w:p>
        </w:tc>
        <w:tc>
          <w:tcPr>
            <w:tcW w:type="dxa" w:w="1440"/>
          </w:tcPr>
          <w:p>
            <w:pPr>
              <w:jc w:val="center"/>
            </w:pPr>
            <w:r>
              <w:rPr>
                <w:b/>
                <w:sz w:val="19"/>
              </w:rPr>
              <w:t>Year 2</w:t>
            </w:r>
          </w:p>
        </w:tc>
        <w:tc>
          <w:tcPr>
            <w:tcW w:type="dxa" w:w="1440"/>
          </w:tcPr>
          <w:p>
            <w:pPr>
              <w:jc w:val="center"/>
            </w:pPr>
            <w:r>
              <w:rPr>
                <w:b/>
                <w:sz w:val="19"/>
              </w:rPr>
              <w:t>Year 3</w:t>
            </w:r>
          </w:p>
        </w:tc>
        <w:tc>
          <w:tcPr>
            <w:tcW w:type="dxa" w:w="1440"/>
          </w:tcPr>
          <w:p>
            <w:pPr>
              <w:jc w:val="center"/>
            </w:pPr>
            <w:r>
              <w:rPr>
                <w:b/>
                <w:sz w:val="19"/>
              </w:rPr>
              <w:t>Year 4</w:t>
            </w:r>
          </w:p>
        </w:tc>
        <w:tc>
          <w:tcPr>
            <w:tcW w:type="dxa" w:w="1440"/>
          </w:tcPr>
          <w:p>
            <w:pPr>
              <w:jc w:val="center"/>
            </w:pPr>
            <w:r>
              <w:rPr>
                <w:b/>
                <w:sz w:val="19"/>
              </w:rPr>
              <w:t>Year 5</w:t>
            </w:r>
          </w:p>
        </w:tc>
      </w:tr>
      <w:tr>
        <w:tc>
          <w:tcPr>
            <w:tcW w:type="dxa" w:w="1440"/>
          </w:tcPr>
          <w:p>
            <w:pPr>
              <w:jc w:val="center"/>
            </w:pPr>
            <w:r>
              <w:rPr>
                <w:sz w:val="19"/>
              </w:rPr>
              <w:t>CI Referral (partnership)</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r>
      <w:tr>
        <w:tc>
          <w:tcPr>
            <w:tcW w:type="dxa" w:w="1440"/>
          </w:tcPr>
          <w:p>
            <w:pPr>
              <w:jc w:val="center"/>
            </w:pPr>
            <w:r>
              <w:rPr>
                <w:sz w:val="19"/>
              </w:rPr>
              <w:t>Organic Marketing</w:t>
            </w:r>
          </w:p>
        </w:tc>
        <w:tc>
          <w:tcPr>
            <w:tcW w:type="dxa" w:w="1440"/>
          </w:tcPr>
          <w:p>
            <w:pPr>
              <w:jc w:val="center"/>
            </w:pPr>
            <w:r>
              <w:rPr>
                <w:sz w:val="19"/>
              </w:rPr>
              <w:t>$6,000</w:t>
            </w:r>
          </w:p>
        </w:tc>
        <w:tc>
          <w:tcPr>
            <w:tcW w:type="dxa" w:w="1440"/>
          </w:tcPr>
          <w:p>
            <w:pPr>
              <w:jc w:val="center"/>
            </w:pPr>
            <w:r>
              <w:rPr>
                <w:sz w:val="19"/>
              </w:rPr>
              <w:t>$12,000</w:t>
            </w:r>
          </w:p>
        </w:tc>
        <w:tc>
          <w:tcPr>
            <w:tcW w:type="dxa" w:w="1440"/>
          </w:tcPr>
          <w:p>
            <w:pPr>
              <w:jc w:val="center"/>
            </w:pPr>
            <w:r>
              <w:rPr>
                <w:sz w:val="19"/>
              </w:rPr>
              <w:t>$18,000</w:t>
            </w:r>
          </w:p>
        </w:tc>
        <w:tc>
          <w:tcPr>
            <w:tcW w:type="dxa" w:w="1440"/>
          </w:tcPr>
          <w:p>
            <w:pPr>
              <w:jc w:val="center"/>
            </w:pPr>
            <w:r>
              <w:rPr>
                <w:sz w:val="19"/>
              </w:rPr>
              <w:t>$24,000</w:t>
            </w:r>
          </w:p>
        </w:tc>
        <w:tc>
          <w:tcPr>
            <w:tcW w:type="dxa" w:w="1440"/>
          </w:tcPr>
          <w:p>
            <w:pPr>
              <w:jc w:val="center"/>
            </w:pPr>
            <w:r>
              <w:rPr>
                <w:sz w:val="19"/>
              </w:rPr>
              <w:t>$30,000</w:t>
            </w:r>
          </w:p>
        </w:tc>
      </w:tr>
      <w:tr>
        <w:tc>
          <w:tcPr>
            <w:tcW w:type="dxa" w:w="1440"/>
          </w:tcPr>
          <w:p>
            <w:pPr>
              <w:jc w:val="center"/>
            </w:pPr>
            <w:r>
              <w:rPr>
                <w:sz w:val="19"/>
              </w:rPr>
              <w:t>Paid Media</w:t>
            </w:r>
          </w:p>
        </w:tc>
        <w:tc>
          <w:tcPr>
            <w:tcW w:type="dxa" w:w="1440"/>
          </w:tcPr>
          <w:p>
            <w:pPr>
              <w:jc w:val="center"/>
            </w:pPr>
            <w:r>
              <w:rPr>
                <w:sz w:val="19"/>
              </w:rPr>
              <w:t>$1,800</w:t>
            </w:r>
          </w:p>
        </w:tc>
        <w:tc>
          <w:tcPr>
            <w:tcW w:type="dxa" w:w="1440"/>
          </w:tcPr>
          <w:p>
            <w:pPr>
              <w:jc w:val="center"/>
            </w:pPr>
            <w:r>
              <w:rPr>
                <w:sz w:val="19"/>
              </w:rPr>
              <w:t>$4,600</w:t>
            </w:r>
          </w:p>
        </w:tc>
        <w:tc>
          <w:tcPr>
            <w:tcW w:type="dxa" w:w="1440"/>
          </w:tcPr>
          <w:p>
            <w:pPr>
              <w:jc w:val="center"/>
            </w:pPr>
            <w:r>
              <w:rPr>
                <w:sz w:val="19"/>
              </w:rPr>
              <w:t>$53,000</w:t>
            </w:r>
          </w:p>
        </w:tc>
        <w:tc>
          <w:tcPr>
            <w:tcW w:type="dxa" w:w="1440"/>
          </w:tcPr>
          <w:p>
            <w:pPr>
              <w:jc w:val="center"/>
            </w:pPr>
            <w:r>
              <w:rPr>
                <w:sz w:val="19"/>
              </w:rPr>
              <w:t>$100,400</w:t>
            </w:r>
          </w:p>
        </w:tc>
        <w:tc>
          <w:tcPr>
            <w:tcW w:type="dxa" w:w="1440"/>
          </w:tcPr>
          <w:p>
            <w:pPr>
              <w:jc w:val="center"/>
            </w:pPr>
            <w:r>
              <w:rPr>
                <w:sz w:val="19"/>
              </w:rPr>
              <w:t>$148,800</w:t>
            </w:r>
          </w:p>
        </w:tc>
      </w:tr>
      <w:tr>
        <w:tc>
          <w:tcPr>
            <w:tcW w:type="dxa" w:w="1440"/>
          </w:tcPr>
          <w:p>
            <w:pPr>
              <w:jc w:val="center"/>
            </w:pPr>
            <w:r>
              <w:rPr>
                <w:sz w:val="19"/>
              </w:rPr>
              <w:t>Total</w:t>
            </w:r>
          </w:p>
        </w:tc>
        <w:tc>
          <w:tcPr>
            <w:tcW w:type="dxa" w:w="1440"/>
          </w:tcPr>
          <w:p>
            <w:pPr>
              <w:jc w:val="center"/>
            </w:pPr>
            <w:r>
              <w:rPr>
                <w:sz w:val="19"/>
              </w:rPr>
              <w:t>$7,800</w:t>
            </w:r>
          </w:p>
        </w:tc>
        <w:tc>
          <w:tcPr>
            <w:tcW w:type="dxa" w:w="1440"/>
          </w:tcPr>
          <w:p>
            <w:pPr>
              <w:jc w:val="center"/>
            </w:pPr>
            <w:r>
              <w:rPr>
                <w:sz w:val="19"/>
              </w:rPr>
              <w:t>$16,600</w:t>
            </w:r>
          </w:p>
        </w:tc>
        <w:tc>
          <w:tcPr>
            <w:tcW w:type="dxa" w:w="1440"/>
          </w:tcPr>
          <w:p>
            <w:pPr>
              <w:jc w:val="center"/>
            </w:pPr>
            <w:r>
              <w:rPr>
                <w:sz w:val="19"/>
              </w:rPr>
              <w:t>$71,000</w:t>
            </w:r>
          </w:p>
        </w:tc>
        <w:tc>
          <w:tcPr>
            <w:tcW w:type="dxa" w:w="1440"/>
          </w:tcPr>
          <w:p>
            <w:pPr>
              <w:jc w:val="center"/>
            </w:pPr>
            <w:r>
              <w:rPr>
                <w:sz w:val="19"/>
              </w:rPr>
              <w:t>$124,400</w:t>
            </w:r>
          </w:p>
        </w:tc>
        <w:tc>
          <w:tcPr>
            <w:tcW w:type="dxa" w:w="1440"/>
          </w:tcPr>
          <w:p>
            <w:pPr>
              <w:jc w:val="center"/>
            </w:pPr>
            <w:r>
              <w:rPr>
                <w:sz w:val="19"/>
              </w:rPr>
              <w:t>$178,800</w:t>
            </w:r>
          </w:p>
        </w:tc>
      </w:tr>
    </w:tbl>
    <w:p/>
    <w:p>
      <w:pPr>
        <w:pStyle w:val="Heading3"/>
      </w:pPr>
      <w:r>
        <w:t>Canadian Cost per Visitor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Channel</w:t>
            </w:r>
          </w:p>
        </w:tc>
        <w:tc>
          <w:tcPr>
            <w:tcW w:type="dxa" w:w="1440"/>
          </w:tcPr>
          <w:p>
            <w:pPr>
              <w:jc w:val="center"/>
            </w:pPr>
            <w:r>
              <w:rPr>
                <w:b/>
                <w:sz w:val="19"/>
              </w:rPr>
              <w:t>Year 1</w:t>
            </w:r>
          </w:p>
        </w:tc>
        <w:tc>
          <w:tcPr>
            <w:tcW w:type="dxa" w:w="1440"/>
          </w:tcPr>
          <w:p>
            <w:pPr>
              <w:jc w:val="center"/>
            </w:pPr>
            <w:r>
              <w:rPr>
                <w:b/>
                <w:sz w:val="19"/>
              </w:rPr>
              <w:t>Year 2</w:t>
            </w:r>
          </w:p>
        </w:tc>
        <w:tc>
          <w:tcPr>
            <w:tcW w:type="dxa" w:w="1440"/>
          </w:tcPr>
          <w:p>
            <w:pPr>
              <w:jc w:val="center"/>
            </w:pPr>
            <w:r>
              <w:rPr>
                <w:b/>
                <w:sz w:val="19"/>
              </w:rPr>
              <w:t>Year 3</w:t>
            </w:r>
          </w:p>
        </w:tc>
        <w:tc>
          <w:tcPr>
            <w:tcW w:type="dxa" w:w="1440"/>
          </w:tcPr>
          <w:p>
            <w:pPr>
              <w:jc w:val="center"/>
            </w:pPr>
            <w:r>
              <w:rPr>
                <w:b/>
                <w:sz w:val="19"/>
              </w:rPr>
              <w:t>Year 4</w:t>
            </w:r>
          </w:p>
        </w:tc>
        <w:tc>
          <w:tcPr>
            <w:tcW w:type="dxa" w:w="1440"/>
          </w:tcPr>
          <w:p>
            <w:pPr>
              <w:jc w:val="center"/>
            </w:pPr>
            <w:r>
              <w:rPr>
                <w:b/>
                <w:sz w:val="19"/>
              </w:rPr>
              <w:t>Year 5</w:t>
            </w:r>
          </w:p>
        </w:tc>
      </w:tr>
      <w:tr>
        <w:tc>
          <w:tcPr>
            <w:tcW w:type="dxa" w:w="1440"/>
          </w:tcPr>
          <w:p>
            <w:pPr>
              <w:jc w:val="center"/>
            </w:pPr>
            <w:r>
              <w:rPr>
                <w:sz w:val="19"/>
              </w:rPr>
              <w:t>CI Referral</w:t>
            </w:r>
          </w:p>
        </w:tc>
        <w:tc>
          <w:tcPr>
            <w:tcW w:type="dxa" w:w="1440"/>
          </w:tcPr>
          <w:p>
            <w:pPr>
              <w:jc w:val="center"/>
            </w:pPr>
            <w:r>
              <w:rPr>
                <w:sz w:val="19"/>
              </w:rPr>
              <w:t>$0.00</w:t>
            </w:r>
          </w:p>
        </w:tc>
        <w:tc>
          <w:tcPr>
            <w:tcW w:type="dxa" w:w="1440"/>
          </w:tcPr>
          <w:p>
            <w:pPr>
              <w:jc w:val="center"/>
            </w:pPr>
            <w:r>
              <w:rPr>
                <w:sz w:val="19"/>
              </w:rPr>
              <w:t>$0.00</w:t>
            </w:r>
          </w:p>
        </w:tc>
        <w:tc>
          <w:tcPr>
            <w:tcW w:type="dxa" w:w="1440"/>
          </w:tcPr>
          <w:p>
            <w:pPr>
              <w:jc w:val="center"/>
            </w:pPr>
            <w:r>
              <w:rPr>
                <w:sz w:val="19"/>
              </w:rPr>
              <w:t>$0.00</w:t>
            </w:r>
          </w:p>
        </w:tc>
        <w:tc>
          <w:tcPr>
            <w:tcW w:type="dxa" w:w="1440"/>
          </w:tcPr>
          <w:p>
            <w:pPr>
              <w:jc w:val="center"/>
            </w:pPr>
            <w:r>
              <w:rPr>
                <w:sz w:val="19"/>
              </w:rPr>
              <w:t>$0.00</w:t>
            </w:r>
          </w:p>
        </w:tc>
        <w:tc>
          <w:tcPr>
            <w:tcW w:type="dxa" w:w="1440"/>
          </w:tcPr>
          <w:p>
            <w:pPr>
              <w:jc w:val="center"/>
            </w:pPr>
            <w:r>
              <w:rPr>
                <w:sz w:val="19"/>
              </w:rPr>
              <w:t>$0.00</w:t>
            </w:r>
          </w:p>
        </w:tc>
      </w:tr>
      <w:tr>
        <w:tc>
          <w:tcPr>
            <w:tcW w:type="dxa" w:w="1440"/>
          </w:tcPr>
          <w:p>
            <w:pPr>
              <w:jc w:val="center"/>
            </w:pPr>
            <w:r>
              <w:rPr>
                <w:sz w:val="19"/>
              </w:rPr>
              <w:t>Organic Search</w:t>
            </w:r>
          </w:p>
        </w:tc>
        <w:tc>
          <w:tcPr>
            <w:tcW w:type="dxa" w:w="1440"/>
          </w:tcPr>
          <w:p>
            <w:pPr>
              <w:jc w:val="center"/>
            </w:pPr>
            <w:r>
              <w:rPr>
                <w:sz w:val="19"/>
              </w:rPr>
              <w:t>$0.27</w:t>
            </w:r>
          </w:p>
        </w:tc>
        <w:tc>
          <w:tcPr>
            <w:tcW w:type="dxa" w:w="1440"/>
          </w:tcPr>
          <w:p>
            <w:pPr>
              <w:jc w:val="center"/>
            </w:pPr>
            <w:r>
              <w:rPr>
                <w:sz w:val="19"/>
              </w:rPr>
              <w:t>$0.30</w:t>
            </w:r>
          </w:p>
        </w:tc>
        <w:tc>
          <w:tcPr>
            <w:tcW w:type="dxa" w:w="1440"/>
          </w:tcPr>
          <w:p>
            <w:pPr>
              <w:jc w:val="center"/>
            </w:pPr>
            <w:r>
              <w:rPr>
                <w:sz w:val="19"/>
              </w:rPr>
              <w:t>$0.36</w:t>
            </w:r>
          </w:p>
        </w:tc>
        <w:tc>
          <w:tcPr>
            <w:tcW w:type="dxa" w:w="1440"/>
          </w:tcPr>
          <w:p>
            <w:pPr>
              <w:jc w:val="center"/>
            </w:pPr>
            <w:r>
              <w:rPr>
                <w:sz w:val="19"/>
              </w:rPr>
              <w:t>$0.40</w:t>
            </w:r>
          </w:p>
        </w:tc>
        <w:tc>
          <w:tcPr>
            <w:tcW w:type="dxa" w:w="1440"/>
          </w:tcPr>
          <w:p>
            <w:pPr>
              <w:jc w:val="center"/>
            </w:pPr>
            <w:r>
              <w:rPr>
                <w:sz w:val="19"/>
              </w:rPr>
              <w:t>$0.40</w:t>
            </w:r>
          </w:p>
        </w:tc>
      </w:tr>
      <w:tr>
        <w:tc>
          <w:tcPr>
            <w:tcW w:type="dxa" w:w="1440"/>
          </w:tcPr>
          <w:p>
            <w:pPr>
              <w:jc w:val="center"/>
            </w:pPr>
            <w:r>
              <w:rPr>
                <w:sz w:val="19"/>
              </w:rPr>
              <w:t>Paid Media</w:t>
            </w:r>
          </w:p>
        </w:tc>
        <w:tc>
          <w:tcPr>
            <w:tcW w:type="dxa" w:w="1440"/>
          </w:tcPr>
          <w:p>
            <w:pPr>
              <w:jc w:val="center"/>
            </w:pPr>
            <w:r>
              <w:rPr>
                <w:sz w:val="19"/>
              </w:rPr>
              <w:t>$0.10</w:t>
            </w:r>
          </w:p>
        </w:tc>
        <w:tc>
          <w:tcPr>
            <w:tcW w:type="dxa" w:w="1440"/>
          </w:tcPr>
          <w:p>
            <w:pPr>
              <w:jc w:val="center"/>
            </w:pPr>
            <w:r>
              <w:rPr>
                <w:sz w:val="19"/>
              </w:rPr>
              <w:t>$0.13</w:t>
            </w:r>
          </w:p>
        </w:tc>
        <w:tc>
          <w:tcPr>
            <w:tcW w:type="dxa" w:w="1440"/>
          </w:tcPr>
          <w:p>
            <w:pPr>
              <w:jc w:val="center"/>
            </w:pPr>
            <w:r>
              <w:rPr>
                <w:sz w:val="19"/>
              </w:rPr>
              <w:t>$1.33</w:t>
            </w:r>
          </w:p>
        </w:tc>
        <w:tc>
          <w:tcPr>
            <w:tcW w:type="dxa" w:w="1440"/>
          </w:tcPr>
          <w:p>
            <w:pPr>
              <w:jc w:val="center"/>
            </w:pPr>
            <w:r>
              <w:rPr>
                <w:sz w:val="19"/>
              </w:rPr>
              <w:t>$2.01</w:t>
            </w:r>
          </w:p>
        </w:tc>
        <w:tc>
          <w:tcPr>
            <w:tcW w:type="dxa" w:w="1440"/>
          </w:tcPr>
          <w:p>
            <w:pPr>
              <w:jc w:val="center"/>
            </w:pPr>
            <w:r>
              <w:rPr>
                <w:sz w:val="19"/>
              </w:rPr>
              <w:t>$2.29</w:t>
            </w:r>
          </w:p>
        </w:tc>
      </w:tr>
      <w:tr>
        <w:tc>
          <w:tcPr>
            <w:tcW w:type="dxa" w:w="1440"/>
          </w:tcPr>
          <w:p>
            <w:pPr>
              <w:jc w:val="center"/>
            </w:pPr>
            <w:r>
              <w:rPr>
                <w:sz w:val="19"/>
              </w:rPr>
              <w:t>Blended</w:t>
            </w:r>
          </w:p>
        </w:tc>
        <w:tc>
          <w:tcPr>
            <w:tcW w:type="dxa" w:w="1440"/>
          </w:tcPr>
          <w:p>
            <w:pPr>
              <w:jc w:val="center"/>
            </w:pPr>
            <w:r>
              <w:rPr>
                <w:sz w:val="19"/>
              </w:rPr>
              <w:t>$0.06</w:t>
            </w:r>
          </w:p>
        </w:tc>
        <w:tc>
          <w:tcPr>
            <w:tcW w:type="dxa" w:w="1440"/>
          </w:tcPr>
          <w:p>
            <w:pPr>
              <w:jc w:val="center"/>
            </w:pPr>
            <w:r>
              <w:rPr>
                <w:sz w:val="19"/>
              </w:rPr>
              <w:t>$0.10</w:t>
            </w:r>
          </w:p>
        </w:tc>
        <w:tc>
          <w:tcPr>
            <w:tcW w:type="dxa" w:w="1440"/>
          </w:tcPr>
          <w:p>
            <w:pPr>
              <w:jc w:val="center"/>
            </w:pPr>
            <w:r>
              <w:rPr>
                <w:sz w:val="19"/>
              </w:rPr>
              <w:t>$0.34</w:t>
            </w:r>
          </w:p>
        </w:tc>
        <w:tc>
          <w:tcPr>
            <w:tcW w:type="dxa" w:w="1440"/>
          </w:tcPr>
          <w:p>
            <w:pPr>
              <w:jc w:val="center"/>
            </w:pPr>
            <w:r>
              <w:rPr>
                <w:sz w:val="19"/>
              </w:rPr>
              <w:t>$0.48</w:t>
            </w:r>
          </w:p>
        </w:tc>
        <w:tc>
          <w:tcPr>
            <w:tcW w:type="dxa" w:w="1440"/>
          </w:tcPr>
          <w:p>
            <w:pPr>
              <w:jc w:val="center"/>
            </w:pPr>
            <w:r>
              <w:rPr>
                <w:sz w:val="19"/>
              </w:rPr>
              <w:t>$0.56</w:t>
            </w:r>
          </w:p>
        </w:tc>
      </w:tr>
    </w:tbl>
    <w:p/>
    <w:p>
      <w:pPr>
        <w:pStyle w:val="Heading2"/>
      </w:pPr>
      <w:r>
        <w:t>US Marketing Spend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Year</w:t>
            </w:r>
          </w:p>
        </w:tc>
        <w:tc>
          <w:tcPr>
            <w:tcW w:type="dxa" w:w="1728"/>
          </w:tcPr>
          <w:p>
            <w:pPr>
              <w:jc w:val="center"/>
            </w:pPr>
            <w:r>
              <w:rPr>
                <w:b/>
                <w:sz w:val="19"/>
              </w:rPr>
              <w:t>Organic</w:t>
            </w:r>
          </w:p>
        </w:tc>
        <w:tc>
          <w:tcPr>
            <w:tcW w:type="dxa" w:w="1728"/>
          </w:tcPr>
          <w:p>
            <w:pPr>
              <w:jc w:val="center"/>
            </w:pPr>
            <w:r>
              <w:rPr>
                <w:b/>
                <w:sz w:val="19"/>
              </w:rPr>
              <w:t>Paid Media</w:t>
            </w:r>
          </w:p>
        </w:tc>
        <w:tc>
          <w:tcPr>
            <w:tcW w:type="dxa" w:w="1728"/>
          </w:tcPr>
          <w:p>
            <w:pPr>
              <w:jc w:val="center"/>
            </w:pPr>
            <w:r>
              <w:rPr>
                <w:b/>
                <w:sz w:val="19"/>
              </w:rPr>
              <w:t>Total</w:t>
            </w:r>
          </w:p>
        </w:tc>
        <w:tc>
          <w:tcPr>
            <w:tcW w:type="dxa" w:w="1728"/>
          </w:tcPr>
          <w:p>
            <w:pPr>
              <w:jc w:val="center"/>
            </w:pPr>
            <w:r>
              <w:rPr>
                <w:b/>
                <w:sz w:val="19"/>
              </w:rPr>
              <w:t>Notes</w:t>
            </w:r>
          </w:p>
        </w:tc>
      </w:tr>
      <w:tr>
        <w:tc>
          <w:tcPr>
            <w:tcW w:type="dxa" w:w="1728"/>
          </w:tcPr>
          <w:p>
            <w:pPr>
              <w:jc w:val="center"/>
            </w:pPr>
            <w:r>
              <w:rPr>
                <w:sz w:val="19"/>
              </w:rPr>
              <w:t>FY2027 (8 mo)</w:t>
            </w:r>
          </w:p>
        </w:tc>
        <w:tc>
          <w:tcPr>
            <w:tcW w:type="dxa" w:w="1728"/>
          </w:tcPr>
          <w:p>
            <w:pPr>
              <w:jc w:val="center"/>
            </w:pPr>
            <w:r>
              <w:rPr>
                <w:sz w:val="19"/>
              </w:rPr>
              <w:t>$10,000</w:t>
            </w:r>
          </w:p>
        </w:tc>
        <w:tc>
          <w:tcPr>
            <w:tcW w:type="dxa" w:w="1728"/>
          </w:tcPr>
          <w:p>
            <w:pPr>
              <w:jc w:val="center"/>
            </w:pPr>
            <w:r>
              <w:rPr>
                <w:sz w:val="19"/>
              </w:rPr>
              <w:t>$40,000</w:t>
            </w:r>
          </w:p>
        </w:tc>
        <w:tc>
          <w:tcPr>
            <w:tcW w:type="dxa" w:w="1728"/>
          </w:tcPr>
          <w:p>
            <w:pPr>
              <w:jc w:val="center"/>
            </w:pPr>
            <w:r>
              <w:rPr>
                <w:sz w:val="19"/>
              </w:rPr>
              <w:t>$50,000</w:t>
            </w:r>
          </w:p>
        </w:tc>
        <w:tc>
          <w:tcPr>
            <w:tcW w:type="dxa" w:w="1728"/>
          </w:tcPr>
          <w:p>
            <w:pPr>
              <w:jc w:val="center"/>
            </w:pPr>
            <w:r>
              <w:rPr>
                <w:sz w:val="19"/>
              </w:rPr>
              <w:t>Bootstrap: leverage CA press</w:t>
            </w:r>
          </w:p>
        </w:tc>
      </w:tr>
      <w:tr>
        <w:tc>
          <w:tcPr>
            <w:tcW w:type="dxa" w:w="1728"/>
          </w:tcPr>
          <w:p>
            <w:pPr>
              <w:jc w:val="center"/>
            </w:pPr>
            <w:r>
              <w:rPr>
                <w:sz w:val="19"/>
              </w:rPr>
              <w:t>FY2028</w:t>
            </w:r>
          </w:p>
        </w:tc>
        <w:tc>
          <w:tcPr>
            <w:tcW w:type="dxa" w:w="1728"/>
          </w:tcPr>
          <w:p>
            <w:pPr>
              <w:jc w:val="center"/>
            </w:pPr>
            <w:r>
              <w:rPr>
                <w:sz w:val="19"/>
              </w:rPr>
              <w:t>$36,000</w:t>
            </w:r>
          </w:p>
        </w:tc>
        <w:tc>
          <w:tcPr>
            <w:tcW w:type="dxa" w:w="1728"/>
          </w:tcPr>
          <w:p>
            <w:pPr>
              <w:jc w:val="center"/>
            </w:pPr>
            <w:r>
              <w:rPr>
                <w:sz w:val="19"/>
              </w:rPr>
              <w:t>$150,000</w:t>
            </w:r>
          </w:p>
        </w:tc>
        <w:tc>
          <w:tcPr>
            <w:tcW w:type="dxa" w:w="1728"/>
          </w:tcPr>
          <w:p>
            <w:pPr>
              <w:jc w:val="center"/>
            </w:pPr>
            <w:r>
              <w:rPr>
                <w:sz w:val="19"/>
              </w:rPr>
              <w:t>$186,000</w:t>
            </w:r>
          </w:p>
        </w:tc>
        <w:tc>
          <w:tcPr>
            <w:tcW w:type="dxa" w:w="1728"/>
          </w:tcPr>
          <w:p>
            <w:pPr>
              <w:jc w:val="center"/>
            </w:pPr>
            <w:r>
              <w:rPr>
                <w:sz w:val="19"/>
              </w:rPr>
              <w:t>Brand building, paid acquisition</w:t>
            </w:r>
          </w:p>
        </w:tc>
      </w:tr>
      <w:tr>
        <w:tc>
          <w:tcPr>
            <w:tcW w:type="dxa" w:w="1728"/>
          </w:tcPr>
          <w:p>
            <w:pPr>
              <w:jc w:val="center"/>
            </w:pPr>
            <w:r>
              <w:rPr>
                <w:sz w:val="19"/>
              </w:rPr>
              <w:t>FY2029</w:t>
            </w:r>
          </w:p>
        </w:tc>
        <w:tc>
          <w:tcPr>
            <w:tcW w:type="dxa" w:w="1728"/>
          </w:tcPr>
          <w:p>
            <w:pPr>
              <w:jc w:val="center"/>
            </w:pPr>
            <w:r>
              <w:rPr>
                <w:sz w:val="19"/>
              </w:rPr>
              <w:t>$60,000</w:t>
            </w:r>
          </w:p>
        </w:tc>
        <w:tc>
          <w:tcPr>
            <w:tcW w:type="dxa" w:w="1728"/>
          </w:tcPr>
          <w:p>
            <w:pPr>
              <w:jc w:val="center"/>
            </w:pPr>
            <w:r>
              <w:rPr>
                <w:sz w:val="19"/>
              </w:rPr>
              <w:t>$240,000</w:t>
            </w:r>
          </w:p>
        </w:tc>
        <w:tc>
          <w:tcPr>
            <w:tcW w:type="dxa" w:w="1728"/>
          </w:tcPr>
          <w:p>
            <w:pPr>
              <w:jc w:val="center"/>
            </w:pPr>
            <w:r>
              <w:rPr>
                <w:sz w:val="19"/>
              </w:rPr>
              <w:t>$300,000</w:t>
            </w:r>
          </w:p>
        </w:tc>
        <w:tc>
          <w:tcPr>
            <w:tcW w:type="dxa" w:w="1728"/>
          </w:tcPr>
          <w:p>
            <w:pPr>
              <w:jc w:val="center"/>
            </w:pPr>
            <w:r>
              <w:rPr>
                <w:sz w:val="19"/>
              </w:rPr>
              <w:t>Scale: content + paid at volume</w:t>
            </w:r>
          </w:p>
        </w:tc>
      </w:tr>
      <w:tr>
        <w:tc>
          <w:tcPr>
            <w:tcW w:type="dxa" w:w="1728"/>
          </w:tcPr>
          <w:p>
            <w:pPr>
              <w:jc w:val="center"/>
            </w:pPr>
            <w:r>
              <w:rPr>
                <w:sz w:val="19"/>
              </w:rPr>
              <w:t>FY2030</w:t>
            </w:r>
          </w:p>
        </w:tc>
        <w:tc>
          <w:tcPr>
            <w:tcW w:type="dxa" w:w="1728"/>
          </w:tcPr>
          <w:p>
            <w:pPr>
              <w:jc w:val="center"/>
            </w:pPr>
            <w:r>
              <w:rPr>
                <w:sz w:val="19"/>
              </w:rPr>
              <w:t>$84,000</w:t>
            </w:r>
          </w:p>
        </w:tc>
        <w:tc>
          <w:tcPr>
            <w:tcW w:type="dxa" w:w="1728"/>
          </w:tcPr>
          <w:p>
            <w:pPr>
              <w:jc w:val="center"/>
            </w:pPr>
            <w:r>
              <w:rPr>
                <w:sz w:val="19"/>
              </w:rPr>
              <w:t>$320,000</w:t>
            </w:r>
          </w:p>
        </w:tc>
        <w:tc>
          <w:tcPr>
            <w:tcW w:type="dxa" w:w="1728"/>
          </w:tcPr>
          <w:p>
            <w:pPr>
              <w:jc w:val="center"/>
            </w:pPr>
            <w:r>
              <w:rPr>
                <w:sz w:val="19"/>
              </w:rPr>
              <w:t>$404,000</w:t>
            </w:r>
          </w:p>
        </w:tc>
        <w:tc>
          <w:tcPr>
            <w:tcW w:type="dxa" w:w="1728"/>
          </w:tcPr>
          <w:p>
            <w:pPr>
              <w:jc w:val="center"/>
            </w:pPr>
            <w:r>
              <w:rPr>
                <w:sz w:val="19"/>
              </w:rPr>
              <w:t>Growth: network effects reduce CAC</w:t>
            </w:r>
          </w:p>
        </w:tc>
      </w:tr>
      <w:tr>
        <w:tc>
          <w:tcPr>
            <w:tcW w:type="dxa" w:w="1728"/>
          </w:tcPr>
          <w:p>
            <w:pPr>
              <w:jc w:val="center"/>
            </w:pPr>
            <w:r>
              <w:rPr>
                <w:sz w:val="19"/>
              </w:rPr>
              <w:t>FY2031</w:t>
            </w:r>
          </w:p>
        </w:tc>
        <w:tc>
          <w:tcPr>
            <w:tcW w:type="dxa" w:w="1728"/>
          </w:tcPr>
          <w:p>
            <w:pPr>
              <w:jc w:val="center"/>
            </w:pPr>
            <w:r>
              <w:rPr>
                <w:sz w:val="19"/>
              </w:rPr>
              <w:t>$108,000</w:t>
            </w:r>
          </w:p>
        </w:tc>
        <w:tc>
          <w:tcPr>
            <w:tcW w:type="dxa" w:w="1728"/>
          </w:tcPr>
          <w:p>
            <w:pPr>
              <w:jc w:val="center"/>
            </w:pPr>
            <w:r>
              <w:rPr>
                <w:sz w:val="19"/>
              </w:rPr>
              <w:t>$400,000</w:t>
            </w:r>
          </w:p>
        </w:tc>
        <w:tc>
          <w:tcPr>
            <w:tcW w:type="dxa" w:w="1728"/>
          </w:tcPr>
          <w:p>
            <w:pPr>
              <w:jc w:val="center"/>
            </w:pPr>
            <w:r>
              <w:rPr>
                <w:sz w:val="19"/>
              </w:rPr>
              <w:t>$508,000</w:t>
            </w:r>
          </w:p>
        </w:tc>
        <w:tc>
          <w:tcPr>
            <w:tcW w:type="dxa" w:w="1728"/>
          </w:tcPr>
          <w:p>
            <w:pPr>
              <w:jc w:val="center"/>
            </w:pPr>
            <w:r>
              <w:rPr>
                <w:sz w:val="19"/>
              </w:rPr>
              <w:t>Maturity: organic share increasing</w:t>
            </w:r>
          </w:p>
        </w:tc>
      </w:tr>
    </w:tbl>
    <w:p/>
    <w:p>
      <w:r>
        <w:t>US marketing is heavier than CA (no CI traffic equivalent) but lighter than Scenario B (without CI) at equivalent user counts, because CA credibility reduces cold-market acquisition costs by an estimated 20–30%.</w:t>
      </w:r>
    </w:p>
    <w:p>
      <w:pPr>
        <w:pStyle w:val="Heading1"/>
      </w:pPr>
      <w:r>
        <w:t>13. Organizational Costs — All Four Entities</w:t>
      </w:r>
    </w:p>
    <w:p>
      <w:pPr>
        <w:pStyle w:val="Heading2"/>
      </w:pPr>
      <w:r>
        <w:t>13a. Harness Exchange — CA For-Profit (CBCA / Ontario)</w:t>
      </w:r>
    </w:p>
    <w:p>
      <w:r>
        <w:t>One-time formation: $590 CAD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Cost</w:t>
            </w:r>
          </w:p>
        </w:tc>
        <w:tc>
          <w:tcPr>
            <w:tcW w:type="dxa" w:w="1440"/>
          </w:tcPr>
          <w:p>
            <w:pPr>
              <w:jc w:val="center"/>
            </w:pPr>
            <w:r>
              <w:rPr>
                <w:b/>
                <w:sz w:val="19"/>
              </w:rPr>
              <w:t>Year 1</w:t>
            </w:r>
          </w:p>
        </w:tc>
        <w:tc>
          <w:tcPr>
            <w:tcW w:type="dxa" w:w="1440"/>
          </w:tcPr>
          <w:p>
            <w:pPr>
              <w:jc w:val="center"/>
            </w:pPr>
            <w:r>
              <w:rPr>
                <w:b/>
                <w:sz w:val="19"/>
              </w:rPr>
              <w:t>Year 2</w:t>
            </w:r>
          </w:p>
        </w:tc>
        <w:tc>
          <w:tcPr>
            <w:tcW w:type="dxa" w:w="1440"/>
          </w:tcPr>
          <w:p>
            <w:pPr>
              <w:jc w:val="center"/>
            </w:pPr>
            <w:r>
              <w:rPr>
                <w:b/>
                <w:sz w:val="19"/>
              </w:rPr>
              <w:t>Year 3</w:t>
            </w:r>
          </w:p>
        </w:tc>
        <w:tc>
          <w:tcPr>
            <w:tcW w:type="dxa" w:w="1440"/>
          </w:tcPr>
          <w:p>
            <w:pPr>
              <w:jc w:val="center"/>
            </w:pPr>
            <w:r>
              <w:rPr>
                <w:b/>
                <w:sz w:val="19"/>
              </w:rPr>
              <w:t>Year 4</w:t>
            </w:r>
          </w:p>
        </w:tc>
        <w:tc>
          <w:tcPr>
            <w:tcW w:type="dxa" w:w="1440"/>
          </w:tcPr>
          <w:p>
            <w:pPr>
              <w:jc w:val="center"/>
            </w:pPr>
            <w:r>
              <w:rPr>
                <w:b/>
                <w:sz w:val="19"/>
              </w:rPr>
              <w:t>Year 5</w:t>
            </w:r>
          </w:p>
        </w:tc>
      </w:tr>
      <w:tr>
        <w:tc>
          <w:tcPr>
            <w:tcW w:type="dxa" w:w="1440"/>
          </w:tcPr>
          <w:p>
            <w:pPr>
              <w:jc w:val="center"/>
            </w:pPr>
            <w:r>
              <w:rPr>
                <w:sz w:val="19"/>
              </w:rPr>
              <w:t>Annual return</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r>
      <w:tr>
        <w:tc>
          <w:tcPr>
            <w:tcW w:type="dxa" w:w="1440"/>
          </w:tcPr>
          <w:p>
            <w:pPr>
              <w:jc w:val="center"/>
            </w:pPr>
            <w:r>
              <w:rPr>
                <w:sz w:val="19"/>
              </w:rPr>
              <w:t>T2 corporate tax return</w:t>
            </w:r>
          </w:p>
        </w:tc>
        <w:tc>
          <w:tcPr>
            <w:tcW w:type="dxa" w:w="1440"/>
          </w:tcPr>
          <w:p>
            <w:pPr>
              <w:jc w:val="center"/>
            </w:pPr>
            <w:r>
              <w:rPr>
                <w:sz w:val="19"/>
              </w:rPr>
              <w:t>$1,200</w:t>
            </w:r>
          </w:p>
        </w:tc>
        <w:tc>
          <w:tcPr>
            <w:tcW w:type="dxa" w:w="1440"/>
          </w:tcPr>
          <w:p>
            <w:pPr>
              <w:jc w:val="center"/>
            </w:pPr>
            <w:r>
              <w:rPr>
                <w:sz w:val="19"/>
              </w:rPr>
              <w:t>$1,500</w:t>
            </w:r>
          </w:p>
        </w:tc>
        <w:tc>
          <w:tcPr>
            <w:tcW w:type="dxa" w:w="1440"/>
          </w:tcPr>
          <w:p>
            <w:pPr>
              <w:jc w:val="center"/>
            </w:pPr>
            <w:r>
              <w:rPr>
                <w:sz w:val="19"/>
              </w:rPr>
              <w:t>$2,000</w:t>
            </w:r>
          </w:p>
        </w:tc>
        <w:tc>
          <w:tcPr>
            <w:tcW w:type="dxa" w:w="1440"/>
          </w:tcPr>
          <w:p>
            <w:pPr>
              <w:jc w:val="center"/>
            </w:pPr>
            <w:r>
              <w:rPr>
                <w:sz w:val="19"/>
              </w:rPr>
              <w:t>$2,500</w:t>
            </w:r>
          </w:p>
        </w:tc>
        <w:tc>
          <w:tcPr>
            <w:tcW w:type="dxa" w:w="1440"/>
          </w:tcPr>
          <w:p>
            <w:pPr>
              <w:jc w:val="center"/>
            </w:pPr>
            <w:r>
              <w:rPr>
                <w:sz w:val="19"/>
              </w:rPr>
              <w:t>$3,000</w:t>
            </w:r>
          </w:p>
        </w:tc>
      </w:tr>
      <w:tr>
        <w:tc>
          <w:tcPr>
            <w:tcW w:type="dxa" w:w="1440"/>
          </w:tcPr>
          <w:p>
            <w:pPr>
              <w:jc w:val="center"/>
            </w:pPr>
            <w:r>
              <w:rPr>
                <w:sz w:val="19"/>
              </w:rPr>
              <w:t>HST/GST filing</w:t>
            </w:r>
          </w:p>
        </w:tc>
        <w:tc>
          <w:tcPr>
            <w:tcW w:type="dxa" w:w="1440"/>
          </w:tcPr>
          <w:p>
            <w:pPr>
              <w:jc w:val="center"/>
            </w:pPr>
            <w:r>
              <w:rPr>
                <w:sz w:val="19"/>
              </w:rPr>
              <w:t>$1,200</w:t>
            </w:r>
          </w:p>
        </w:tc>
        <w:tc>
          <w:tcPr>
            <w:tcW w:type="dxa" w:w="1440"/>
          </w:tcPr>
          <w:p>
            <w:pPr>
              <w:jc w:val="center"/>
            </w:pPr>
            <w:r>
              <w:rPr>
                <w:sz w:val="19"/>
              </w:rPr>
              <w:t>$1,200</w:t>
            </w:r>
          </w:p>
        </w:tc>
        <w:tc>
          <w:tcPr>
            <w:tcW w:type="dxa" w:w="1440"/>
          </w:tcPr>
          <w:p>
            <w:pPr>
              <w:jc w:val="center"/>
            </w:pPr>
            <w:r>
              <w:rPr>
                <w:sz w:val="19"/>
              </w:rPr>
              <w:t>$2,000</w:t>
            </w:r>
          </w:p>
        </w:tc>
        <w:tc>
          <w:tcPr>
            <w:tcW w:type="dxa" w:w="1440"/>
          </w:tcPr>
          <w:p>
            <w:pPr>
              <w:jc w:val="center"/>
            </w:pPr>
            <w:r>
              <w:rPr>
                <w:sz w:val="19"/>
              </w:rPr>
              <w:t>$2,000</w:t>
            </w:r>
          </w:p>
        </w:tc>
        <w:tc>
          <w:tcPr>
            <w:tcW w:type="dxa" w:w="1440"/>
          </w:tcPr>
          <w:p>
            <w:pPr>
              <w:jc w:val="center"/>
            </w:pPr>
            <w:r>
              <w:rPr>
                <w:sz w:val="19"/>
              </w:rPr>
              <w:t>$2,000</w:t>
            </w:r>
          </w:p>
        </w:tc>
      </w:tr>
      <w:tr>
        <w:tc>
          <w:tcPr>
            <w:tcW w:type="dxa" w:w="1440"/>
          </w:tcPr>
          <w:p>
            <w:pPr>
              <w:jc w:val="center"/>
            </w:pPr>
            <w:r>
              <w:rPr>
                <w:sz w:val="19"/>
              </w:rPr>
              <w:t>Bookkeeping</w:t>
            </w:r>
          </w:p>
        </w:tc>
        <w:tc>
          <w:tcPr>
            <w:tcW w:type="dxa" w:w="1440"/>
          </w:tcPr>
          <w:p>
            <w:pPr>
              <w:jc w:val="center"/>
            </w:pPr>
            <w:r>
              <w:rPr>
                <w:sz w:val="19"/>
              </w:rPr>
              <w:t>$3,600</w:t>
            </w:r>
          </w:p>
        </w:tc>
        <w:tc>
          <w:tcPr>
            <w:tcW w:type="dxa" w:w="1440"/>
          </w:tcPr>
          <w:p>
            <w:pPr>
              <w:jc w:val="center"/>
            </w:pPr>
            <w:r>
              <w:rPr>
                <w:sz w:val="19"/>
              </w:rPr>
              <w:t>$6,000</w:t>
            </w:r>
          </w:p>
        </w:tc>
        <w:tc>
          <w:tcPr>
            <w:tcW w:type="dxa" w:w="1440"/>
          </w:tcPr>
          <w:p>
            <w:pPr>
              <w:jc w:val="center"/>
            </w:pPr>
            <w:r>
              <w:rPr>
                <w:sz w:val="19"/>
              </w:rPr>
              <w:t>$9,600</w:t>
            </w:r>
          </w:p>
        </w:tc>
        <w:tc>
          <w:tcPr>
            <w:tcW w:type="dxa" w:w="1440"/>
          </w:tcPr>
          <w:p>
            <w:pPr>
              <w:jc w:val="center"/>
            </w:pPr>
            <w:r>
              <w:rPr>
                <w:sz w:val="19"/>
              </w:rPr>
              <w:t>$12,000</w:t>
            </w:r>
          </w:p>
        </w:tc>
        <w:tc>
          <w:tcPr>
            <w:tcW w:type="dxa" w:w="1440"/>
          </w:tcPr>
          <w:p>
            <w:pPr>
              <w:jc w:val="center"/>
            </w:pPr>
            <w:r>
              <w:rPr>
                <w:sz w:val="19"/>
              </w:rPr>
              <w:t>$18,000</w:t>
            </w:r>
          </w:p>
        </w:tc>
      </w:tr>
      <w:tr>
        <w:tc>
          <w:tcPr>
            <w:tcW w:type="dxa" w:w="1440"/>
          </w:tcPr>
          <w:p>
            <w:pPr>
              <w:jc w:val="center"/>
            </w:pPr>
            <w:r>
              <w:rPr>
                <w:sz w:val="19"/>
              </w:rPr>
              <w:t>Financial review/audit</w:t>
            </w:r>
          </w:p>
        </w:tc>
        <w:tc>
          <w:tcPr>
            <w:tcW w:type="dxa" w:w="1440"/>
          </w:tcPr>
          <w:p>
            <w:pPr>
              <w:jc w:val="center"/>
            </w:pPr>
            <w:r>
              <w:rPr>
                <w:sz w:val="19"/>
              </w:rPr>
              <w:t>$0</w:t>
            </w:r>
          </w:p>
        </w:tc>
        <w:tc>
          <w:tcPr>
            <w:tcW w:type="dxa" w:w="1440"/>
          </w:tcPr>
          <w:p>
            <w:pPr>
              <w:jc w:val="center"/>
            </w:pPr>
            <w:r>
              <w:rPr>
                <w:sz w:val="19"/>
              </w:rPr>
              <w:t>$5,000</w:t>
            </w:r>
          </w:p>
        </w:tc>
        <w:tc>
          <w:tcPr>
            <w:tcW w:type="dxa" w:w="1440"/>
          </w:tcPr>
          <w:p>
            <w:pPr>
              <w:jc w:val="center"/>
            </w:pPr>
            <w:r>
              <w:rPr>
                <w:sz w:val="19"/>
              </w:rPr>
              <w:t>$10,000</w:t>
            </w:r>
          </w:p>
        </w:tc>
        <w:tc>
          <w:tcPr>
            <w:tcW w:type="dxa" w:w="1440"/>
          </w:tcPr>
          <w:p>
            <w:pPr>
              <w:jc w:val="center"/>
            </w:pPr>
            <w:r>
              <w:rPr>
                <w:sz w:val="19"/>
              </w:rPr>
              <w:t>$15,000</w:t>
            </w:r>
          </w:p>
        </w:tc>
        <w:tc>
          <w:tcPr>
            <w:tcW w:type="dxa" w:w="1440"/>
          </w:tcPr>
          <w:p>
            <w:pPr>
              <w:jc w:val="center"/>
            </w:pPr>
            <w:r>
              <w:rPr>
                <w:sz w:val="19"/>
              </w:rPr>
              <w:t>$20,000</w:t>
            </w:r>
          </w:p>
        </w:tc>
      </w:tr>
      <w:tr>
        <w:tc>
          <w:tcPr>
            <w:tcW w:type="dxa" w:w="1440"/>
          </w:tcPr>
          <w:p>
            <w:pPr>
              <w:jc w:val="center"/>
            </w:pPr>
            <w:r>
              <w:rPr>
                <w:sz w:val="19"/>
              </w:rPr>
              <w:t>D&amp;O insurance</w:t>
            </w:r>
          </w:p>
        </w:tc>
        <w:tc>
          <w:tcPr>
            <w:tcW w:type="dxa" w:w="1440"/>
          </w:tcPr>
          <w:p>
            <w:pPr>
              <w:jc w:val="center"/>
            </w:pPr>
            <w:r>
              <w:rPr>
                <w:sz w:val="19"/>
              </w:rPr>
              <w:t>$3,000</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$7,000</w:t>
            </w:r>
          </w:p>
        </w:tc>
        <w:tc>
          <w:tcPr>
            <w:tcW w:type="dxa" w:w="1440"/>
          </w:tcPr>
          <w:p>
            <w:pPr>
              <w:jc w:val="center"/>
            </w:pPr>
            <w:r>
              <w:rPr>
                <w:sz w:val="19"/>
              </w:rPr>
              <w:t>$10,000</w:t>
            </w:r>
          </w:p>
        </w:tc>
      </w:tr>
      <w:tr>
        <w:tc>
          <w:tcPr>
            <w:tcW w:type="dxa" w:w="1440"/>
          </w:tcPr>
          <w:p>
            <w:pPr>
              <w:jc w:val="center"/>
            </w:pPr>
            <w:r>
              <w:rPr>
                <w:sz w:val="19"/>
              </w:rPr>
              <w:t>Commercial general liability</w:t>
            </w:r>
          </w:p>
        </w:tc>
        <w:tc>
          <w:tcPr>
            <w:tcW w:type="dxa" w:w="1440"/>
          </w:tcPr>
          <w:p>
            <w:pPr>
              <w:jc w:val="center"/>
            </w:pPr>
            <w:r>
              <w:rPr>
                <w:sz w:val="19"/>
              </w:rPr>
              <w:t>$800</w:t>
            </w:r>
          </w:p>
        </w:tc>
        <w:tc>
          <w:tcPr>
            <w:tcW w:type="dxa" w:w="1440"/>
          </w:tcPr>
          <w:p>
            <w:pPr>
              <w:jc w:val="center"/>
            </w:pPr>
            <w:r>
              <w:rPr>
                <w:sz w:val="19"/>
              </w:rPr>
              <w:t>$800</w:t>
            </w:r>
          </w:p>
        </w:tc>
        <w:tc>
          <w:tcPr>
            <w:tcW w:type="dxa" w:w="1440"/>
          </w:tcPr>
          <w:p>
            <w:pPr>
              <w:jc w:val="center"/>
            </w:pPr>
            <w:r>
              <w:rPr>
                <w:sz w:val="19"/>
              </w:rPr>
              <w:t>$1,200</w:t>
            </w:r>
          </w:p>
        </w:tc>
        <w:tc>
          <w:tcPr>
            <w:tcW w:type="dxa" w:w="1440"/>
          </w:tcPr>
          <w:p>
            <w:pPr>
              <w:jc w:val="center"/>
            </w:pPr>
            <w:r>
              <w:rPr>
                <w:sz w:val="19"/>
              </w:rPr>
              <w:t>$1,500</w:t>
            </w:r>
          </w:p>
        </w:tc>
        <w:tc>
          <w:tcPr>
            <w:tcW w:type="dxa" w:w="1440"/>
          </w:tcPr>
          <w:p>
            <w:pPr>
              <w:jc w:val="center"/>
            </w:pPr>
            <w:r>
              <w:rPr>
                <w:sz w:val="19"/>
              </w:rPr>
              <w:t>$2,000</w:t>
            </w:r>
          </w:p>
        </w:tc>
      </w:tr>
      <w:tr>
        <w:tc>
          <w:tcPr>
            <w:tcW w:type="dxa" w:w="1440"/>
          </w:tcPr>
          <w:p>
            <w:pPr>
              <w:jc w:val="center"/>
            </w:pPr>
            <w:r>
              <w:rPr>
                <w:sz w:val="19"/>
              </w:rPr>
              <w:t>Cyber / tech E&amp;O insurance</w:t>
            </w:r>
          </w:p>
        </w:tc>
        <w:tc>
          <w:tcPr>
            <w:tcW w:type="dxa" w:w="1440"/>
          </w:tcPr>
          <w:p>
            <w:pPr>
              <w:jc w:val="center"/>
            </w:pPr>
            <w:r>
              <w:rPr>
                <w:sz w:val="19"/>
              </w:rPr>
              <w:t>$2,000</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$8,000</w:t>
            </w:r>
          </w:p>
        </w:tc>
        <w:tc>
          <w:tcPr>
            <w:tcW w:type="dxa" w:w="1440"/>
          </w:tcPr>
          <w:p>
            <w:pPr>
              <w:jc w:val="center"/>
            </w:pPr>
            <w:r>
              <w:rPr>
                <w:sz w:val="19"/>
              </w:rPr>
              <w:t>$12,000</w:t>
            </w:r>
          </w:p>
        </w:tc>
      </w:tr>
      <w:tr>
        <w:tc>
          <w:tcPr>
            <w:tcW w:type="dxa" w:w="1440"/>
          </w:tcPr>
          <w:p>
            <w:pPr>
              <w:jc w:val="center"/>
            </w:pPr>
            <w:r>
              <w:rPr>
                <w:sz w:val="19"/>
              </w:rPr>
              <w:t>Legal retainer</w:t>
            </w:r>
          </w:p>
        </w:tc>
        <w:tc>
          <w:tcPr>
            <w:tcW w:type="dxa" w:w="1440"/>
          </w:tcPr>
          <w:p>
            <w:pPr>
              <w:jc w:val="center"/>
            </w:pPr>
            <w:r>
              <w:rPr>
                <w:sz w:val="19"/>
              </w:rPr>
              <w:t>$5,000</w:t>
            </w:r>
          </w:p>
        </w:tc>
        <w:tc>
          <w:tcPr>
            <w:tcW w:type="dxa" w:w="1440"/>
          </w:tcPr>
          <w:p>
            <w:pPr>
              <w:jc w:val="center"/>
            </w:pPr>
            <w:r>
              <w:rPr>
                <w:sz w:val="19"/>
              </w:rPr>
              <w:t>$8,000</w:t>
            </w:r>
          </w:p>
        </w:tc>
        <w:tc>
          <w:tcPr>
            <w:tcW w:type="dxa" w:w="1440"/>
          </w:tcPr>
          <w:p>
            <w:pPr>
              <w:jc w:val="center"/>
            </w:pPr>
            <w:r>
              <w:rPr>
                <w:sz w:val="19"/>
              </w:rPr>
              <w:t>$12,000</w:t>
            </w:r>
          </w:p>
        </w:tc>
        <w:tc>
          <w:tcPr>
            <w:tcW w:type="dxa" w:w="1440"/>
          </w:tcPr>
          <w:p>
            <w:pPr>
              <w:jc w:val="center"/>
            </w:pPr>
            <w:r>
              <w:rPr>
                <w:sz w:val="19"/>
              </w:rPr>
              <w:t>$15,000</w:t>
            </w:r>
          </w:p>
        </w:tc>
        <w:tc>
          <w:tcPr>
            <w:tcW w:type="dxa" w:w="1440"/>
          </w:tcPr>
          <w:p>
            <w:pPr>
              <w:jc w:val="center"/>
            </w:pPr>
            <w:r>
              <w:rPr>
                <w:sz w:val="19"/>
              </w:rPr>
              <w:t>$20,000</w:t>
            </w:r>
          </w:p>
        </w:tc>
      </w:tr>
      <w:tr>
        <w:tc>
          <w:tcPr>
            <w:tcW w:type="dxa" w:w="1440"/>
          </w:tcPr>
          <w:p>
            <w:pPr>
              <w:jc w:val="center"/>
            </w:pPr>
            <w:r>
              <w:rPr>
                <w:sz w:val="19"/>
              </w:rPr>
              <w:t>Board of Directors</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$5,000</w:t>
            </w:r>
          </w:p>
        </w:tc>
        <w:tc>
          <w:tcPr>
            <w:tcW w:type="dxa" w:w="1440"/>
          </w:tcPr>
          <w:p>
            <w:pPr>
              <w:jc w:val="center"/>
            </w:pPr>
            <w:r>
              <w:rPr>
                <w:sz w:val="19"/>
              </w:rPr>
              <w:t>$10,000</w:t>
            </w:r>
          </w:p>
        </w:tc>
        <w:tc>
          <w:tcPr>
            <w:tcW w:type="dxa" w:w="1440"/>
          </w:tcPr>
          <w:p>
            <w:pPr>
              <w:jc w:val="center"/>
            </w:pPr>
            <w:r>
              <w:rPr>
                <w:sz w:val="19"/>
              </w:rPr>
              <w:t>$20,000</w:t>
            </w:r>
          </w:p>
        </w:tc>
      </w:tr>
      <w:tr>
        <w:tc>
          <w:tcPr>
            <w:tcW w:type="dxa" w:w="1440"/>
          </w:tcPr>
          <w:p>
            <w:pPr>
              <w:jc w:val="center"/>
            </w:pPr>
            <w:r>
              <w:rPr>
                <w:sz w:val="19"/>
              </w:rPr>
              <w:t>Registered agent</w:t>
            </w:r>
          </w:p>
        </w:tc>
        <w:tc>
          <w:tcPr>
            <w:tcW w:type="dxa" w:w="1440"/>
          </w:tcPr>
          <w:p>
            <w:pPr>
              <w:jc w:val="center"/>
            </w:pPr>
            <w:r>
              <w:rPr>
                <w:sz w:val="19"/>
              </w:rPr>
              <w:t>$500</w:t>
            </w:r>
          </w:p>
        </w:tc>
        <w:tc>
          <w:tcPr>
            <w:tcW w:type="dxa" w:w="1440"/>
          </w:tcPr>
          <w:p>
            <w:pPr>
              <w:jc w:val="center"/>
            </w:pPr>
            <w:r>
              <w:rPr>
                <w:sz w:val="19"/>
              </w:rPr>
              <w:t>$500</w:t>
            </w:r>
          </w:p>
        </w:tc>
        <w:tc>
          <w:tcPr>
            <w:tcW w:type="dxa" w:w="1440"/>
          </w:tcPr>
          <w:p>
            <w:pPr>
              <w:jc w:val="center"/>
            </w:pPr>
            <w:r>
              <w:rPr>
                <w:sz w:val="19"/>
              </w:rPr>
              <w:t>$500</w:t>
            </w:r>
          </w:p>
        </w:tc>
        <w:tc>
          <w:tcPr>
            <w:tcW w:type="dxa" w:w="1440"/>
          </w:tcPr>
          <w:p>
            <w:pPr>
              <w:jc w:val="center"/>
            </w:pPr>
            <w:r>
              <w:rPr>
                <w:sz w:val="19"/>
              </w:rPr>
              <w:t>$500</w:t>
            </w:r>
          </w:p>
        </w:tc>
        <w:tc>
          <w:tcPr>
            <w:tcW w:type="dxa" w:w="1440"/>
          </w:tcPr>
          <w:p>
            <w:pPr>
              <w:jc w:val="center"/>
            </w:pPr>
            <w:r>
              <w:rPr>
                <w:sz w:val="19"/>
              </w:rPr>
              <w:t>$500</w:t>
            </w:r>
          </w:p>
        </w:tc>
      </w:tr>
      <w:tr>
        <w:tc>
          <w:tcPr>
            <w:tcW w:type="dxa" w:w="1440"/>
          </w:tcPr>
          <w:p>
            <w:pPr>
              <w:jc w:val="center"/>
            </w:pPr>
            <w:r>
              <w:rPr>
                <w:sz w:val="19"/>
              </w:rPr>
              <w:t>Business banking</w:t>
            </w:r>
          </w:p>
        </w:tc>
        <w:tc>
          <w:tcPr>
            <w:tcW w:type="dxa" w:w="1440"/>
          </w:tcPr>
          <w:p>
            <w:pPr>
              <w:jc w:val="center"/>
            </w:pPr>
            <w:r>
              <w:rPr>
                <w:sz w:val="19"/>
              </w:rPr>
              <w:t>$0</w:t>
            </w:r>
          </w:p>
        </w:tc>
        <w:tc>
          <w:tcPr>
            <w:tcW w:type="dxa" w:w="1440"/>
          </w:tcPr>
          <w:p>
            <w:pPr>
              <w:jc w:val="center"/>
            </w:pPr>
            <w:r>
              <w:rPr>
                <w:sz w:val="19"/>
              </w:rPr>
              <w:t>$600</w:t>
            </w:r>
          </w:p>
        </w:tc>
        <w:tc>
          <w:tcPr>
            <w:tcW w:type="dxa" w:w="1440"/>
          </w:tcPr>
          <w:p>
            <w:pPr>
              <w:jc w:val="center"/>
            </w:pPr>
            <w:r>
              <w:rPr>
                <w:sz w:val="19"/>
              </w:rPr>
              <w:t>$1,200</w:t>
            </w:r>
          </w:p>
        </w:tc>
        <w:tc>
          <w:tcPr>
            <w:tcW w:type="dxa" w:w="1440"/>
          </w:tcPr>
          <w:p>
            <w:pPr>
              <w:jc w:val="center"/>
            </w:pPr>
            <w:r>
              <w:rPr>
                <w:sz w:val="19"/>
              </w:rPr>
              <w:t>$1,500</w:t>
            </w:r>
          </w:p>
        </w:tc>
        <w:tc>
          <w:tcPr>
            <w:tcW w:type="dxa" w:w="1440"/>
          </w:tcPr>
          <w:p>
            <w:pPr>
              <w:jc w:val="center"/>
            </w:pPr>
            <w:r>
              <w:rPr>
                <w:sz w:val="19"/>
              </w:rPr>
              <w:t>$1,500</w:t>
            </w:r>
          </w:p>
        </w:tc>
      </w:tr>
      <w:tr>
        <w:tc>
          <w:tcPr>
            <w:tcW w:type="dxa" w:w="1440"/>
          </w:tcPr>
          <w:p>
            <w:pPr>
              <w:jc w:val="center"/>
            </w:pPr>
            <w:r>
              <w:rPr>
                <w:sz w:val="19"/>
              </w:rPr>
              <w:t>Total (annual, CAD)</w:t>
            </w:r>
          </w:p>
        </w:tc>
        <w:tc>
          <w:tcPr>
            <w:tcW w:type="dxa" w:w="1440"/>
          </w:tcPr>
          <w:p>
            <w:pPr>
              <w:jc w:val="center"/>
            </w:pPr>
            <w:r>
              <w:rPr>
                <w:sz w:val="19"/>
              </w:rPr>
              <w:t>$17,350</w:t>
            </w:r>
          </w:p>
        </w:tc>
        <w:tc>
          <w:tcPr>
            <w:tcW w:type="dxa" w:w="1440"/>
          </w:tcPr>
          <w:p>
            <w:pPr>
              <w:jc w:val="center"/>
            </w:pPr>
            <w:r>
              <w:rPr>
                <w:sz w:val="19"/>
              </w:rPr>
              <w:t>$29,650</w:t>
            </w:r>
          </w:p>
        </w:tc>
        <w:tc>
          <w:tcPr>
            <w:tcW w:type="dxa" w:w="1440"/>
          </w:tcPr>
          <w:p>
            <w:pPr>
              <w:jc w:val="center"/>
            </w:pPr>
            <w:r>
              <w:rPr>
                <w:sz w:val="19"/>
              </w:rPr>
              <w:t>$53,550</w:t>
            </w:r>
          </w:p>
        </w:tc>
        <w:tc>
          <w:tcPr>
            <w:tcW w:type="dxa" w:w="1440"/>
          </w:tcPr>
          <w:p>
            <w:pPr>
              <w:jc w:val="center"/>
            </w:pPr>
            <w:r>
              <w:rPr>
                <w:sz w:val="19"/>
              </w:rPr>
              <w:t>$75,050</w:t>
            </w:r>
          </w:p>
        </w:tc>
        <w:tc>
          <w:tcPr>
            <w:tcW w:type="dxa" w:w="1440"/>
          </w:tcPr>
          <w:p>
            <w:pPr>
              <w:jc w:val="center"/>
            </w:pPr>
            <w:r>
              <w:rPr>
                <w:sz w:val="19"/>
              </w:rPr>
              <w:t>$109,050</w:t>
            </w:r>
          </w:p>
        </w:tc>
      </w:tr>
    </w:tbl>
    <w:p/>
    <w:p>
      <w:pPr>
        <w:pStyle w:val="Heading2"/>
      </w:pPr>
      <w:r>
        <w:t>13b. Harness Good — CA Not-for-Profit (CNCA)</w:t>
      </w:r>
    </w:p>
    <w:p>
      <w:r>
        <w:t>One-time formation: $3,200 CAD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Cost</w:t>
            </w:r>
          </w:p>
        </w:tc>
        <w:tc>
          <w:tcPr>
            <w:tcW w:type="dxa" w:w="1440"/>
          </w:tcPr>
          <w:p>
            <w:pPr>
              <w:jc w:val="center"/>
            </w:pPr>
            <w:r>
              <w:rPr>
                <w:b/>
                <w:sz w:val="19"/>
              </w:rPr>
              <w:t>Year 1</w:t>
            </w:r>
          </w:p>
        </w:tc>
        <w:tc>
          <w:tcPr>
            <w:tcW w:type="dxa" w:w="1440"/>
          </w:tcPr>
          <w:p>
            <w:pPr>
              <w:jc w:val="center"/>
            </w:pPr>
            <w:r>
              <w:rPr>
                <w:b/>
                <w:sz w:val="19"/>
              </w:rPr>
              <w:t>Year 2</w:t>
            </w:r>
          </w:p>
        </w:tc>
        <w:tc>
          <w:tcPr>
            <w:tcW w:type="dxa" w:w="1440"/>
          </w:tcPr>
          <w:p>
            <w:pPr>
              <w:jc w:val="center"/>
            </w:pPr>
            <w:r>
              <w:rPr>
                <w:b/>
                <w:sz w:val="19"/>
              </w:rPr>
              <w:t>Year 3</w:t>
            </w:r>
          </w:p>
        </w:tc>
        <w:tc>
          <w:tcPr>
            <w:tcW w:type="dxa" w:w="1440"/>
          </w:tcPr>
          <w:p>
            <w:pPr>
              <w:jc w:val="center"/>
            </w:pPr>
            <w:r>
              <w:rPr>
                <w:b/>
                <w:sz w:val="19"/>
              </w:rPr>
              <w:t>Year 4</w:t>
            </w:r>
          </w:p>
        </w:tc>
        <w:tc>
          <w:tcPr>
            <w:tcW w:type="dxa" w:w="1440"/>
          </w:tcPr>
          <w:p>
            <w:pPr>
              <w:jc w:val="center"/>
            </w:pPr>
            <w:r>
              <w:rPr>
                <w:b/>
                <w:sz w:val="19"/>
              </w:rPr>
              <w:t>Year 5</w:t>
            </w:r>
          </w:p>
        </w:tc>
      </w:tr>
      <w:tr>
        <w:tc>
          <w:tcPr>
            <w:tcW w:type="dxa" w:w="1440"/>
          </w:tcPr>
          <w:p>
            <w:pPr>
              <w:jc w:val="center"/>
            </w:pPr>
            <w:r>
              <w:rPr>
                <w:sz w:val="19"/>
              </w:rPr>
              <w:t>Annual return</w:t>
            </w:r>
          </w:p>
        </w:tc>
        <w:tc>
          <w:tcPr>
            <w:tcW w:type="dxa" w:w="1440"/>
          </w:tcPr>
          <w:p>
            <w:pPr>
              <w:jc w:val="center"/>
            </w:pPr>
            <w:r>
              <w:rPr>
                <w:sz w:val="19"/>
              </w:rPr>
              <w:t>$12</w:t>
            </w:r>
          </w:p>
        </w:tc>
        <w:tc>
          <w:tcPr>
            <w:tcW w:type="dxa" w:w="1440"/>
          </w:tcPr>
          <w:p>
            <w:pPr>
              <w:jc w:val="center"/>
            </w:pPr>
            <w:r>
              <w:rPr>
                <w:sz w:val="19"/>
              </w:rPr>
              <w:t>$12</w:t>
            </w:r>
          </w:p>
        </w:tc>
        <w:tc>
          <w:tcPr>
            <w:tcW w:type="dxa" w:w="1440"/>
          </w:tcPr>
          <w:p>
            <w:pPr>
              <w:jc w:val="center"/>
            </w:pPr>
            <w:r>
              <w:rPr>
                <w:sz w:val="19"/>
              </w:rPr>
              <w:t>$12</w:t>
            </w:r>
          </w:p>
        </w:tc>
        <w:tc>
          <w:tcPr>
            <w:tcW w:type="dxa" w:w="1440"/>
          </w:tcPr>
          <w:p>
            <w:pPr>
              <w:jc w:val="center"/>
            </w:pPr>
            <w:r>
              <w:rPr>
                <w:sz w:val="19"/>
              </w:rPr>
              <w:t>$12</w:t>
            </w:r>
          </w:p>
        </w:tc>
        <w:tc>
          <w:tcPr>
            <w:tcW w:type="dxa" w:w="1440"/>
          </w:tcPr>
          <w:p>
            <w:pPr>
              <w:jc w:val="center"/>
            </w:pPr>
            <w:r>
              <w:rPr>
                <w:sz w:val="19"/>
              </w:rPr>
              <w:t>$12</w:t>
            </w:r>
          </w:p>
        </w:tc>
      </w:tr>
      <w:tr>
        <w:tc>
          <w:tcPr>
            <w:tcW w:type="dxa" w:w="1440"/>
          </w:tcPr>
          <w:p>
            <w:pPr>
              <w:jc w:val="center"/>
            </w:pPr>
            <w:r>
              <w:rPr>
                <w:sz w:val="19"/>
              </w:rPr>
              <w:t>T3010 charity return</w:t>
            </w:r>
          </w:p>
        </w:tc>
        <w:tc>
          <w:tcPr>
            <w:tcW w:type="dxa" w:w="1440"/>
          </w:tcPr>
          <w:p>
            <w:pPr>
              <w:jc w:val="center"/>
            </w:pPr>
            <w:r>
              <w:rPr>
                <w:sz w:val="19"/>
              </w:rPr>
              <w:t>$1,500</w:t>
            </w:r>
          </w:p>
        </w:tc>
        <w:tc>
          <w:tcPr>
            <w:tcW w:type="dxa" w:w="1440"/>
          </w:tcPr>
          <w:p>
            <w:pPr>
              <w:jc w:val="center"/>
            </w:pPr>
            <w:r>
              <w:rPr>
                <w:sz w:val="19"/>
              </w:rPr>
              <w:t>$2,000</w:t>
            </w:r>
          </w:p>
        </w:tc>
        <w:tc>
          <w:tcPr>
            <w:tcW w:type="dxa" w:w="1440"/>
          </w:tcPr>
          <w:p>
            <w:pPr>
              <w:jc w:val="center"/>
            </w:pPr>
            <w:r>
              <w:rPr>
                <w:sz w:val="19"/>
              </w:rPr>
              <w:t>$2,500</w:t>
            </w:r>
          </w:p>
        </w:tc>
        <w:tc>
          <w:tcPr>
            <w:tcW w:type="dxa" w:w="1440"/>
          </w:tcPr>
          <w:p>
            <w:pPr>
              <w:jc w:val="center"/>
            </w:pPr>
            <w:r>
              <w:rPr>
                <w:sz w:val="19"/>
              </w:rPr>
              <w:t>$3,000</w:t>
            </w:r>
          </w:p>
        </w:tc>
        <w:tc>
          <w:tcPr>
            <w:tcW w:type="dxa" w:w="1440"/>
          </w:tcPr>
          <w:p>
            <w:pPr>
              <w:jc w:val="center"/>
            </w:pPr>
            <w:r>
              <w:rPr>
                <w:sz w:val="19"/>
              </w:rPr>
              <w:t>$3,500</w:t>
            </w:r>
          </w:p>
        </w:tc>
      </w:tr>
      <w:tr>
        <w:tc>
          <w:tcPr>
            <w:tcW w:type="dxa" w:w="1440"/>
          </w:tcPr>
          <w:p>
            <w:pPr>
              <w:jc w:val="center"/>
            </w:pPr>
            <w:r>
              <w:rPr>
                <w:sz w:val="19"/>
              </w:rPr>
              <w:t>Bookkeeping</w:t>
            </w:r>
          </w:p>
        </w:tc>
        <w:tc>
          <w:tcPr>
            <w:tcW w:type="dxa" w:w="1440"/>
          </w:tcPr>
          <w:p>
            <w:pPr>
              <w:jc w:val="center"/>
            </w:pPr>
            <w:r>
              <w:rPr>
                <w:sz w:val="19"/>
              </w:rPr>
              <w:t>$2,400</w:t>
            </w:r>
          </w:p>
        </w:tc>
        <w:tc>
          <w:tcPr>
            <w:tcW w:type="dxa" w:w="1440"/>
          </w:tcPr>
          <w:p>
            <w:pPr>
              <w:jc w:val="center"/>
            </w:pPr>
            <w:r>
              <w:rPr>
                <w:sz w:val="19"/>
              </w:rPr>
              <w:t>$3,600</w:t>
            </w:r>
          </w:p>
        </w:tc>
        <w:tc>
          <w:tcPr>
            <w:tcW w:type="dxa" w:w="1440"/>
          </w:tcPr>
          <w:p>
            <w:pPr>
              <w:jc w:val="center"/>
            </w:pPr>
            <w:r>
              <w:rPr>
                <w:sz w:val="19"/>
              </w:rPr>
              <w:t>$6,000</w:t>
            </w:r>
          </w:p>
        </w:tc>
        <w:tc>
          <w:tcPr>
            <w:tcW w:type="dxa" w:w="1440"/>
          </w:tcPr>
          <w:p>
            <w:pPr>
              <w:jc w:val="center"/>
            </w:pPr>
            <w:r>
              <w:rPr>
                <w:sz w:val="19"/>
              </w:rPr>
              <w:t>$9,600</w:t>
            </w:r>
          </w:p>
        </w:tc>
        <w:tc>
          <w:tcPr>
            <w:tcW w:type="dxa" w:w="1440"/>
          </w:tcPr>
          <w:p>
            <w:pPr>
              <w:jc w:val="center"/>
            </w:pPr>
            <w:r>
              <w:rPr>
                <w:sz w:val="19"/>
              </w:rPr>
              <w:t>$12,000</w:t>
            </w:r>
          </w:p>
        </w:tc>
      </w:tr>
      <w:tr>
        <w:tc>
          <w:tcPr>
            <w:tcW w:type="dxa" w:w="1440"/>
          </w:tcPr>
          <w:p>
            <w:pPr>
              <w:jc w:val="center"/>
            </w:pPr>
            <w:r>
              <w:rPr>
                <w:sz w:val="19"/>
              </w:rPr>
              <w:t>Financial audit</w:t>
            </w:r>
          </w:p>
        </w:tc>
        <w:tc>
          <w:tcPr>
            <w:tcW w:type="dxa" w:w="1440"/>
          </w:tcPr>
          <w:p>
            <w:pPr>
              <w:jc w:val="center"/>
            </w:pPr>
            <w:r>
              <w:rPr>
                <w:sz w:val="19"/>
              </w:rPr>
              <w:t>$0</w:t>
            </w:r>
          </w:p>
        </w:tc>
        <w:tc>
          <w:tcPr>
            <w:tcW w:type="dxa" w:w="1440"/>
          </w:tcPr>
          <w:p>
            <w:pPr>
              <w:jc w:val="center"/>
            </w:pPr>
            <w:r>
              <w:rPr>
                <w:sz w:val="19"/>
              </w:rPr>
              <w:t>$8,000</w:t>
            </w:r>
          </w:p>
        </w:tc>
        <w:tc>
          <w:tcPr>
            <w:tcW w:type="dxa" w:w="1440"/>
          </w:tcPr>
          <w:p>
            <w:pPr>
              <w:jc w:val="center"/>
            </w:pPr>
            <w:r>
              <w:rPr>
                <w:sz w:val="19"/>
              </w:rPr>
              <w:t>$10,000</w:t>
            </w:r>
          </w:p>
        </w:tc>
        <w:tc>
          <w:tcPr>
            <w:tcW w:type="dxa" w:w="1440"/>
          </w:tcPr>
          <w:p>
            <w:pPr>
              <w:jc w:val="center"/>
            </w:pPr>
            <w:r>
              <w:rPr>
                <w:sz w:val="19"/>
              </w:rPr>
              <w:t>$15,000</w:t>
            </w:r>
          </w:p>
        </w:tc>
        <w:tc>
          <w:tcPr>
            <w:tcW w:type="dxa" w:w="1440"/>
          </w:tcPr>
          <w:p>
            <w:pPr>
              <w:jc w:val="center"/>
            </w:pPr>
            <w:r>
              <w:rPr>
                <w:sz w:val="19"/>
              </w:rPr>
              <w:t>$20,000</w:t>
            </w:r>
          </w:p>
        </w:tc>
      </w:tr>
      <w:tr>
        <w:tc>
          <w:tcPr>
            <w:tcW w:type="dxa" w:w="1440"/>
          </w:tcPr>
          <w:p>
            <w:pPr>
              <w:jc w:val="center"/>
            </w:pPr>
            <w:r>
              <w:rPr>
                <w:sz w:val="19"/>
              </w:rPr>
              <w:t>General liability insurance</w:t>
            </w:r>
          </w:p>
        </w:tc>
        <w:tc>
          <w:tcPr>
            <w:tcW w:type="dxa" w:w="1440"/>
          </w:tcPr>
          <w:p>
            <w:pPr>
              <w:jc w:val="center"/>
            </w:pPr>
            <w:r>
              <w:rPr>
                <w:sz w:val="19"/>
              </w:rPr>
              <w:t>$500</w:t>
            </w:r>
          </w:p>
        </w:tc>
        <w:tc>
          <w:tcPr>
            <w:tcW w:type="dxa" w:w="1440"/>
          </w:tcPr>
          <w:p>
            <w:pPr>
              <w:jc w:val="center"/>
            </w:pPr>
            <w:r>
              <w:rPr>
                <w:sz w:val="19"/>
              </w:rPr>
              <w:t>$500</w:t>
            </w:r>
          </w:p>
        </w:tc>
        <w:tc>
          <w:tcPr>
            <w:tcW w:type="dxa" w:w="1440"/>
          </w:tcPr>
          <w:p>
            <w:pPr>
              <w:jc w:val="center"/>
            </w:pPr>
            <w:r>
              <w:rPr>
                <w:sz w:val="19"/>
              </w:rPr>
              <w:t>$800</w:t>
            </w:r>
          </w:p>
        </w:tc>
        <w:tc>
          <w:tcPr>
            <w:tcW w:type="dxa" w:w="1440"/>
          </w:tcPr>
          <w:p>
            <w:pPr>
              <w:jc w:val="center"/>
            </w:pPr>
            <w:r>
              <w:rPr>
                <w:sz w:val="19"/>
              </w:rPr>
              <w:t>$1,000</w:t>
            </w:r>
          </w:p>
        </w:tc>
        <w:tc>
          <w:tcPr>
            <w:tcW w:type="dxa" w:w="1440"/>
          </w:tcPr>
          <w:p>
            <w:pPr>
              <w:jc w:val="center"/>
            </w:pPr>
            <w:r>
              <w:rPr>
                <w:sz w:val="19"/>
              </w:rPr>
              <w:t>$1,500</w:t>
            </w:r>
          </w:p>
        </w:tc>
      </w:tr>
      <w:tr>
        <w:tc>
          <w:tcPr>
            <w:tcW w:type="dxa" w:w="1440"/>
          </w:tcPr>
          <w:p>
            <w:pPr>
              <w:jc w:val="center"/>
            </w:pPr>
            <w:r>
              <w:rPr>
                <w:sz w:val="19"/>
              </w:rPr>
              <w:t>Cyber insurance</w:t>
            </w:r>
          </w:p>
        </w:tc>
        <w:tc>
          <w:tcPr>
            <w:tcW w:type="dxa" w:w="1440"/>
          </w:tcPr>
          <w:p>
            <w:pPr>
              <w:jc w:val="center"/>
            </w:pPr>
            <w:r>
              <w:rPr>
                <w:sz w:val="19"/>
              </w:rPr>
              <w:t>$1,500</w:t>
            </w:r>
          </w:p>
        </w:tc>
        <w:tc>
          <w:tcPr>
            <w:tcW w:type="dxa" w:w="1440"/>
          </w:tcPr>
          <w:p>
            <w:pPr>
              <w:jc w:val="center"/>
            </w:pPr>
            <w:r>
              <w:rPr>
                <w:sz w:val="19"/>
              </w:rPr>
              <w:t>$2,000</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$8,000</w:t>
            </w:r>
          </w:p>
        </w:tc>
      </w:tr>
      <w:tr>
        <w:tc>
          <w:tcPr>
            <w:tcW w:type="dxa" w:w="1440"/>
          </w:tcPr>
          <w:p>
            <w:pPr>
              <w:jc w:val="center"/>
            </w:pPr>
            <w:r>
              <w:rPr>
                <w:sz w:val="19"/>
              </w:rPr>
              <w:t>Legal retainer</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$8,000</w:t>
            </w:r>
          </w:p>
        </w:tc>
        <w:tc>
          <w:tcPr>
            <w:tcW w:type="dxa" w:w="1440"/>
          </w:tcPr>
          <w:p>
            <w:pPr>
              <w:jc w:val="center"/>
            </w:pPr>
            <w:r>
              <w:rPr>
                <w:sz w:val="19"/>
              </w:rPr>
              <w:t>$10,000</w:t>
            </w:r>
          </w:p>
        </w:tc>
        <w:tc>
          <w:tcPr>
            <w:tcW w:type="dxa" w:w="1440"/>
          </w:tcPr>
          <w:p>
            <w:pPr>
              <w:jc w:val="center"/>
            </w:pPr>
            <w:r>
              <w:rPr>
                <w:sz w:val="19"/>
              </w:rPr>
              <w:t>$12,000</w:t>
            </w:r>
          </w:p>
        </w:tc>
      </w:tr>
      <w:tr>
        <w:tc>
          <w:tcPr>
            <w:tcW w:type="dxa" w:w="1440"/>
          </w:tcPr>
          <w:p>
            <w:pPr>
              <w:jc w:val="center"/>
            </w:pPr>
            <w:r>
              <w:rPr>
                <w:sz w:val="19"/>
              </w:rPr>
              <w:t>Board of Directors</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r>
      <w:tr>
        <w:tc>
          <w:tcPr>
            <w:tcW w:type="dxa" w:w="1440"/>
          </w:tcPr>
          <w:p>
            <w:pPr>
              <w:jc w:val="center"/>
            </w:pPr>
            <w:r>
              <w:rPr>
                <w:sz w:val="19"/>
              </w:rPr>
              <w:t>Total (annual, CAD)</w:t>
            </w:r>
          </w:p>
        </w:tc>
        <w:tc>
          <w:tcPr>
            <w:tcW w:type="dxa" w:w="1440"/>
          </w:tcPr>
          <w:p>
            <w:pPr>
              <w:jc w:val="center"/>
            </w:pPr>
            <w:r>
              <w:rPr>
                <w:sz w:val="19"/>
              </w:rPr>
              <w:t>$8,912</w:t>
            </w:r>
          </w:p>
        </w:tc>
        <w:tc>
          <w:tcPr>
            <w:tcW w:type="dxa" w:w="1440"/>
          </w:tcPr>
          <w:p>
            <w:pPr>
              <w:jc w:val="center"/>
            </w:pPr>
            <w:r>
              <w:rPr>
                <w:sz w:val="19"/>
              </w:rPr>
              <w:t>$21,112</w:t>
            </w:r>
          </w:p>
        </w:tc>
        <w:tc>
          <w:tcPr>
            <w:tcW w:type="dxa" w:w="1440"/>
          </w:tcPr>
          <w:p>
            <w:pPr>
              <w:jc w:val="center"/>
            </w:pPr>
            <w:r>
              <w:rPr>
                <w:sz w:val="19"/>
              </w:rPr>
              <w:t>$30,312</w:t>
            </w:r>
          </w:p>
        </w:tc>
        <w:tc>
          <w:tcPr>
            <w:tcW w:type="dxa" w:w="1440"/>
          </w:tcPr>
          <w:p>
            <w:pPr>
              <w:jc w:val="center"/>
            </w:pPr>
            <w:r>
              <w:rPr>
                <w:sz w:val="19"/>
              </w:rPr>
              <w:t>$43,612</w:t>
            </w:r>
          </w:p>
        </w:tc>
        <w:tc>
          <w:tcPr>
            <w:tcW w:type="dxa" w:w="1440"/>
          </w:tcPr>
          <w:p>
            <w:pPr>
              <w:jc w:val="center"/>
            </w:pPr>
            <w:r>
              <w:rPr>
                <w:sz w:val="19"/>
              </w:rPr>
              <w:t>$57,012</w:t>
            </w:r>
          </w:p>
        </w:tc>
      </w:tr>
    </w:tbl>
    <w:p/>
    <w:p>
      <w:pPr>
        <w:pStyle w:val="Heading2"/>
      </w:pPr>
      <w:r>
        <w:t>13c. Harness Exchange US — Delaware C-Corp</w:t>
      </w:r>
    </w:p>
    <w:p>
      <w:r>
        <w:t>One-time formation: $159 USD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Cost</w:t>
            </w:r>
          </w:p>
        </w:tc>
        <w:tc>
          <w:tcPr>
            <w:tcW w:type="dxa" w:w="1440"/>
          </w:tcPr>
          <w:p>
            <w:pPr>
              <w:jc w:val="center"/>
            </w:pPr>
            <w:r>
              <w:rPr>
                <w:b/>
                <w:sz w:val="19"/>
              </w:rPr>
              <w:t>Year 1</w:t>
            </w:r>
          </w:p>
        </w:tc>
        <w:tc>
          <w:tcPr>
            <w:tcW w:type="dxa" w:w="1440"/>
          </w:tcPr>
          <w:p>
            <w:pPr>
              <w:jc w:val="center"/>
            </w:pPr>
            <w:r>
              <w:rPr>
                <w:b/>
                <w:sz w:val="19"/>
              </w:rPr>
              <w:t>Year 2</w:t>
            </w:r>
          </w:p>
        </w:tc>
        <w:tc>
          <w:tcPr>
            <w:tcW w:type="dxa" w:w="1440"/>
          </w:tcPr>
          <w:p>
            <w:pPr>
              <w:jc w:val="center"/>
            </w:pPr>
            <w:r>
              <w:rPr>
                <w:b/>
                <w:sz w:val="19"/>
              </w:rPr>
              <w:t>Year 3</w:t>
            </w:r>
          </w:p>
        </w:tc>
        <w:tc>
          <w:tcPr>
            <w:tcW w:type="dxa" w:w="1440"/>
          </w:tcPr>
          <w:p>
            <w:pPr>
              <w:jc w:val="center"/>
            </w:pPr>
            <w:r>
              <w:rPr>
                <w:b/>
                <w:sz w:val="19"/>
              </w:rPr>
              <w:t>Year 4</w:t>
            </w:r>
          </w:p>
        </w:tc>
        <w:tc>
          <w:tcPr>
            <w:tcW w:type="dxa" w:w="1440"/>
          </w:tcPr>
          <w:p>
            <w:pPr>
              <w:jc w:val="center"/>
            </w:pPr>
            <w:r>
              <w:rPr>
                <w:b/>
                <w:sz w:val="19"/>
              </w:rPr>
              <w:t>Year 5</w:t>
            </w:r>
          </w:p>
        </w:tc>
      </w:tr>
      <w:tr>
        <w:tc>
          <w:tcPr>
            <w:tcW w:type="dxa" w:w="1440"/>
          </w:tcPr>
          <w:p>
            <w:pPr>
              <w:jc w:val="center"/>
            </w:pPr>
            <w:r>
              <w:rPr>
                <w:sz w:val="19"/>
              </w:rPr>
              <w:t>Delaware franchise tax</w:t>
            </w:r>
          </w:p>
        </w:tc>
        <w:tc>
          <w:tcPr>
            <w:tcW w:type="dxa" w:w="1440"/>
          </w:tcPr>
          <w:p>
            <w:pPr>
              <w:jc w:val="center"/>
            </w:pPr>
            <w:r>
              <w:rPr>
                <w:sz w:val="19"/>
              </w:rPr>
              <w:t>$400</w:t>
            </w:r>
          </w:p>
        </w:tc>
        <w:tc>
          <w:tcPr>
            <w:tcW w:type="dxa" w:w="1440"/>
          </w:tcPr>
          <w:p>
            <w:pPr>
              <w:jc w:val="center"/>
            </w:pPr>
            <w:r>
              <w:rPr>
                <w:sz w:val="19"/>
              </w:rPr>
              <w:t>$400</w:t>
            </w:r>
          </w:p>
        </w:tc>
        <w:tc>
          <w:tcPr>
            <w:tcW w:type="dxa" w:w="1440"/>
          </w:tcPr>
          <w:p>
            <w:pPr>
              <w:jc w:val="center"/>
            </w:pPr>
            <w:r>
              <w:rPr>
                <w:sz w:val="19"/>
              </w:rPr>
              <w:t>$400</w:t>
            </w:r>
          </w:p>
        </w:tc>
        <w:tc>
          <w:tcPr>
            <w:tcW w:type="dxa" w:w="1440"/>
          </w:tcPr>
          <w:p>
            <w:pPr>
              <w:jc w:val="center"/>
            </w:pPr>
            <w:r>
              <w:rPr>
                <w:sz w:val="19"/>
              </w:rPr>
              <w:t>$400</w:t>
            </w:r>
          </w:p>
        </w:tc>
        <w:tc>
          <w:tcPr>
            <w:tcW w:type="dxa" w:w="1440"/>
          </w:tcPr>
          <w:p>
            <w:pPr>
              <w:jc w:val="center"/>
            </w:pPr>
            <w:r>
              <w:rPr>
                <w:sz w:val="19"/>
              </w:rPr>
              <w:t>$400</w:t>
            </w:r>
          </w:p>
        </w:tc>
      </w:tr>
      <w:tr>
        <w:tc>
          <w:tcPr>
            <w:tcW w:type="dxa" w:w="1440"/>
          </w:tcPr>
          <w:p>
            <w:pPr>
              <w:jc w:val="center"/>
            </w:pPr>
            <w:r>
              <w:rPr>
                <w:sz w:val="19"/>
              </w:rPr>
              <w:t>Delaware annual report</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r>
      <w:tr>
        <w:tc>
          <w:tcPr>
            <w:tcW w:type="dxa" w:w="1440"/>
          </w:tcPr>
          <w:p>
            <w:pPr>
              <w:jc w:val="center"/>
            </w:pPr>
            <w:r>
              <w:rPr>
                <w:sz w:val="19"/>
              </w:rPr>
              <w:t>Registered agent</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c>
          <w:tcPr>
            <w:tcW w:type="dxa" w:w="1440"/>
          </w:tcPr>
          <w:p>
            <w:pPr>
              <w:jc w:val="center"/>
            </w:pPr>
            <w:r>
              <w:rPr>
                <w:sz w:val="19"/>
              </w:rPr>
              <w:t>$50</w:t>
            </w:r>
          </w:p>
        </w:tc>
      </w:tr>
      <w:tr>
        <w:tc>
          <w:tcPr>
            <w:tcW w:type="dxa" w:w="1440"/>
          </w:tcPr>
          <w:p>
            <w:pPr>
              <w:jc w:val="center"/>
            </w:pPr>
            <w:r>
              <w:rPr>
                <w:sz w:val="19"/>
              </w:rPr>
              <w:t>Form 1120 tax return</w:t>
            </w:r>
          </w:p>
        </w:tc>
        <w:tc>
          <w:tcPr>
            <w:tcW w:type="dxa" w:w="1440"/>
          </w:tcPr>
          <w:p>
            <w:pPr>
              <w:jc w:val="center"/>
            </w:pPr>
            <w:r>
              <w:rPr>
                <w:sz w:val="19"/>
              </w:rPr>
              <w:t>$1,500</w:t>
            </w:r>
          </w:p>
        </w:tc>
        <w:tc>
          <w:tcPr>
            <w:tcW w:type="dxa" w:w="1440"/>
          </w:tcPr>
          <w:p>
            <w:pPr>
              <w:jc w:val="center"/>
            </w:pPr>
            <w:r>
              <w:rPr>
                <w:sz w:val="19"/>
              </w:rPr>
              <w:t>$2,000</w:t>
            </w:r>
          </w:p>
        </w:tc>
        <w:tc>
          <w:tcPr>
            <w:tcW w:type="dxa" w:w="1440"/>
          </w:tcPr>
          <w:p>
            <w:pPr>
              <w:jc w:val="center"/>
            </w:pPr>
            <w:r>
              <w:rPr>
                <w:sz w:val="19"/>
              </w:rPr>
              <w:t>$3,000</w:t>
            </w:r>
          </w:p>
        </w:tc>
        <w:tc>
          <w:tcPr>
            <w:tcW w:type="dxa" w:w="1440"/>
          </w:tcPr>
          <w:p>
            <w:pPr>
              <w:jc w:val="center"/>
            </w:pPr>
            <w:r>
              <w:rPr>
                <w:sz w:val="19"/>
              </w:rPr>
              <w:t>$3,500</w:t>
            </w:r>
          </w:p>
        </w:tc>
        <w:tc>
          <w:tcPr>
            <w:tcW w:type="dxa" w:w="1440"/>
          </w:tcPr>
          <w:p>
            <w:pPr>
              <w:jc w:val="center"/>
            </w:pPr>
            <w:r>
              <w:rPr>
                <w:sz w:val="19"/>
              </w:rPr>
              <w:t>$5,000</w:t>
            </w:r>
          </w:p>
        </w:tc>
      </w:tr>
      <w:tr>
        <w:tc>
          <w:tcPr>
            <w:tcW w:type="dxa" w:w="1440"/>
          </w:tcPr>
          <w:p>
            <w:pPr>
              <w:jc w:val="center"/>
            </w:pPr>
            <w:r>
              <w:rPr>
                <w:sz w:val="19"/>
              </w:rPr>
              <w:t>Financial audit</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$10,000</w:t>
            </w:r>
          </w:p>
        </w:tc>
        <w:tc>
          <w:tcPr>
            <w:tcW w:type="dxa" w:w="1440"/>
          </w:tcPr>
          <w:p>
            <w:pPr>
              <w:jc w:val="center"/>
            </w:pPr>
            <w:r>
              <w:rPr>
                <w:sz w:val="19"/>
              </w:rPr>
              <w:t>$15,000</w:t>
            </w:r>
          </w:p>
        </w:tc>
        <w:tc>
          <w:tcPr>
            <w:tcW w:type="dxa" w:w="1440"/>
          </w:tcPr>
          <w:p>
            <w:pPr>
              <w:jc w:val="center"/>
            </w:pPr>
            <w:r>
              <w:rPr>
                <w:sz w:val="19"/>
              </w:rPr>
              <w:t>$20,000</w:t>
            </w:r>
          </w:p>
        </w:tc>
      </w:tr>
      <w:tr>
        <w:tc>
          <w:tcPr>
            <w:tcW w:type="dxa" w:w="1440"/>
          </w:tcPr>
          <w:p>
            <w:pPr>
              <w:jc w:val="center"/>
            </w:pPr>
            <w:r>
              <w:rPr>
                <w:sz w:val="19"/>
              </w:rPr>
              <w:t>D&amp;O insurance</w:t>
            </w:r>
          </w:p>
        </w:tc>
        <w:tc>
          <w:tcPr>
            <w:tcW w:type="dxa" w:w="1440"/>
          </w:tcPr>
          <w:p>
            <w:pPr>
              <w:jc w:val="center"/>
            </w:pPr>
            <w:r>
              <w:rPr>
                <w:sz w:val="19"/>
              </w:rPr>
              <w:t>$2,000</w:t>
            </w:r>
          </w:p>
        </w:tc>
        <w:tc>
          <w:tcPr>
            <w:tcW w:type="dxa" w:w="1440"/>
          </w:tcPr>
          <w:p>
            <w:pPr>
              <w:jc w:val="center"/>
            </w:pPr>
            <w:r>
              <w:rPr>
                <w:sz w:val="19"/>
              </w:rPr>
              <w:t>$2,000</w:t>
            </w:r>
          </w:p>
        </w:tc>
        <w:tc>
          <w:tcPr>
            <w:tcW w:type="dxa" w:w="1440"/>
          </w:tcPr>
          <w:p>
            <w:pPr>
              <w:jc w:val="center"/>
            </w:pPr>
            <w:r>
              <w:rPr>
                <w:sz w:val="19"/>
              </w:rPr>
              <w:t>$4,000</w:t>
            </w:r>
          </w:p>
        </w:tc>
        <w:tc>
          <w:tcPr>
            <w:tcW w:type="dxa" w:w="1440"/>
          </w:tcPr>
          <w:p>
            <w:pPr>
              <w:jc w:val="center"/>
            </w:pPr>
            <w:r>
              <w:rPr>
                <w:sz w:val="19"/>
              </w:rPr>
              <w:t>$6,000</w:t>
            </w:r>
          </w:p>
        </w:tc>
        <w:tc>
          <w:tcPr>
            <w:tcW w:type="dxa" w:w="1440"/>
          </w:tcPr>
          <w:p>
            <w:pPr>
              <w:jc w:val="center"/>
            </w:pPr>
            <w:r>
              <w:rPr>
                <w:sz w:val="19"/>
              </w:rPr>
              <w:t>$8,000</w:t>
            </w:r>
          </w:p>
        </w:tc>
      </w:tr>
      <w:tr>
        <w:tc>
          <w:tcPr>
            <w:tcW w:type="dxa" w:w="1440"/>
          </w:tcPr>
          <w:p>
            <w:pPr>
              <w:jc w:val="center"/>
            </w:pPr>
            <w:r>
              <w:rPr>
                <w:sz w:val="19"/>
              </w:rPr>
              <w:t>General liability + cyber</w:t>
            </w:r>
          </w:p>
        </w:tc>
        <w:tc>
          <w:tcPr>
            <w:tcW w:type="dxa" w:w="1440"/>
          </w:tcPr>
          <w:p>
            <w:pPr>
              <w:jc w:val="center"/>
            </w:pPr>
            <w:r>
              <w:rPr>
                <w:sz w:val="19"/>
              </w:rPr>
              <w:t>$1,500</w:t>
            </w:r>
          </w:p>
        </w:tc>
        <w:tc>
          <w:tcPr>
            <w:tcW w:type="dxa" w:w="1440"/>
          </w:tcPr>
          <w:p>
            <w:pPr>
              <w:jc w:val="center"/>
            </w:pPr>
            <w:r>
              <w:rPr>
                <w:sz w:val="19"/>
              </w:rPr>
              <w:t>$2,000</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$8,000</w:t>
            </w:r>
          </w:p>
        </w:tc>
      </w:tr>
      <w:tr>
        <w:tc>
          <w:tcPr>
            <w:tcW w:type="dxa" w:w="1440"/>
          </w:tcPr>
          <w:p>
            <w:pPr>
              <w:jc w:val="center"/>
            </w:pPr>
            <w:r>
              <w:rPr>
                <w:sz w:val="19"/>
              </w:rPr>
              <w:t>Legal (US corporate)</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$8,000</w:t>
            </w:r>
          </w:p>
        </w:tc>
        <w:tc>
          <w:tcPr>
            <w:tcW w:type="dxa" w:w="1440"/>
          </w:tcPr>
          <w:p>
            <w:pPr>
              <w:jc w:val="center"/>
            </w:pPr>
            <w:r>
              <w:rPr>
                <w:sz w:val="19"/>
              </w:rPr>
              <w:t>$10,000</w:t>
            </w:r>
          </w:p>
        </w:tc>
        <w:tc>
          <w:tcPr>
            <w:tcW w:type="dxa" w:w="1440"/>
          </w:tcPr>
          <w:p>
            <w:pPr>
              <w:jc w:val="center"/>
            </w:pPr>
            <w:r>
              <w:rPr>
                <w:sz w:val="19"/>
              </w:rPr>
              <w:t>$15,000</w:t>
            </w:r>
          </w:p>
        </w:tc>
      </w:tr>
      <w:tr>
        <w:tc>
          <w:tcPr>
            <w:tcW w:type="dxa" w:w="1440"/>
          </w:tcPr>
          <w:p>
            <w:pPr>
              <w:jc w:val="center"/>
            </w:pPr>
            <w:r>
              <w:rPr>
                <w:sz w:val="19"/>
              </w:rPr>
              <w:t>Board of Directors</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$10,000</w:t>
            </w:r>
          </w:p>
        </w:tc>
      </w:tr>
      <w:tr>
        <w:tc>
          <w:tcPr>
            <w:tcW w:type="dxa" w:w="1440"/>
          </w:tcPr>
          <w:p>
            <w:pPr>
              <w:jc w:val="center"/>
            </w:pPr>
            <w:r>
              <w:rPr>
                <w:sz w:val="19"/>
              </w:rPr>
              <w:t>Total (annual, USD)</w:t>
            </w:r>
          </w:p>
        </w:tc>
        <w:tc>
          <w:tcPr>
            <w:tcW w:type="dxa" w:w="1440"/>
          </w:tcPr>
          <w:p>
            <w:pPr>
              <w:jc w:val="center"/>
            </w:pPr>
            <w:r>
              <w:rPr>
                <w:sz w:val="19"/>
              </w:rPr>
              <w:t>$8,500</w:t>
            </w:r>
          </w:p>
        </w:tc>
        <w:tc>
          <w:tcPr>
            <w:tcW w:type="dxa" w:w="1440"/>
          </w:tcPr>
          <w:p>
            <w:pPr>
              <w:jc w:val="center"/>
            </w:pPr>
            <w:r>
              <w:rPr>
                <w:sz w:val="19"/>
              </w:rPr>
              <w:t>$11,500</w:t>
            </w:r>
          </w:p>
        </w:tc>
        <w:tc>
          <w:tcPr>
            <w:tcW w:type="dxa" w:w="1440"/>
          </w:tcPr>
          <w:p>
            <w:pPr>
              <w:jc w:val="center"/>
            </w:pPr>
            <w:r>
              <w:rPr>
                <w:sz w:val="19"/>
              </w:rPr>
              <w:t>$31,500</w:t>
            </w:r>
          </w:p>
        </w:tc>
        <w:tc>
          <w:tcPr>
            <w:tcW w:type="dxa" w:w="1440"/>
          </w:tcPr>
          <w:p>
            <w:pPr>
              <w:jc w:val="center"/>
            </w:pPr>
            <w:r>
              <w:rPr>
                <w:sz w:val="19"/>
              </w:rPr>
              <w:t>$45,000</w:t>
            </w:r>
          </w:p>
        </w:tc>
        <w:tc>
          <w:tcPr>
            <w:tcW w:type="dxa" w:w="1440"/>
          </w:tcPr>
          <w:p>
            <w:pPr>
              <w:jc w:val="center"/>
            </w:pPr>
            <w:r>
              <w:rPr>
                <w:sz w:val="19"/>
              </w:rPr>
              <w:t>$66,500</w:t>
            </w:r>
          </w:p>
        </w:tc>
      </w:tr>
    </w:tbl>
    <w:p/>
    <w:p>
      <w:pPr>
        <w:pStyle w:val="Heading2"/>
      </w:pPr>
      <w:r>
        <w:t>13d. Harness Good US Foundation — Delaware 501(c)(3)</w:t>
      </w:r>
    </w:p>
    <w:p>
      <w:r>
        <w:t>One-time formation: $3,709 USD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Cost</w:t>
            </w:r>
          </w:p>
        </w:tc>
        <w:tc>
          <w:tcPr>
            <w:tcW w:type="dxa" w:w="1440"/>
          </w:tcPr>
          <w:p>
            <w:pPr>
              <w:jc w:val="center"/>
            </w:pPr>
            <w:r>
              <w:rPr>
                <w:b/>
                <w:sz w:val="19"/>
              </w:rPr>
              <w:t>Year 1</w:t>
            </w:r>
          </w:p>
        </w:tc>
        <w:tc>
          <w:tcPr>
            <w:tcW w:type="dxa" w:w="1440"/>
          </w:tcPr>
          <w:p>
            <w:pPr>
              <w:jc w:val="center"/>
            </w:pPr>
            <w:r>
              <w:rPr>
                <w:b/>
                <w:sz w:val="19"/>
              </w:rPr>
              <w:t>Year 2</w:t>
            </w:r>
          </w:p>
        </w:tc>
        <w:tc>
          <w:tcPr>
            <w:tcW w:type="dxa" w:w="1440"/>
          </w:tcPr>
          <w:p>
            <w:pPr>
              <w:jc w:val="center"/>
            </w:pPr>
            <w:r>
              <w:rPr>
                <w:b/>
                <w:sz w:val="19"/>
              </w:rPr>
              <w:t>Year 3</w:t>
            </w:r>
          </w:p>
        </w:tc>
        <w:tc>
          <w:tcPr>
            <w:tcW w:type="dxa" w:w="1440"/>
          </w:tcPr>
          <w:p>
            <w:pPr>
              <w:jc w:val="center"/>
            </w:pPr>
            <w:r>
              <w:rPr>
                <w:b/>
                <w:sz w:val="19"/>
              </w:rPr>
              <w:t>Year 4</w:t>
            </w:r>
          </w:p>
        </w:tc>
        <w:tc>
          <w:tcPr>
            <w:tcW w:type="dxa" w:w="1440"/>
          </w:tcPr>
          <w:p>
            <w:pPr>
              <w:jc w:val="center"/>
            </w:pPr>
            <w:r>
              <w:rPr>
                <w:b/>
                <w:sz w:val="19"/>
              </w:rPr>
              <w:t>Year 5</w:t>
            </w:r>
          </w:p>
        </w:tc>
      </w:tr>
      <w:tr>
        <w:tc>
          <w:tcPr>
            <w:tcW w:type="dxa" w:w="1440"/>
          </w:tcPr>
          <w:p>
            <w:pPr>
              <w:jc w:val="center"/>
            </w:pPr>
            <w:r>
              <w:rPr>
                <w:sz w:val="19"/>
              </w:rPr>
              <w:t>Delaware annual report</w:t>
            </w:r>
          </w:p>
        </w:tc>
        <w:tc>
          <w:tcPr>
            <w:tcW w:type="dxa" w:w="1440"/>
          </w:tcPr>
          <w:p>
            <w:pPr>
              <w:jc w:val="center"/>
            </w:pPr>
            <w:r>
              <w:rPr>
                <w:sz w:val="19"/>
              </w:rPr>
              <w:t>$25</w:t>
            </w:r>
          </w:p>
        </w:tc>
        <w:tc>
          <w:tcPr>
            <w:tcW w:type="dxa" w:w="1440"/>
          </w:tcPr>
          <w:p>
            <w:pPr>
              <w:jc w:val="center"/>
            </w:pPr>
            <w:r>
              <w:rPr>
                <w:sz w:val="19"/>
              </w:rPr>
              <w:t>$25</w:t>
            </w:r>
          </w:p>
        </w:tc>
        <w:tc>
          <w:tcPr>
            <w:tcW w:type="dxa" w:w="1440"/>
          </w:tcPr>
          <w:p>
            <w:pPr>
              <w:jc w:val="center"/>
            </w:pPr>
            <w:r>
              <w:rPr>
                <w:sz w:val="19"/>
              </w:rPr>
              <w:t>$25</w:t>
            </w:r>
          </w:p>
        </w:tc>
        <w:tc>
          <w:tcPr>
            <w:tcW w:type="dxa" w:w="1440"/>
          </w:tcPr>
          <w:p>
            <w:pPr>
              <w:jc w:val="center"/>
            </w:pPr>
            <w:r>
              <w:rPr>
                <w:sz w:val="19"/>
              </w:rPr>
              <w:t>$25</w:t>
            </w:r>
          </w:p>
        </w:tc>
        <w:tc>
          <w:tcPr>
            <w:tcW w:type="dxa" w:w="1440"/>
          </w:tcPr>
          <w:p>
            <w:pPr>
              <w:jc w:val="center"/>
            </w:pPr>
            <w:r>
              <w:rPr>
                <w:sz w:val="19"/>
              </w:rPr>
              <w:t>$25</w:t>
            </w:r>
          </w:p>
        </w:tc>
      </w:tr>
      <w:tr>
        <w:tc>
          <w:tcPr>
            <w:tcW w:type="dxa" w:w="1440"/>
          </w:tcPr>
          <w:p>
            <w:pPr>
              <w:jc w:val="center"/>
            </w:pPr>
            <w:r>
              <w:rPr>
                <w:sz w:val="19"/>
              </w:rPr>
              <w:t>Delaware franchise tax</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r>
      <w:tr>
        <w:tc>
          <w:tcPr>
            <w:tcW w:type="dxa" w:w="1440"/>
          </w:tcPr>
          <w:p>
            <w:pPr>
              <w:jc w:val="center"/>
            </w:pPr>
            <w:r>
              <w:rPr>
                <w:sz w:val="19"/>
              </w:rPr>
              <w:t>Form 990 preparation</w:t>
            </w:r>
          </w:p>
        </w:tc>
        <w:tc>
          <w:tcPr>
            <w:tcW w:type="dxa" w:w="1440"/>
          </w:tcPr>
          <w:p>
            <w:pPr>
              <w:jc w:val="center"/>
            </w:pPr>
            <w:r>
              <w:rPr>
                <w:sz w:val="19"/>
              </w:rPr>
              <w:t>$1,000</w:t>
            </w:r>
          </w:p>
        </w:tc>
        <w:tc>
          <w:tcPr>
            <w:tcW w:type="dxa" w:w="1440"/>
          </w:tcPr>
          <w:p>
            <w:pPr>
              <w:jc w:val="center"/>
            </w:pPr>
            <w:r>
              <w:rPr>
                <w:sz w:val="19"/>
              </w:rPr>
              <w:t>$1,500</w:t>
            </w:r>
          </w:p>
        </w:tc>
        <w:tc>
          <w:tcPr>
            <w:tcW w:type="dxa" w:w="1440"/>
          </w:tcPr>
          <w:p>
            <w:pPr>
              <w:jc w:val="center"/>
            </w:pPr>
            <w:r>
              <w:rPr>
                <w:sz w:val="19"/>
              </w:rPr>
              <w:t>$2,000</w:t>
            </w:r>
          </w:p>
        </w:tc>
        <w:tc>
          <w:tcPr>
            <w:tcW w:type="dxa" w:w="1440"/>
          </w:tcPr>
          <w:p>
            <w:pPr>
              <w:jc w:val="center"/>
            </w:pPr>
            <w:r>
              <w:rPr>
                <w:sz w:val="19"/>
              </w:rPr>
              <w:t>$2,000</w:t>
            </w:r>
          </w:p>
        </w:tc>
        <w:tc>
          <w:tcPr>
            <w:tcW w:type="dxa" w:w="1440"/>
          </w:tcPr>
          <w:p>
            <w:pPr>
              <w:jc w:val="center"/>
            </w:pPr>
            <w:r>
              <w:rPr>
                <w:sz w:val="19"/>
              </w:rPr>
              <w:t>$2,000</w:t>
            </w:r>
          </w:p>
        </w:tc>
      </w:tr>
      <w:tr>
        <w:tc>
          <w:tcPr>
            <w:tcW w:type="dxa" w:w="1440"/>
          </w:tcPr>
          <w:p>
            <w:pPr>
              <w:jc w:val="center"/>
            </w:pPr>
            <w:r>
              <w:rPr>
                <w:sz w:val="19"/>
              </w:rPr>
              <w:t>Financial audit</w:t>
            </w:r>
          </w:p>
        </w:tc>
        <w:tc>
          <w:tcPr>
            <w:tcW w:type="dxa" w:w="1440"/>
          </w:tcPr>
          <w:p>
            <w:pPr>
              <w:jc w:val="center"/>
            </w:pPr>
            <w:r>
              <w:rPr>
                <w:sz w:val="19"/>
              </w:rPr>
              <w:t>$0</w:t>
            </w:r>
          </w:p>
        </w:tc>
        <w:tc>
          <w:tcPr>
            <w:tcW w:type="dxa" w:w="1440"/>
          </w:tcPr>
          <w:p>
            <w:pPr>
              <w:jc w:val="center"/>
            </w:pPr>
            <w:r>
              <w:rPr>
                <w:sz w:val="19"/>
              </w:rPr>
              <w:t>$5,000</w:t>
            </w:r>
          </w:p>
        </w:tc>
        <w:tc>
          <w:tcPr>
            <w:tcW w:type="dxa" w:w="1440"/>
          </w:tcPr>
          <w:p>
            <w:pPr>
              <w:jc w:val="center"/>
            </w:pPr>
            <w:r>
              <w:rPr>
                <w:sz w:val="19"/>
              </w:rPr>
              <w:t>$8,000</w:t>
            </w:r>
          </w:p>
        </w:tc>
        <w:tc>
          <w:tcPr>
            <w:tcW w:type="dxa" w:w="1440"/>
          </w:tcPr>
          <w:p>
            <w:pPr>
              <w:jc w:val="center"/>
            </w:pPr>
            <w:r>
              <w:rPr>
                <w:sz w:val="19"/>
              </w:rPr>
              <w:t>$12,000</w:t>
            </w:r>
          </w:p>
        </w:tc>
        <w:tc>
          <w:tcPr>
            <w:tcW w:type="dxa" w:w="1440"/>
          </w:tcPr>
          <w:p>
            <w:pPr>
              <w:jc w:val="center"/>
            </w:pPr>
            <w:r>
              <w:rPr>
                <w:sz w:val="19"/>
              </w:rPr>
              <w:t>$15,000</w:t>
            </w:r>
          </w:p>
        </w:tc>
      </w:tr>
      <w:tr>
        <w:tc>
          <w:tcPr>
            <w:tcW w:type="dxa" w:w="1440"/>
          </w:tcPr>
          <w:p>
            <w:pPr>
              <w:jc w:val="center"/>
            </w:pPr>
            <w:r>
              <w:rPr>
                <w:sz w:val="19"/>
              </w:rPr>
              <w:t>General liability + cyber</w:t>
            </w:r>
          </w:p>
        </w:tc>
        <w:tc>
          <w:tcPr>
            <w:tcW w:type="dxa" w:w="1440"/>
          </w:tcPr>
          <w:p>
            <w:pPr>
              <w:jc w:val="center"/>
            </w:pPr>
            <w:r>
              <w:rPr>
                <w:sz w:val="19"/>
              </w:rPr>
              <w:t>$1,000</w:t>
            </w:r>
          </w:p>
        </w:tc>
        <w:tc>
          <w:tcPr>
            <w:tcW w:type="dxa" w:w="1440"/>
          </w:tcPr>
          <w:p>
            <w:pPr>
              <w:jc w:val="center"/>
            </w:pPr>
            <w:r>
              <w:rPr>
                <w:sz w:val="19"/>
              </w:rPr>
              <w:t>$1,500</w:t>
            </w:r>
          </w:p>
        </w:tc>
        <w:tc>
          <w:tcPr>
            <w:tcW w:type="dxa" w:w="1440"/>
          </w:tcPr>
          <w:p>
            <w:pPr>
              <w:jc w:val="center"/>
            </w:pPr>
            <w:r>
              <w:rPr>
                <w:sz w:val="19"/>
              </w:rPr>
              <w:t>$2,500</w:t>
            </w:r>
          </w:p>
        </w:tc>
        <w:tc>
          <w:tcPr>
            <w:tcW w:type="dxa" w:w="1440"/>
          </w:tcPr>
          <w:p>
            <w:pPr>
              <w:jc w:val="center"/>
            </w:pPr>
            <w:r>
              <w:rPr>
                <w:sz w:val="19"/>
              </w:rPr>
              <w:t>$4,000</w:t>
            </w:r>
          </w:p>
        </w:tc>
        <w:tc>
          <w:tcPr>
            <w:tcW w:type="dxa" w:w="1440"/>
          </w:tcPr>
          <w:p>
            <w:pPr>
              <w:jc w:val="center"/>
            </w:pPr>
            <w:r>
              <w:rPr>
                <w:sz w:val="19"/>
              </w:rPr>
              <w:t>$6,000</w:t>
            </w:r>
          </w:p>
        </w:tc>
      </w:tr>
      <w:tr>
        <w:tc>
          <w:tcPr>
            <w:tcW w:type="dxa" w:w="1440"/>
          </w:tcPr>
          <w:p>
            <w:pPr>
              <w:jc w:val="center"/>
            </w:pPr>
            <w:r>
              <w:rPr>
                <w:sz w:val="19"/>
              </w:rPr>
              <w:t>Legal (US NFP counsel)</w:t>
            </w:r>
          </w:p>
        </w:tc>
        <w:tc>
          <w:tcPr>
            <w:tcW w:type="dxa" w:w="1440"/>
          </w:tcPr>
          <w:p>
            <w:pPr>
              <w:jc w:val="center"/>
            </w:pPr>
            <w:r>
              <w:rPr>
                <w:sz w:val="19"/>
              </w:rPr>
              <w:t>$2,000</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$8,000</w:t>
            </w:r>
          </w:p>
        </w:tc>
        <w:tc>
          <w:tcPr>
            <w:tcW w:type="dxa" w:w="1440"/>
          </w:tcPr>
          <w:p>
            <w:pPr>
              <w:jc w:val="center"/>
            </w:pPr>
            <w:r>
              <w:rPr>
                <w:sz w:val="19"/>
              </w:rPr>
              <w:t>$10,000</w:t>
            </w:r>
          </w:p>
        </w:tc>
      </w:tr>
      <w:tr>
        <w:tc>
          <w:tcPr>
            <w:tcW w:type="dxa" w:w="1440"/>
          </w:tcPr>
          <w:p>
            <w:pPr>
              <w:jc w:val="center"/>
            </w:pPr>
            <w:r>
              <w:rPr>
                <w:sz w:val="19"/>
              </w:rPr>
              <w:t>Board of Directors</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c>
          <w:tcPr>
            <w:tcW w:type="dxa" w:w="1440"/>
          </w:tcPr>
          <w:p>
            <w:pPr>
              <w:jc w:val="center"/>
            </w:pPr>
            <w:r>
              <w:rPr>
                <w:sz w:val="19"/>
              </w:rPr>
              <w:t>$0</w:t>
            </w:r>
          </w:p>
        </w:tc>
      </w:tr>
      <w:tr>
        <w:tc>
          <w:tcPr>
            <w:tcW w:type="dxa" w:w="1440"/>
          </w:tcPr>
          <w:p>
            <w:pPr>
              <w:jc w:val="center"/>
            </w:pPr>
            <w:r>
              <w:rPr>
                <w:sz w:val="19"/>
              </w:rPr>
              <w:t>Total (annual, USD)</w:t>
            </w:r>
          </w:p>
        </w:tc>
        <w:tc>
          <w:tcPr>
            <w:tcW w:type="dxa" w:w="1440"/>
          </w:tcPr>
          <w:p>
            <w:pPr>
              <w:jc w:val="center"/>
            </w:pPr>
            <w:r>
              <w:rPr>
                <w:sz w:val="19"/>
              </w:rPr>
              <w:t>$4,025</w:t>
            </w:r>
          </w:p>
        </w:tc>
        <w:tc>
          <w:tcPr>
            <w:tcW w:type="dxa" w:w="1440"/>
          </w:tcPr>
          <w:p>
            <w:pPr>
              <w:jc w:val="center"/>
            </w:pPr>
            <w:r>
              <w:rPr>
                <w:sz w:val="19"/>
              </w:rPr>
              <w:t>$11,025</w:t>
            </w:r>
          </w:p>
        </w:tc>
        <w:tc>
          <w:tcPr>
            <w:tcW w:type="dxa" w:w="1440"/>
          </w:tcPr>
          <w:p>
            <w:pPr>
              <w:jc w:val="center"/>
            </w:pPr>
            <w:r>
              <w:rPr>
                <w:sz w:val="19"/>
              </w:rPr>
              <w:t>$17,525</w:t>
            </w:r>
          </w:p>
        </w:tc>
        <w:tc>
          <w:tcPr>
            <w:tcW w:type="dxa" w:w="1440"/>
          </w:tcPr>
          <w:p>
            <w:pPr>
              <w:jc w:val="center"/>
            </w:pPr>
            <w:r>
              <w:rPr>
                <w:sz w:val="19"/>
              </w:rPr>
              <w:t>$26,025</w:t>
            </w:r>
          </w:p>
        </w:tc>
        <w:tc>
          <w:tcPr>
            <w:tcW w:type="dxa" w:w="1440"/>
          </w:tcPr>
          <w:p>
            <w:pPr>
              <w:jc w:val="center"/>
            </w:pPr>
            <w:r>
              <w:rPr>
                <w:sz w:val="19"/>
              </w:rPr>
              <w:t>$33,025</w:t>
            </w:r>
          </w:p>
        </w:tc>
      </w:tr>
    </w:tbl>
    <w:p/>
    <w:p>
      <w:pPr>
        <w:pStyle w:val="Heading2"/>
      </w:pPr>
      <w:r>
        <w:t>US Compliance &amp; Organizational Costs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Cost</w:t>
            </w:r>
          </w:p>
        </w:tc>
        <w:tc>
          <w:tcPr>
            <w:tcW w:type="dxa" w:w="1440"/>
          </w:tcPr>
          <w:p>
            <w:pPr>
              <w:jc w:val="center"/>
            </w:pPr>
            <w:r>
              <w:rPr>
                <w:b/>
                <w:sz w:val="19"/>
              </w:rPr>
              <w:t>Y1 (8 mo)</w:t>
            </w:r>
          </w:p>
        </w:tc>
        <w:tc>
          <w:tcPr>
            <w:tcW w:type="dxa" w:w="1440"/>
          </w:tcPr>
          <w:p>
            <w:pPr>
              <w:jc w:val="center"/>
            </w:pPr>
            <w:r>
              <w:rPr>
                <w:b/>
                <w:sz w:val="19"/>
              </w:rPr>
              <w:t>Y2</w:t>
            </w:r>
          </w:p>
        </w:tc>
        <w:tc>
          <w:tcPr>
            <w:tcW w:type="dxa" w:w="1440"/>
          </w:tcPr>
          <w:p>
            <w:pPr>
              <w:jc w:val="center"/>
            </w:pPr>
            <w:r>
              <w:rPr>
                <w:b/>
                <w:sz w:val="19"/>
              </w:rPr>
              <w:t>Y3</w:t>
            </w:r>
          </w:p>
        </w:tc>
        <w:tc>
          <w:tcPr>
            <w:tcW w:type="dxa" w:w="1440"/>
          </w:tcPr>
          <w:p>
            <w:pPr>
              <w:jc w:val="center"/>
            </w:pPr>
            <w:r>
              <w:rPr>
                <w:b/>
                <w:sz w:val="19"/>
              </w:rPr>
              <w:t>Y4</w:t>
            </w:r>
          </w:p>
        </w:tc>
        <w:tc>
          <w:tcPr>
            <w:tcW w:type="dxa" w:w="1440"/>
          </w:tcPr>
          <w:p>
            <w:pPr>
              <w:jc w:val="center"/>
            </w:pPr>
            <w:r>
              <w:rPr>
                <w:b/>
                <w:sz w:val="19"/>
              </w:rPr>
              <w:t>Y5</w:t>
            </w:r>
          </w:p>
        </w:tc>
      </w:tr>
      <w:tr>
        <w:tc>
          <w:tcPr>
            <w:tcW w:type="dxa" w:w="1440"/>
          </w:tcPr>
          <w:p>
            <w:pPr>
              <w:jc w:val="center"/>
            </w:pPr>
            <w:r>
              <w:rPr>
                <w:sz w:val="19"/>
              </w:rPr>
              <w:t>State charity registrations</w:t>
            </w:r>
          </w:p>
        </w:tc>
        <w:tc>
          <w:tcPr>
            <w:tcW w:type="dxa" w:w="1440"/>
          </w:tcPr>
          <w:p>
            <w:pPr>
              <w:jc w:val="center"/>
            </w:pPr>
            <w:r>
              <w:rPr>
                <w:sz w:val="19"/>
              </w:rPr>
              <w:t>$3,333</w:t>
            </w:r>
          </w:p>
        </w:tc>
        <w:tc>
          <w:tcPr>
            <w:tcW w:type="dxa" w:w="1440"/>
          </w:tcPr>
          <w:p>
            <w:pPr>
              <w:jc w:val="center"/>
            </w:pPr>
            <w:r>
              <w:rPr>
                <w:sz w:val="19"/>
              </w:rPr>
              <w:t>$8,000</w:t>
            </w:r>
          </w:p>
        </w:tc>
        <w:tc>
          <w:tcPr>
            <w:tcW w:type="dxa" w:w="1440"/>
          </w:tcPr>
          <w:p>
            <w:pPr>
              <w:jc w:val="center"/>
            </w:pPr>
            <w:r>
              <w:rPr>
                <w:sz w:val="19"/>
              </w:rPr>
              <w:t>$12,000</w:t>
            </w:r>
          </w:p>
        </w:tc>
        <w:tc>
          <w:tcPr>
            <w:tcW w:type="dxa" w:w="1440"/>
          </w:tcPr>
          <w:p>
            <w:pPr>
              <w:jc w:val="center"/>
            </w:pPr>
            <w:r>
              <w:rPr>
                <w:sz w:val="19"/>
              </w:rPr>
              <w:t>$15,000</w:t>
            </w:r>
          </w:p>
        </w:tc>
        <w:tc>
          <w:tcPr>
            <w:tcW w:type="dxa" w:w="1440"/>
          </w:tcPr>
          <w:p>
            <w:pPr>
              <w:jc w:val="center"/>
            </w:pPr>
            <w:r>
              <w:rPr>
                <w:sz w:val="19"/>
              </w:rPr>
              <w:t>$18,000</w:t>
            </w:r>
          </w:p>
        </w:tc>
      </w:tr>
      <w:tr>
        <w:tc>
          <w:tcPr>
            <w:tcW w:type="dxa" w:w="1440"/>
          </w:tcPr>
          <w:p>
            <w:pPr>
              <w:jc w:val="center"/>
            </w:pPr>
            <w:r>
              <w:rPr>
                <w:sz w:val="19"/>
              </w:rPr>
              <w:t>US legal counsel</w:t>
            </w:r>
          </w:p>
        </w:tc>
        <w:tc>
          <w:tcPr>
            <w:tcW w:type="dxa" w:w="1440"/>
          </w:tcPr>
          <w:p>
            <w:pPr>
              <w:jc w:val="center"/>
            </w:pPr>
            <w:r>
              <w:rPr>
                <w:sz w:val="19"/>
              </w:rPr>
              <w:t>$6,667</w:t>
            </w:r>
          </w:p>
        </w:tc>
        <w:tc>
          <w:tcPr>
            <w:tcW w:type="dxa" w:w="1440"/>
          </w:tcPr>
          <w:p>
            <w:pPr>
              <w:jc w:val="center"/>
            </w:pPr>
            <w:r>
              <w:rPr>
                <w:sz w:val="19"/>
              </w:rPr>
              <w:t>$15,000</w:t>
            </w:r>
          </w:p>
        </w:tc>
        <w:tc>
          <w:tcPr>
            <w:tcW w:type="dxa" w:w="1440"/>
          </w:tcPr>
          <w:p>
            <w:pPr>
              <w:jc w:val="center"/>
            </w:pPr>
            <w:r>
              <w:rPr>
                <w:sz w:val="19"/>
              </w:rPr>
              <w:t>$20,000</w:t>
            </w:r>
          </w:p>
        </w:tc>
        <w:tc>
          <w:tcPr>
            <w:tcW w:type="dxa" w:w="1440"/>
          </w:tcPr>
          <w:p>
            <w:pPr>
              <w:jc w:val="center"/>
            </w:pPr>
            <w:r>
              <w:rPr>
                <w:sz w:val="19"/>
              </w:rPr>
              <w:t>$25,000</w:t>
            </w:r>
          </w:p>
        </w:tc>
        <w:tc>
          <w:tcPr>
            <w:tcW w:type="dxa" w:w="1440"/>
          </w:tcPr>
          <w:p>
            <w:pPr>
              <w:jc w:val="center"/>
            </w:pPr>
            <w:r>
              <w:rPr>
                <w:sz w:val="19"/>
              </w:rPr>
              <w:t>$30,000</w:t>
            </w:r>
          </w:p>
        </w:tc>
      </w:tr>
      <w:tr>
        <w:tc>
          <w:tcPr>
            <w:tcW w:type="dxa" w:w="1440"/>
          </w:tcPr>
          <w:p>
            <w:pPr>
              <w:jc w:val="center"/>
            </w:pPr>
            <w:r>
              <w:rPr>
                <w:sz w:val="19"/>
              </w:rPr>
              <w:t>Form 990 preparation</w:t>
            </w:r>
          </w:p>
        </w:tc>
        <w:tc>
          <w:tcPr>
            <w:tcW w:type="dxa" w:w="1440"/>
          </w:tcPr>
          <w:p>
            <w:pPr>
              <w:jc w:val="center"/>
            </w:pPr>
            <w:r>
              <w:rPr>
                <w:sz w:val="19"/>
              </w:rPr>
              <w:t>$0</w:t>
            </w:r>
          </w:p>
        </w:tc>
        <w:tc>
          <w:tcPr>
            <w:tcW w:type="dxa" w:w="1440"/>
          </w:tcPr>
          <w:p>
            <w:pPr>
              <w:jc w:val="center"/>
            </w:pPr>
            <w:r>
              <w:rPr>
                <w:sz w:val="19"/>
              </w:rPr>
              <w:t>$3,500</w:t>
            </w:r>
          </w:p>
        </w:tc>
        <w:tc>
          <w:tcPr>
            <w:tcW w:type="dxa" w:w="1440"/>
          </w:tcPr>
          <w:p>
            <w:pPr>
              <w:jc w:val="center"/>
            </w:pPr>
            <w:r>
              <w:rPr>
                <w:sz w:val="19"/>
              </w:rPr>
              <w:t>$5,000</w:t>
            </w:r>
          </w:p>
        </w:tc>
        <w:tc>
          <w:tcPr>
            <w:tcW w:type="dxa" w:w="1440"/>
          </w:tcPr>
          <w:p>
            <w:pPr>
              <w:jc w:val="center"/>
            </w:pPr>
            <w:r>
              <w:rPr>
                <w:sz w:val="19"/>
              </w:rPr>
              <w:t>$7,500</w:t>
            </w:r>
          </w:p>
        </w:tc>
        <w:tc>
          <w:tcPr>
            <w:tcW w:type="dxa" w:w="1440"/>
          </w:tcPr>
          <w:p>
            <w:pPr>
              <w:jc w:val="center"/>
            </w:pPr>
            <w:r>
              <w:rPr>
                <w:sz w:val="19"/>
              </w:rPr>
              <w:t>$10,000</w:t>
            </w:r>
          </w:p>
        </w:tc>
      </w:tr>
      <w:tr>
        <w:tc>
          <w:tcPr>
            <w:tcW w:type="dxa" w:w="1440"/>
          </w:tcPr>
          <w:p>
            <w:pPr>
              <w:jc w:val="center"/>
            </w:pPr>
            <w:r>
              <w:rPr>
                <w:sz w:val="19"/>
              </w:rPr>
              <w:t>US bookkeeping</w:t>
            </w:r>
          </w:p>
        </w:tc>
        <w:tc>
          <w:tcPr>
            <w:tcW w:type="dxa" w:w="1440"/>
          </w:tcPr>
          <w:p>
            <w:pPr>
              <w:jc w:val="center"/>
            </w:pPr>
            <w:r>
              <w:rPr>
                <w:sz w:val="19"/>
              </w:rPr>
              <w:t>$2,000</w:t>
            </w:r>
          </w:p>
        </w:tc>
        <w:tc>
          <w:tcPr>
            <w:tcW w:type="dxa" w:w="1440"/>
          </w:tcPr>
          <w:p>
            <w:pPr>
              <w:jc w:val="center"/>
            </w:pPr>
            <w:r>
              <w:rPr>
                <w:sz w:val="19"/>
              </w:rPr>
              <w:t>$6,000</w:t>
            </w:r>
          </w:p>
        </w:tc>
        <w:tc>
          <w:tcPr>
            <w:tcW w:type="dxa" w:w="1440"/>
          </w:tcPr>
          <w:p>
            <w:pPr>
              <w:jc w:val="center"/>
            </w:pPr>
            <w:r>
              <w:rPr>
                <w:sz w:val="19"/>
              </w:rPr>
              <w:t>$9,000</w:t>
            </w:r>
          </w:p>
        </w:tc>
        <w:tc>
          <w:tcPr>
            <w:tcW w:type="dxa" w:w="1440"/>
          </w:tcPr>
          <w:p>
            <w:pPr>
              <w:jc w:val="center"/>
            </w:pPr>
            <w:r>
              <w:rPr>
                <w:sz w:val="19"/>
              </w:rPr>
              <w:t>$12,000</w:t>
            </w:r>
          </w:p>
        </w:tc>
        <w:tc>
          <w:tcPr>
            <w:tcW w:type="dxa" w:w="1440"/>
          </w:tcPr>
          <w:p>
            <w:pPr>
              <w:jc w:val="center"/>
            </w:pPr>
            <w:r>
              <w:rPr>
                <w:sz w:val="19"/>
              </w:rPr>
              <w:t>$15,000</w:t>
            </w:r>
          </w:p>
        </w:tc>
      </w:tr>
      <w:tr>
        <w:tc>
          <w:tcPr>
            <w:tcW w:type="dxa" w:w="1440"/>
          </w:tcPr>
          <w:p>
            <w:pPr>
              <w:jc w:val="center"/>
            </w:pPr>
            <w:r>
              <w:rPr>
                <w:sz w:val="19"/>
              </w:rPr>
              <w:t>US D&amp;O / liability insurance</w:t>
            </w:r>
          </w:p>
        </w:tc>
        <w:tc>
          <w:tcPr>
            <w:tcW w:type="dxa" w:w="1440"/>
          </w:tcPr>
          <w:p>
            <w:pPr>
              <w:jc w:val="center"/>
            </w:pPr>
            <w:r>
              <w:rPr>
                <w:sz w:val="19"/>
              </w:rPr>
              <w:t>$1,333</w:t>
            </w:r>
          </w:p>
        </w:tc>
        <w:tc>
          <w:tcPr>
            <w:tcW w:type="dxa" w:w="1440"/>
          </w:tcPr>
          <w:p>
            <w:pPr>
              <w:jc w:val="center"/>
            </w:pPr>
            <w:r>
              <w:rPr>
                <w:sz w:val="19"/>
              </w:rPr>
              <w:t>$3,000</w:t>
            </w:r>
          </w:p>
        </w:tc>
        <w:tc>
          <w:tcPr>
            <w:tcW w:type="dxa" w:w="1440"/>
          </w:tcPr>
          <w:p>
            <w:pPr>
              <w:jc w:val="center"/>
            </w:pPr>
            <w:r>
              <w:rPr>
                <w:sz w:val="19"/>
              </w:rPr>
              <w:t>$5,000</w:t>
            </w:r>
          </w:p>
        </w:tc>
        <w:tc>
          <w:tcPr>
            <w:tcW w:type="dxa" w:w="1440"/>
          </w:tcPr>
          <w:p>
            <w:pPr>
              <w:jc w:val="center"/>
            </w:pPr>
            <w:r>
              <w:rPr>
                <w:sz w:val="19"/>
              </w:rPr>
              <w:t>$8,000</w:t>
            </w:r>
          </w:p>
        </w:tc>
        <w:tc>
          <w:tcPr>
            <w:tcW w:type="dxa" w:w="1440"/>
          </w:tcPr>
          <w:p>
            <w:pPr>
              <w:jc w:val="center"/>
            </w:pPr>
            <w:r>
              <w:rPr>
                <w:sz w:val="19"/>
              </w:rPr>
              <w:t>$12,000</w:t>
            </w:r>
          </w:p>
        </w:tc>
      </w:tr>
    </w:tbl>
    <w:p/>
    <w:p>
      <w:pPr>
        <w:pStyle w:val="Heading2"/>
      </w:pPr>
      <w:r>
        <w:t>Consolidated Summary (All Entities)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9"/>
              </w:rPr>
              <w:t>Entity</w:t>
            </w:r>
          </w:p>
        </w:tc>
        <w:tc>
          <w:tcPr>
            <w:tcW w:type="dxa" w:w="1440"/>
          </w:tcPr>
          <w:p>
            <w:pPr>
              <w:jc w:val="center"/>
            </w:pPr>
            <w:r>
              <w:rPr>
                <w:b/>
                <w:sz w:val="19"/>
              </w:rPr>
              <w:t>Year 1</w:t>
            </w:r>
          </w:p>
        </w:tc>
        <w:tc>
          <w:tcPr>
            <w:tcW w:type="dxa" w:w="1440"/>
          </w:tcPr>
          <w:p>
            <w:pPr>
              <w:jc w:val="center"/>
            </w:pPr>
            <w:r>
              <w:rPr>
                <w:b/>
                <w:sz w:val="19"/>
              </w:rPr>
              <w:t>Year 2</w:t>
            </w:r>
          </w:p>
        </w:tc>
        <w:tc>
          <w:tcPr>
            <w:tcW w:type="dxa" w:w="1440"/>
          </w:tcPr>
          <w:p>
            <w:pPr>
              <w:jc w:val="center"/>
            </w:pPr>
            <w:r>
              <w:rPr>
                <w:b/>
                <w:sz w:val="19"/>
              </w:rPr>
              <w:t>Year 3</w:t>
            </w:r>
          </w:p>
        </w:tc>
        <w:tc>
          <w:tcPr>
            <w:tcW w:type="dxa" w:w="1440"/>
          </w:tcPr>
          <w:p>
            <w:pPr>
              <w:jc w:val="center"/>
            </w:pPr>
            <w:r>
              <w:rPr>
                <w:b/>
                <w:sz w:val="19"/>
              </w:rPr>
              <w:t>Year 4</w:t>
            </w:r>
          </w:p>
        </w:tc>
        <w:tc>
          <w:tcPr>
            <w:tcW w:type="dxa" w:w="1440"/>
          </w:tcPr>
          <w:p>
            <w:pPr>
              <w:jc w:val="center"/>
            </w:pPr>
            <w:r>
              <w:rPr>
                <w:b/>
                <w:sz w:val="19"/>
              </w:rPr>
              <w:t>Year 5</w:t>
            </w:r>
          </w:p>
        </w:tc>
      </w:tr>
      <w:tr>
        <w:tc>
          <w:tcPr>
            <w:tcW w:type="dxa" w:w="1440"/>
          </w:tcPr>
          <w:p>
            <w:pPr>
              <w:jc w:val="center"/>
            </w:pPr>
            <w:r>
              <w:rPr>
                <w:sz w:val="19"/>
              </w:rPr>
              <w:t>Harness Exchange (CAD)</w:t>
            </w:r>
          </w:p>
        </w:tc>
        <w:tc>
          <w:tcPr>
            <w:tcW w:type="dxa" w:w="1440"/>
          </w:tcPr>
          <w:p>
            <w:pPr>
              <w:jc w:val="center"/>
            </w:pPr>
            <w:r>
              <w:rPr>
                <w:sz w:val="19"/>
              </w:rPr>
              <w:t>$17,350</w:t>
            </w:r>
          </w:p>
        </w:tc>
        <w:tc>
          <w:tcPr>
            <w:tcW w:type="dxa" w:w="1440"/>
          </w:tcPr>
          <w:p>
            <w:pPr>
              <w:jc w:val="center"/>
            </w:pPr>
            <w:r>
              <w:rPr>
                <w:sz w:val="19"/>
              </w:rPr>
              <w:t>$29,650</w:t>
            </w:r>
          </w:p>
        </w:tc>
        <w:tc>
          <w:tcPr>
            <w:tcW w:type="dxa" w:w="1440"/>
          </w:tcPr>
          <w:p>
            <w:pPr>
              <w:jc w:val="center"/>
            </w:pPr>
            <w:r>
              <w:rPr>
                <w:sz w:val="19"/>
              </w:rPr>
              <w:t>$53,550</w:t>
            </w:r>
          </w:p>
        </w:tc>
        <w:tc>
          <w:tcPr>
            <w:tcW w:type="dxa" w:w="1440"/>
          </w:tcPr>
          <w:p>
            <w:pPr>
              <w:jc w:val="center"/>
            </w:pPr>
            <w:r>
              <w:rPr>
                <w:sz w:val="19"/>
              </w:rPr>
              <w:t>$75,050</w:t>
            </w:r>
          </w:p>
        </w:tc>
        <w:tc>
          <w:tcPr>
            <w:tcW w:type="dxa" w:w="1440"/>
          </w:tcPr>
          <w:p>
            <w:pPr>
              <w:jc w:val="center"/>
            </w:pPr>
            <w:r>
              <w:rPr>
                <w:sz w:val="19"/>
              </w:rPr>
              <w:t>$109,050</w:t>
            </w:r>
          </w:p>
        </w:tc>
      </w:tr>
      <w:tr>
        <w:tc>
          <w:tcPr>
            <w:tcW w:type="dxa" w:w="1440"/>
          </w:tcPr>
          <w:p>
            <w:pPr>
              <w:jc w:val="center"/>
            </w:pPr>
            <w:r>
              <w:rPr>
                <w:sz w:val="19"/>
              </w:rPr>
              <w:t>Harness Good (CAD)</w:t>
            </w:r>
          </w:p>
        </w:tc>
        <w:tc>
          <w:tcPr>
            <w:tcW w:type="dxa" w:w="1440"/>
          </w:tcPr>
          <w:p>
            <w:pPr>
              <w:jc w:val="center"/>
            </w:pPr>
            <w:r>
              <w:rPr>
                <w:sz w:val="19"/>
              </w:rPr>
              <w:t>$8,912</w:t>
            </w:r>
          </w:p>
        </w:tc>
        <w:tc>
          <w:tcPr>
            <w:tcW w:type="dxa" w:w="1440"/>
          </w:tcPr>
          <w:p>
            <w:pPr>
              <w:jc w:val="center"/>
            </w:pPr>
            <w:r>
              <w:rPr>
                <w:sz w:val="19"/>
              </w:rPr>
              <w:t>$21,112</w:t>
            </w:r>
          </w:p>
        </w:tc>
        <w:tc>
          <w:tcPr>
            <w:tcW w:type="dxa" w:w="1440"/>
          </w:tcPr>
          <w:p>
            <w:pPr>
              <w:jc w:val="center"/>
            </w:pPr>
            <w:r>
              <w:rPr>
                <w:sz w:val="19"/>
              </w:rPr>
              <w:t>$30,312</w:t>
            </w:r>
          </w:p>
        </w:tc>
        <w:tc>
          <w:tcPr>
            <w:tcW w:type="dxa" w:w="1440"/>
          </w:tcPr>
          <w:p>
            <w:pPr>
              <w:jc w:val="center"/>
            </w:pPr>
            <w:r>
              <w:rPr>
                <w:sz w:val="19"/>
              </w:rPr>
              <w:t>$43,612</w:t>
            </w:r>
          </w:p>
        </w:tc>
        <w:tc>
          <w:tcPr>
            <w:tcW w:type="dxa" w:w="1440"/>
          </w:tcPr>
          <w:p>
            <w:pPr>
              <w:jc w:val="center"/>
            </w:pPr>
            <w:r>
              <w:rPr>
                <w:sz w:val="19"/>
              </w:rPr>
              <w:t>$57,012</w:t>
            </w:r>
          </w:p>
        </w:tc>
      </w:tr>
      <w:tr>
        <w:tc>
          <w:tcPr>
            <w:tcW w:type="dxa" w:w="1440"/>
          </w:tcPr>
          <w:p>
            <w:pPr>
              <w:jc w:val="center"/>
            </w:pPr>
            <w:r>
              <w:rPr>
                <w:sz w:val="19"/>
              </w:rPr>
              <w:t>US For-Profit (USD)</w:t>
            </w:r>
          </w:p>
        </w:tc>
        <w:tc>
          <w:tcPr>
            <w:tcW w:type="dxa" w:w="1440"/>
          </w:tcPr>
          <w:p>
            <w:pPr>
              <w:jc w:val="center"/>
            </w:pPr>
            <w:r>
              <w:rPr>
                <w:sz w:val="19"/>
              </w:rPr>
              <w:t>$8,500</w:t>
            </w:r>
          </w:p>
        </w:tc>
        <w:tc>
          <w:tcPr>
            <w:tcW w:type="dxa" w:w="1440"/>
          </w:tcPr>
          <w:p>
            <w:pPr>
              <w:jc w:val="center"/>
            </w:pPr>
            <w:r>
              <w:rPr>
                <w:sz w:val="19"/>
              </w:rPr>
              <w:t>$11,500</w:t>
            </w:r>
          </w:p>
        </w:tc>
        <w:tc>
          <w:tcPr>
            <w:tcW w:type="dxa" w:w="1440"/>
          </w:tcPr>
          <w:p>
            <w:pPr>
              <w:jc w:val="center"/>
            </w:pPr>
            <w:r>
              <w:rPr>
                <w:sz w:val="19"/>
              </w:rPr>
              <w:t>$31,500</w:t>
            </w:r>
          </w:p>
        </w:tc>
        <w:tc>
          <w:tcPr>
            <w:tcW w:type="dxa" w:w="1440"/>
          </w:tcPr>
          <w:p>
            <w:pPr>
              <w:jc w:val="center"/>
            </w:pPr>
            <w:r>
              <w:rPr>
                <w:sz w:val="19"/>
              </w:rPr>
              <w:t>$45,000</w:t>
            </w:r>
          </w:p>
        </w:tc>
        <w:tc>
          <w:tcPr>
            <w:tcW w:type="dxa" w:w="1440"/>
          </w:tcPr>
          <w:p>
            <w:pPr>
              <w:jc w:val="center"/>
            </w:pPr>
            <w:r>
              <w:rPr>
                <w:sz w:val="19"/>
              </w:rPr>
              <w:t>$66,500</w:t>
            </w:r>
          </w:p>
        </w:tc>
      </w:tr>
      <w:tr>
        <w:tc>
          <w:tcPr>
            <w:tcW w:type="dxa" w:w="1440"/>
          </w:tcPr>
          <w:p>
            <w:pPr>
              <w:jc w:val="center"/>
            </w:pPr>
            <w:r>
              <w:rPr>
                <w:sz w:val="19"/>
              </w:rPr>
              <w:t>US Not-for-Profit (USD)</w:t>
            </w:r>
          </w:p>
        </w:tc>
        <w:tc>
          <w:tcPr>
            <w:tcW w:type="dxa" w:w="1440"/>
          </w:tcPr>
          <w:p>
            <w:pPr>
              <w:jc w:val="center"/>
            </w:pPr>
            <w:r>
              <w:rPr>
                <w:sz w:val="19"/>
              </w:rPr>
              <w:t>$4,025</w:t>
            </w:r>
          </w:p>
        </w:tc>
        <w:tc>
          <w:tcPr>
            <w:tcW w:type="dxa" w:w="1440"/>
          </w:tcPr>
          <w:p>
            <w:pPr>
              <w:jc w:val="center"/>
            </w:pPr>
            <w:r>
              <w:rPr>
                <w:sz w:val="19"/>
              </w:rPr>
              <w:t>$11,025</w:t>
            </w:r>
          </w:p>
        </w:tc>
        <w:tc>
          <w:tcPr>
            <w:tcW w:type="dxa" w:w="1440"/>
          </w:tcPr>
          <w:p>
            <w:pPr>
              <w:jc w:val="center"/>
            </w:pPr>
            <w:r>
              <w:rPr>
                <w:sz w:val="19"/>
              </w:rPr>
              <w:t>$17,525</w:t>
            </w:r>
          </w:p>
        </w:tc>
        <w:tc>
          <w:tcPr>
            <w:tcW w:type="dxa" w:w="1440"/>
          </w:tcPr>
          <w:p>
            <w:pPr>
              <w:jc w:val="center"/>
            </w:pPr>
            <w:r>
              <w:rPr>
                <w:sz w:val="19"/>
              </w:rPr>
              <w:t>$26,025</w:t>
            </w:r>
          </w:p>
        </w:tc>
        <w:tc>
          <w:tcPr>
            <w:tcW w:type="dxa" w:w="1440"/>
          </w:tcPr>
          <w:p>
            <w:pPr>
              <w:jc w:val="center"/>
            </w:pPr>
            <w:r>
              <w:rPr>
                <w:sz w:val="19"/>
              </w:rPr>
              <w:t>$33,025</w:t>
            </w:r>
          </w:p>
        </w:tc>
      </w:tr>
    </w:tbl>
    <w:p/>
    <w:p>
      <w:r>
        <w:t>Note: US amounts are in USD. At a projected USD/CAD rate of ~1.36, US entities add approximately CAD $17,000 (Year 1) to CAD $135,000 (Year 5) to consolidated group costs.</w:t>
      </w:r>
    </w:p>
    <w:p>
      <w:pPr>
        <w:pStyle w:val="Heading1"/>
      </w:pPr>
      <w:r>
        <w:t>14. Key Modeling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9"/>
              </w:rPr>
              <w:t>Decision</w:t>
            </w:r>
          </w:p>
        </w:tc>
        <w:tc>
          <w:tcPr>
            <w:tcW w:type="dxa" w:w="2880"/>
          </w:tcPr>
          <w:p>
            <w:pPr>
              <w:jc w:val="center"/>
            </w:pPr>
            <w:r>
              <w:rPr>
                <w:b/>
                <w:sz w:val="19"/>
              </w:rPr>
              <w:t>Choice</w:t>
            </w:r>
          </w:p>
        </w:tc>
        <w:tc>
          <w:tcPr>
            <w:tcW w:type="dxa" w:w="2880"/>
          </w:tcPr>
          <w:p>
            <w:pPr>
              <w:jc w:val="center"/>
            </w:pPr>
            <w:r>
              <w:rPr>
                <w:b/>
                <w:sz w:val="19"/>
              </w:rPr>
              <w:t>Rationale</w:t>
            </w:r>
          </w:p>
        </w:tc>
      </w:tr>
      <w:tr>
        <w:tc>
          <w:tcPr>
            <w:tcW w:type="dxa" w:w="2880"/>
          </w:tcPr>
          <w:p>
            <w:pPr>
              <w:jc w:val="center"/>
            </w:pPr>
            <w:r>
              <w:rPr>
                <w:sz w:val="19"/>
              </w:rPr>
              <w:t>Currency</w:t>
            </w:r>
          </w:p>
        </w:tc>
        <w:tc>
          <w:tcPr>
            <w:tcW w:type="dxa" w:w="2880"/>
          </w:tcPr>
          <w:p>
            <w:pPr>
              <w:jc w:val="center"/>
            </w:pPr>
            <w:r>
              <w:rPr>
                <w:sz w:val="19"/>
              </w:rPr>
              <w:t>CAD (CA entities), USD (US entities)</w:t>
            </w:r>
          </w:p>
        </w:tc>
        <w:tc>
          <w:tcPr>
            <w:tcW w:type="dxa" w:w="2880"/>
          </w:tcPr>
          <w:p>
            <w:pPr>
              <w:jc w:val="center"/>
            </w:pPr>
            <w:r>
              <w:rPr>
                <w:sz w:val="19"/>
              </w:rPr>
              <w:t>Harness Exchange is Canadian (ASPE); US entities report in USD</w:t>
            </w:r>
          </w:p>
        </w:tc>
      </w:tr>
      <w:tr>
        <w:tc>
          <w:tcPr>
            <w:tcW w:type="dxa" w:w="2880"/>
          </w:tcPr>
          <w:p>
            <w:pPr>
              <w:jc w:val="center"/>
            </w:pPr>
            <w:r>
              <w:rPr>
                <w:sz w:val="19"/>
              </w:rPr>
              <w:t>Fiscal year</w:t>
            </w:r>
          </w:p>
        </w:tc>
        <w:tc>
          <w:tcPr>
            <w:tcW w:type="dxa" w:w="2880"/>
          </w:tcPr>
          <w:p>
            <w:pPr>
              <w:jc w:val="center"/>
            </w:pPr>
            <w:r>
              <w:rPr>
                <w:sz w:val="19"/>
              </w:rPr>
              <w:t>Calendar year (Jan–Dec)</w:t>
            </w:r>
          </w:p>
        </w:tc>
        <w:tc>
          <w:tcPr>
            <w:tcW w:type="dxa" w:w="2880"/>
          </w:tcPr>
          <w:p>
            <w:pPr>
              <w:jc w:val="center"/>
            </w:pPr>
            <w:r>
              <w:rPr>
                <w:sz w:val="19"/>
              </w:rPr>
              <w:t>Standard for CA for-profit entities</w:t>
            </w:r>
          </w:p>
        </w:tc>
      </w:tr>
      <w:tr>
        <w:tc>
          <w:tcPr>
            <w:tcW w:type="dxa" w:w="2880"/>
          </w:tcPr>
          <w:p>
            <w:pPr>
              <w:jc w:val="center"/>
            </w:pPr>
            <w:r>
              <w:rPr>
                <w:sz w:val="19"/>
              </w:rPr>
              <w:t>Fee model</w:t>
            </w:r>
          </w:p>
        </w:tc>
        <w:tc>
          <w:tcPr>
            <w:tcW w:type="dxa" w:w="2880"/>
          </w:tcPr>
          <w:p>
            <w:pPr>
              <w:jc w:val="center"/>
            </w:pPr>
            <w:r>
              <w:rPr>
                <w:sz w:val="19"/>
              </w:rPr>
              <w:t>% of donation volume</w:t>
            </w:r>
          </w:p>
        </w:tc>
        <w:tc>
          <w:tcPr>
            <w:tcW w:type="dxa" w:w="2880"/>
          </w:tcPr>
          <w:p>
            <w:pPr>
              <w:jc w:val="center"/>
            </w:pPr>
            <w:r>
              <w:rPr>
                <w:sz w:val="19"/>
              </w:rPr>
              <w:t>Industry standard; aligns incentives with charity partners</w:t>
            </w:r>
          </w:p>
        </w:tc>
      </w:tr>
      <w:tr>
        <w:tc>
          <w:tcPr>
            <w:tcW w:type="dxa" w:w="2880"/>
          </w:tcPr>
          <w:p>
            <w:pPr>
              <w:jc w:val="center"/>
            </w:pPr>
            <w:r>
              <w:rPr>
                <w:sz w:val="19"/>
              </w:rPr>
              <w:t>Fee rate decline</w:t>
            </w:r>
          </w:p>
        </w:tc>
        <w:tc>
          <w:tcPr>
            <w:tcW w:type="dxa" w:w="2880"/>
          </w:tcPr>
          <w:p>
            <w:pPr>
              <w:jc w:val="center"/>
            </w:pPr>
            <w:r>
              <w:rPr>
                <w:sz w:val="19"/>
              </w:rPr>
              <w:t>3.5% → 3.2% over 5 yr</w:t>
            </w:r>
          </w:p>
        </w:tc>
        <w:tc>
          <w:tcPr>
            <w:tcW w:type="dxa" w:w="2880"/>
          </w:tcPr>
          <w:p>
            <w:pPr>
              <w:jc w:val="center"/>
            </w:pPr>
            <w:r>
              <w:rPr>
                <w:sz w:val="19"/>
              </w:rPr>
              <w:t>Volume discount expectation; stays competitive at scale</w:t>
            </w:r>
          </w:p>
        </w:tc>
      </w:tr>
      <w:tr>
        <w:tc>
          <w:tcPr>
            <w:tcW w:type="dxa" w:w="2880"/>
          </w:tcPr>
          <w:p>
            <w:pPr>
              <w:jc w:val="center"/>
            </w:pPr>
            <w:r>
              <w:rPr>
                <w:sz w:val="19"/>
              </w:rPr>
              <w:t>Infrastructure scaling</w:t>
            </w:r>
          </w:p>
        </w:tc>
        <w:tc>
          <w:tcPr>
            <w:tcW w:type="dxa" w:w="2880"/>
          </w:tcPr>
          <w:p>
            <w:pPr>
              <w:jc w:val="center"/>
            </w:pPr>
            <w:r>
              <w:rPr>
                <w:sz w:val="19"/>
              </w:rPr>
              <w:t>Linear interpolation between tiers</w:t>
            </w:r>
          </w:p>
        </w:tc>
        <w:tc>
          <w:tcPr>
            <w:tcW w:type="dxa" w:w="2880"/>
          </w:tcPr>
          <w:p>
            <w:pPr>
              <w:jc w:val="center"/>
            </w:pPr>
            <w:r>
              <w:rPr>
                <w:sz w:val="19"/>
              </w:rPr>
              <w:t>Smooth cost curve; avoids step-function jumps</w:t>
            </w:r>
          </w:p>
        </w:tc>
      </w:tr>
      <w:tr>
        <w:tc>
          <w:tcPr>
            <w:tcW w:type="dxa" w:w="2880"/>
          </w:tcPr>
          <w:p>
            <w:pPr>
              <w:jc w:val="center"/>
            </w:pPr>
            <w:r>
              <w:rPr>
                <w:sz w:val="19"/>
              </w:rPr>
              <w:t>Marketing spend</w:t>
            </w:r>
          </w:p>
        </w:tc>
        <w:tc>
          <w:tcPr>
            <w:tcW w:type="dxa" w:w="2880"/>
          </w:tcPr>
          <w:p>
            <w:pPr>
              <w:jc w:val="center"/>
            </w:pPr>
            <w:r>
              <w:rPr>
                <w:sz w:val="19"/>
              </w:rPr>
              <w:t>Scenario-differentiated</w:t>
            </w:r>
          </w:p>
        </w:tc>
        <w:tc>
          <w:tcPr>
            <w:tcW w:type="dxa" w:w="2880"/>
          </w:tcPr>
          <w:p>
            <w:pPr>
              <w:jc w:val="center"/>
            </w:pPr>
            <w:r>
              <w:rPr>
                <w:sz w:val="19"/>
              </w:rPr>
              <w:t>Core question: what is CI traffic worth in avoided marketing spend?</w:t>
            </w:r>
          </w:p>
        </w:tc>
      </w:tr>
      <w:tr>
        <w:tc>
          <w:tcPr>
            <w:tcW w:type="dxa" w:w="2880"/>
          </w:tcPr>
          <w:p>
            <w:pPr>
              <w:jc w:val="center"/>
            </w:pPr>
            <w:r>
              <w:rPr>
                <w:sz w:val="19"/>
              </w:rPr>
              <w:t>Year 5 convergence</w:t>
            </w:r>
          </w:p>
        </w:tc>
        <w:tc>
          <w:tcPr>
            <w:tcW w:type="dxa" w:w="2880"/>
          </w:tcPr>
          <w:p>
            <w:pPr>
              <w:jc w:val="center"/>
            </w:pPr>
            <w:r>
              <w:rPr>
                <w:sz w:val="19"/>
              </w:rPr>
              <w:t>CA: 55K; US: 200K; combined 255K</w:t>
            </w:r>
          </w:p>
        </w:tc>
        <w:tc>
          <w:tcPr>
            <w:tcW w:type="dxa" w:w="2880"/>
          </w:tcPr>
          <w:p>
            <w:pPr>
              <w:jc w:val="center"/>
            </w:pPr>
            <w:r>
              <w:rPr>
                <w:sz w:val="19"/>
              </w:rPr>
              <w:t>US market ~10× larger; bootstrap accelerates growth</w:t>
            </w:r>
          </w:p>
        </w:tc>
      </w:tr>
    </w:tbl>
    <w:p>
      <w:pPr>
        <w:pStyle w:val="Heading1"/>
      </w:pPr>
      <w:r>
        <w:t>15. Known Gaps</w:t>
      </w:r>
    </w:p>
    <w:p>
      <w:pPr>
        <w:pStyle w:val="ListBullet"/>
      </w:pPr>
      <w:r>
        <w:t>Staffing costs: No headcount / salary projections (assumes founder-funded early stage)</w:t>
      </w:r>
    </w:p>
    <w:p>
      <w:pPr>
        <w:pStyle w:val="ListBullet"/>
      </w:pPr>
      <w:r>
        <w:t>Churn: No user or charity partner attrition modeling</w:t>
      </w:r>
    </w:p>
    <w:p>
      <w:pPr>
        <w:pStyle w:val="ListBullet"/>
      </w:pPr>
      <w:r>
        <w:t>Currency risk: CA entities' cloud costs are USD-denominated; no FX hedging modeled</w:t>
      </w:r>
    </w:p>
    <w:p>
      <w:pPr>
        <w:pStyle w:val="ListBullet"/>
      </w:pPr>
      <w:r>
        <w:t>Capital expenditure: All costs modeled as OpEx (SaaS/cloud-native)</w:t>
      </w:r>
    </w:p>
    <w:p>
      <w:pPr>
        <w:pStyle w:val="ListBullet"/>
      </w:pPr>
      <w:r>
        <w:t>Tax implications: No income tax, HST/GST, or SR&amp;ED credit projections</w:t>
      </w:r>
    </w:p>
    <w:p>
      <w:pPr>
        <w:pStyle w:val="ListBullet"/>
      </w:pPr>
      <w:r>
        <w:t>Intercompany transactions: Related party fees, licensing, cost-sharing between the four entities not yet modeled</w:t>
      </w:r>
    </w:p>
    <w:p>
      <w:pPr>
        <w:pStyle w:val="Heading1"/>
      </w:pPr>
      <w:r>
        <w:t>Sources &amp; References</w:t>
      </w:r>
    </w:p>
    <w:p>
      <w:pPr>
        <w:pStyle w:val="ListBullet"/>
      </w:pPr>
      <w:r>
        <w:t>Blackbaud Institute, Charitable Giving Report (2023)</w:t>
      </w:r>
    </w:p>
    <w:p>
      <w:pPr>
        <w:pStyle w:val="ListBullet"/>
      </w:pPr>
      <w:r>
        <w:t>M+R Benchmarks 2024 — mrbenchmarks.com</w:t>
      </w:r>
    </w:p>
    <w:p>
      <w:pPr>
        <w:pStyle w:val="ListBullet"/>
      </w:pPr>
      <w:r>
        <w:t>CanadaHelps Giving Report 2023 — canadahelps.org</w:t>
      </w:r>
    </w:p>
    <w:p>
      <w:pPr>
        <w:pStyle w:val="ListBullet"/>
      </w:pPr>
      <w:r>
        <w:t>Network for Good, Digital Giving Trends (2023)</w:t>
      </w:r>
    </w:p>
    <w:p>
      <w:pPr>
        <w:pStyle w:val="ListBullet"/>
      </w:pPr>
      <w:r>
        <w:t>CRA T1 Individual Tax Statistics, 2023 tax year — canada.ca</w:t>
      </w:r>
    </w:p>
    <w:p>
      <w:pPr>
        <w:pStyle w:val="ListBullet"/>
      </w:pPr>
      <w:r>
        <w:t>Charity Intelligence Web Traffic Analysis, April 2026 (internal)</w:t>
      </w:r>
    </w:p>
    <w:p>
      <w:pPr>
        <w:pStyle w:val="ListBullet"/>
      </w:pPr>
      <w:r>
        <w:t>CI Webstats daily log (server-side, 2009–2025) and GA4 (2023–2025)</w:t>
      </w:r>
    </w:p>
    <w:p>
      <w:pPr>
        <w:pStyle w:val="ListBullet"/>
      </w:pPr>
      <w:r>
        <w:t>Google Search Console data, Dec 2024–Nov 2025 (internal)</w:t>
      </w:r>
    </w:p>
    <w:p>
      <w:pPr>
        <w:pStyle w:val="ListBullet"/>
      </w:pPr>
      <w:r>
        <w:t>Partnerize State of the Nation 2024</w:t>
      </w:r>
    </w:p>
    <w:p>
      <w:pPr>
        <w:pStyle w:val="ListBullet"/>
      </w:pPr>
      <w:r>
        <w:t>Ahrefs, "How Long Does SEO Take?" (2023)</w:t>
      </w:r>
    </w:p>
    <w:p>
      <w:pPr>
        <w:pStyle w:val="ListBullet"/>
      </w:pPr>
      <w:r>
        <w:t>First Page Sage, Average CAC by Industry (2024)</w:t>
      </w:r>
    </w:p>
    <w:p>
      <w:pPr>
        <w:pStyle w:val="ListBullet"/>
      </w:pPr>
      <w:r>
        <w:t>First Page Sage, Marketing ROI by Channel (2024)</w:t>
      </w:r>
    </w:p>
    <w:p>
      <w:pPr>
        <w:pStyle w:val="ListBullet"/>
      </w:pPr>
      <w:r>
        <w:t>Uber S-1 Filing (2019); Lyft 10-K (2020)</w:t>
      </w:r>
    </w:p>
    <w:p>
      <w:pPr>
        <w:pStyle w:val="ListBullet"/>
      </w:pPr>
      <w:r>
        <w:t>Crunchbase — GoFundMe funding data</w:t>
      </w:r>
    </w:p>
    <w:p>
      <w:pPr>
        <w:pStyle w:val="ListBullet"/>
      </w:pPr>
      <w:r>
        <w:t>Stripe Canada &amp; US pricing — stripe.com</w:t>
      </w:r>
    </w:p>
    <w:p>
      <w:pPr>
        <w:pStyle w:val="ListBullet"/>
      </w:pPr>
      <w:r>
        <w:t>Anthropic API pricing — anthropic.com</w:t>
      </w:r>
    </w:p>
    <w:p>
      <w:pPr>
        <w:pStyle w:val="ListBullet"/>
      </w:pPr>
      <w:r>
        <w:t>Bloomerang pricing &amp; donor retention reports</w:t>
      </w:r>
    </w:p>
    <w:p>
      <w:pPr>
        <w:pStyle w:val="ListBullet"/>
      </w:pPr>
      <w:r>
        <w:t>Donorbox Pro pricing — donorbox.org</w:t>
      </w:r>
    </w:p>
    <w:p>
      <w:pPr>
        <w:pStyle w:val="ListBullet"/>
      </w:pPr>
      <w:r>
        <w:t>CPA Canada — cpacanada.ca</w:t>
      </w:r>
    </w:p>
    <w:p>
      <w:pPr>
        <w:pStyle w:val="ListBullet"/>
      </w:pPr>
      <w:r>
        <w:t>Corporations Canada — fee schedules</w:t>
      </w:r>
    </w:p>
    <w:p>
      <w:pPr>
        <w:pStyle w:val="ListBullet"/>
      </w:pPr>
      <w:r>
        <w:t>Ontario Business Registry — cost schedules</w:t>
      </w:r>
    </w:p>
    <w:p>
      <w:pPr>
        <w:pStyle w:val="ListBullet"/>
      </w:pPr>
      <w:r>
        <w:t>Delaware Division of Corporations — fee schedule</w:t>
      </w:r>
    </w:p>
    <w:p>
      <w:pPr>
        <w:pStyle w:val="ListBullet"/>
      </w:pPr>
      <w:r>
        <w:t>National Association of State Charity Officials — nasconet.org</w:t>
      </w:r>
    </w:p>
    <w:p>
      <w:pPr>
        <w:pStyle w:val="ListBullet"/>
      </w:pPr>
      <w:r>
        <w:t>PCI Security Standards Council — pcisecuritystandards.org</w:t>
      </w:r>
    </w:p>
    <w:p>
      <w:pPr>
        <w:pStyle w:val="ListBullet"/>
      </w:pPr>
      <w:r>
        <w:t>Vanta SOC 2 Audit Cost Guide — vanta.com</w:t>
      </w:r>
    </w:p>
    <w:p>
      <w:pPr>
        <w:pStyle w:val="ListBullet"/>
      </w:pPr>
      <w:r>
        <w:t>Classy, The State of Modern Philanthropy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