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Tables</w:t>
      </w:r>
    </w:p>
    <w:p>
      <w:pPr>
        <w:pStyle w:val="Author"/>
      </w:pPr>
      <w:r>
        <w:t xml:space="preserve">Selcen</w:t>
      </w:r>
      <w:r>
        <w:t xml:space="preserve"> </w:t>
      </w:r>
      <w:r>
        <w:t xml:space="preserve">Arı</w:t>
      </w:r>
    </w:p>
    <w:p>
      <w:pPr>
        <w:pStyle w:val="Date"/>
      </w:pPr>
      <w:r>
        <w:t xml:space="preserve">16</w:t>
      </w:r>
      <w:r>
        <w:t xml:space="preserve"> </w:t>
      </w:r>
      <w:r>
        <w:t xml:space="preserve">09</w:t>
      </w:r>
      <w:r>
        <w:t xml:space="preserve"> </w:t>
      </w:r>
      <w:r>
        <w:t xml:space="preserve">2019</w:t>
      </w:r>
    </w:p>
    <w:p>
      <w:pPr>
        <w:pStyle w:val="TableCaption"/>
      </w:pPr>
      <w:r>
        <w:rPr>
          <w:i/>
        </w:rPr>
        <w:t xml:space="preserve">minsamp</w:t>
      </w:r>
      <w:r>
        <w:t xml:space="preserve"> </w:t>
      </w:r>
      <w:r>
        <w:t xml:space="preserve">sample dataset that includes interaction factors.</w:t>
      </w:r>
    </w:p>
    <w:tbl>
      <w:tblPr>
        <w:tblStyle w:val="Table"/>
        <w:tblW w:type="pct" w:w="0.0"/>
        <w:tblLook w:firstRow="1"/>
        <w:tblCaption w:val="minsamp sample dataset that includes interaction factors."/>
      </w:tblPr>
      <w:tblGrid/>
      <w:tr>
        <w:trPr>
          <w:cnfStyle w:firstRow="1"/>
        </w:trPr>
        <w:tc>
          <w:tcPr>
            <w:tcBorders>
              <w:bottom w:val="single"/>
            </w:tcBorders>
            <w:vAlign w:val="bottom"/>
          </w:tcPr>
          <w:p>
            <w:pPr>
              <w:pStyle w:val="Compact"/>
              <w:jc w:val="left"/>
            </w:pPr>
            <w:r>
              <w:t xml:space="preserve">competing</w:t>
            </w:r>
          </w:p>
        </w:tc>
        <w:tc>
          <w:tcPr>
            <w:tcBorders>
              <w:bottom w:val="single"/>
            </w:tcBorders>
            <w:vAlign w:val="bottom"/>
          </w:tcPr>
          <w:p>
            <w:pPr>
              <w:pStyle w:val="Compact"/>
              <w:jc w:val="left"/>
            </w:pPr>
            <w:r>
              <w:t xml:space="preserve">miRNA</w:t>
            </w:r>
          </w:p>
        </w:tc>
        <w:tc>
          <w:tcPr>
            <w:tcBorders>
              <w:bottom w:val="single"/>
            </w:tcBorders>
            <w:vAlign w:val="bottom"/>
          </w:tcPr>
          <w:p>
            <w:pPr>
              <w:pStyle w:val="Compact"/>
              <w:jc w:val="left"/>
            </w:pPr>
            <w:r>
              <w:t xml:space="preserve">Competing_expression</w:t>
            </w:r>
          </w:p>
        </w:tc>
        <w:tc>
          <w:tcPr>
            <w:tcBorders>
              <w:bottom w:val="single"/>
            </w:tcBorders>
            <w:vAlign w:val="bottom"/>
          </w:tcPr>
          <w:p>
            <w:pPr>
              <w:pStyle w:val="Compact"/>
              <w:jc w:val="left"/>
            </w:pPr>
            <w:r>
              <w:t xml:space="preserve">miRNA_expression</w:t>
            </w:r>
          </w:p>
        </w:tc>
        <w:tc>
          <w:tcPr>
            <w:tcBorders>
              <w:bottom w:val="single"/>
            </w:tcBorders>
            <w:vAlign w:val="bottom"/>
          </w:tcPr>
          <w:p>
            <w:pPr>
              <w:pStyle w:val="Compact"/>
              <w:jc w:val="left"/>
            </w:pPr>
            <w:r>
              <w:t xml:space="preserve">seed_type</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energy</w:t>
            </w:r>
          </w:p>
        </w:tc>
      </w:tr>
      <w:tr>
        <w:tc>
          <w:p>
            <w:pPr>
              <w:pStyle w:val="Compact"/>
              <w:jc w:val="left"/>
            </w:pPr>
            <w:r>
              <w:rPr>
                <w:rStyle w:val="VerbatimChar"/>
              </w:rPr>
              <w:t xml:space="preserve">Gene1</w:t>
            </w:r>
          </w:p>
        </w:tc>
        <w:tc>
          <w:p>
            <w:pPr>
              <w:pStyle w:val="Compact"/>
              <w:jc w:val="left"/>
            </w:pPr>
            <w:r>
              <w:rPr>
                <w:rStyle w:val="VerbatimChar"/>
              </w:rPr>
              <w:t xml:space="preserve">Mir1</w:t>
            </w:r>
          </w:p>
        </w:tc>
        <w:tc>
          <w:p>
            <w:pPr>
              <w:pStyle w:val="Compact"/>
              <w:jc w:val="left"/>
            </w:pPr>
            <w:r>
              <w:t xml:space="preserve">10000</w:t>
            </w:r>
          </w:p>
        </w:tc>
        <w:tc>
          <w:p>
            <w:pPr>
              <w:pStyle w:val="Compact"/>
              <w:jc w:val="left"/>
            </w:pPr>
            <w:r>
              <w:t xml:space="preserve">1000</w:t>
            </w:r>
          </w:p>
        </w:tc>
        <w:tc>
          <w:p>
            <w:pPr>
              <w:pStyle w:val="Compact"/>
              <w:jc w:val="left"/>
            </w:pPr>
            <w:r>
              <w:t xml:space="preserve">0.43</w:t>
            </w:r>
          </w:p>
        </w:tc>
        <w:tc>
          <w:p>
            <w:pPr>
              <w:pStyle w:val="Compact"/>
              <w:jc w:val="left"/>
            </w:pPr>
            <w:r>
              <w:t xml:space="preserve">0.30</w:t>
            </w:r>
          </w:p>
        </w:tc>
        <w:tc>
          <w:p>
            <w:pPr>
              <w:pStyle w:val="Compact"/>
              <w:jc w:val="left"/>
            </w:pPr>
            <w:r>
              <w:t xml:space="preserve">-20</w:t>
            </w:r>
          </w:p>
        </w:tc>
      </w:tr>
      <w:tr>
        <w:tc>
          <w:p>
            <w:pPr>
              <w:pStyle w:val="Compact"/>
              <w:jc w:val="left"/>
            </w:pPr>
            <w:r>
              <w:rPr>
                <w:rStyle w:val="VerbatimChar"/>
              </w:rPr>
              <w:t xml:space="preserve">Gene2</w:t>
            </w:r>
          </w:p>
        </w:tc>
        <w:tc>
          <w:p>
            <w:pPr>
              <w:pStyle w:val="Compact"/>
              <w:jc w:val="left"/>
            </w:pPr>
            <w:r>
              <w:rPr>
                <w:rStyle w:val="VerbatimChar"/>
              </w:rPr>
              <w:t xml:space="preserve">Mir1</w:t>
            </w:r>
          </w:p>
        </w:tc>
        <w:tc>
          <w:p>
            <w:pPr>
              <w:pStyle w:val="Compact"/>
              <w:jc w:val="left"/>
            </w:pPr>
            <w:r>
              <w:t xml:space="preserve">10000</w:t>
            </w:r>
          </w:p>
        </w:tc>
        <w:tc>
          <w:p>
            <w:pPr>
              <w:pStyle w:val="Compact"/>
              <w:jc w:val="left"/>
            </w:pPr>
            <w:r>
              <w:t xml:space="preserve">1000</w:t>
            </w:r>
          </w:p>
        </w:tc>
        <w:tc>
          <w:p>
            <w:pPr>
              <w:pStyle w:val="Compact"/>
              <w:jc w:val="left"/>
            </w:pPr>
            <w:r>
              <w:t xml:space="preserve">0.43</w:t>
            </w:r>
          </w:p>
        </w:tc>
        <w:tc>
          <w:p>
            <w:pPr>
              <w:pStyle w:val="Compact"/>
              <w:jc w:val="left"/>
            </w:pPr>
            <w:r>
              <w:t xml:space="preserve">0.01</w:t>
            </w:r>
          </w:p>
        </w:tc>
        <w:tc>
          <w:p>
            <w:pPr>
              <w:pStyle w:val="Compact"/>
              <w:jc w:val="left"/>
            </w:pPr>
            <w:r>
              <w:t xml:space="preserve">-15</w:t>
            </w:r>
          </w:p>
        </w:tc>
      </w:tr>
      <w:tr>
        <w:tc>
          <w:p>
            <w:pPr>
              <w:pStyle w:val="Compact"/>
              <w:jc w:val="left"/>
            </w:pPr>
            <w:r>
              <w:rPr>
                <w:rStyle w:val="VerbatimChar"/>
              </w:rPr>
              <w:t xml:space="preserve">Gene3</w:t>
            </w:r>
          </w:p>
        </w:tc>
        <w:tc>
          <w:p>
            <w:pPr>
              <w:pStyle w:val="Compact"/>
              <w:jc w:val="left"/>
            </w:pPr>
            <w:r>
              <w:rPr>
                <w:rStyle w:val="VerbatimChar"/>
              </w:rPr>
              <w:t xml:space="preserve">Mir1</w:t>
            </w:r>
          </w:p>
        </w:tc>
        <w:tc>
          <w:p>
            <w:pPr>
              <w:pStyle w:val="Compact"/>
              <w:jc w:val="left"/>
            </w:pPr>
            <w:r>
              <w:t xml:space="preserve">5000</w:t>
            </w:r>
          </w:p>
        </w:tc>
        <w:tc>
          <w:p>
            <w:pPr>
              <w:pStyle w:val="Compact"/>
              <w:jc w:val="left"/>
            </w:pPr>
            <w:r>
              <w:t xml:space="preserve">1000</w:t>
            </w:r>
          </w:p>
        </w:tc>
        <w:tc>
          <w:p>
            <w:pPr>
              <w:pStyle w:val="Compact"/>
              <w:jc w:val="left"/>
            </w:pPr>
            <w:r>
              <w:t xml:space="preserve">0.32</w:t>
            </w:r>
          </w:p>
        </w:tc>
        <w:tc>
          <w:p>
            <w:pPr>
              <w:pStyle w:val="Compact"/>
              <w:jc w:val="left"/>
            </w:pPr>
            <w:r>
              <w:t xml:space="preserve">0.40</w:t>
            </w:r>
          </w:p>
        </w:tc>
        <w:tc>
          <w:p>
            <w:pPr>
              <w:pStyle w:val="Compact"/>
              <w:jc w:val="left"/>
            </w:pPr>
            <w:r>
              <w:t xml:space="preserve">-14</w:t>
            </w:r>
          </w:p>
        </w:tc>
      </w:tr>
      <w:tr>
        <w:tc>
          <w:p>
            <w:pPr>
              <w:pStyle w:val="Compact"/>
              <w:jc w:val="left"/>
            </w:pPr>
            <w:r>
              <w:rPr>
                <w:rStyle w:val="VerbatimChar"/>
              </w:rPr>
              <w:t xml:space="preserve">Gene4</w:t>
            </w:r>
          </w:p>
        </w:tc>
        <w:tc>
          <w:p>
            <w:pPr>
              <w:pStyle w:val="Compact"/>
              <w:jc w:val="left"/>
            </w:pPr>
            <w:r>
              <w:rPr>
                <w:rStyle w:val="VerbatimChar"/>
              </w:rPr>
              <w:t xml:space="preserve">Mir1</w:t>
            </w:r>
          </w:p>
        </w:tc>
        <w:tc>
          <w:p>
            <w:pPr>
              <w:pStyle w:val="Compact"/>
              <w:jc w:val="left"/>
            </w:pPr>
            <w:r>
              <w:t xml:space="preserve">10000</w:t>
            </w:r>
          </w:p>
        </w:tc>
        <w:tc>
          <w:p>
            <w:pPr>
              <w:pStyle w:val="Compact"/>
              <w:jc w:val="left"/>
            </w:pPr>
            <w:r>
              <w:t xml:space="preserve">1000</w:t>
            </w:r>
          </w:p>
        </w:tc>
        <w:tc>
          <w:p>
            <w:pPr>
              <w:pStyle w:val="Compact"/>
              <w:jc w:val="left"/>
            </w:pPr>
            <w:r>
              <w:t xml:space="preserve">0.23</w:t>
            </w:r>
          </w:p>
        </w:tc>
        <w:tc>
          <w:p>
            <w:pPr>
              <w:pStyle w:val="Compact"/>
              <w:jc w:val="left"/>
            </w:pPr>
            <w:r>
              <w:t xml:space="preserve">0.50</w:t>
            </w:r>
          </w:p>
        </w:tc>
        <w:tc>
          <w:p>
            <w:pPr>
              <w:pStyle w:val="Compact"/>
              <w:jc w:val="left"/>
            </w:pPr>
            <w:r>
              <w:t xml:space="preserve">-10</w:t>
            </w:r>
          </w:p>
        </w:tc>
      </w:tr>
      <w:tr>
        <w:tc>
          <w:p>
            <w:pPr>
              <w:pStyle w:val="Compact"/>
              <w:jc w:val="left"/>
            </w:pPr>
            <w:r>
              <w:rPr>
                <w:rStyle w:val="VerbatimChar"/>
              </w:rPr>
              <w:t xml:space="preserve">Gene4</w:t>
            </w:r>
          </w:p>
        </w:tc>
        <w:tc>
          <w:p>
            <w:pPr>
              <w:pStyle w:val="Compact"/>
              <w:jc w:val="left"/>
            </w:pPr>
            <w:r>
              <w:rPr>
                <w:rStyle w:val="VerbatimChar"/>
              </w:rPr>
              <w:t xml:space="preserve">Mir2</w:t>
            </w:r>
          </w:p>
        </w:tc>
        <w:tc>
          <w:p>
            <w:pPr>
              <w:pStyle w:val="Compact"/>
              <w:jc w:val="left"/>
            </w:pPr>
            <w:r>
              <w:t xml:space="preserve">10000</w:t>
            </w:r>
          </w:p>
        </w:tc>
        <w:tc>
          <w:p>
            <w:pPr>
              <w:pStyle w:val="Compact"/>
              <w:jc w:val="left"/>
            </w:pPr>
            <w:r>
              <w:t xml:space="preserve">2000</w:t>
            </w:r>
          </w:p>
        </w:tc>
        <w:tc>
          <w:p>
            <w:pPr>
              <w:pStyle w:val="Compact"/>
              <w:jc w:val="left"/>
            </w:pPr>
            <w:r>
              <w:t xml:space="preserve">0.35</w:t>
            </w:r>
          </w:p>
        </w:tc>
        <w:tc>
          <w:p>
            <w:pPr>
              <w:pStyle w:val="Compact"/>
              <w:jc w:val="left"/>
            </w:pPr>
            <w:r>
              <w:t xml:space="preserve">0.90</w:t>
            </w:r>
          </w:p>
        </w:tc>
        <w:tc>
          <w:p>
            <w:pPr>
              <w:pStyle w:val="Compact"/>
              <w:jc w:val="left"/>
            </w:pPr>
            <w:r>
              <w:t xml:space="preserve">-12</w:t>
            </w:r>
          </w:p>
        </w:tc>
      </w:tr>
      <w:tr>
        <w:tc>
          <w:p>
            <w:pPr>
              <w:pStyle w:val="Compact"/>
              <w:jc w:val="left"/>
            </w:pPr>
            <w:r>
              <w:rPr>
                <w:rStyle w:val="VerbatimChar"/>
              </w:rPr>
              <w:t xml:space="preserve">Gene5</w:t>
            </w:r>
          </w:p>
        </w:tc>
        <w:tc>
          <w:p>
            <w:pPr>
              <w:pStyle w:val="Compact"/>
              <w:jc w:val="left"/>
            </w:pPr>
            <w:r>
              <w:rPr>
                <w:rStyle w:val="VerbatimChar"/>
              </w:rPr>
              <w:t xml:space="preserve">Mir2</w:t>
            </w:r>
          </w:p>
        </w:tc>
        <w:tc>
          <w:p>
            <w:pPr>
              <w:pStyle w:val="Compact"/>
              <w:jc w:val="left"/>
            </w:pPr>
            <w:r>
              <w:t xml:space="preserve">5000</w:t>
            </w:r>
          </w:p>
        </w:tc>
        <w:tc>
          <w:p>
            <w:pPr>
              <w:pStyle w:val="Compact"/>
              <w:jc w:val="left"/>
            </w:pPr>
            <w:r>
              <w:t xml:space="preserve">2000</w:t>
            </w:r>
          </w:p>
        </w:tc>
        <w:tc>
          <w:p>
            <w:pPr>
              <w:pStyle w:val="Compact"/>
              <w:jc w:val="left"/>
            </w:pPr>
            <w:r>
              <w:t xml:space="preserve">0.05</w:t>
            </w:r>
          </w:p>
        </w:tc>
        <w:tc>
          <w:p>
            <w:pPr>
              <w:pStyle w:val="Compact"/>
              <w:jc w:val="left"/>
            </w:pPr>
            <w:r>
              <w:t xml:space="preserve">0.40</w:t>
            </w:r>
          </w:p>
        </w:tc>
        <w:tc>
          <w:p>
            <w:pPr>
              <w:pStyle w:val="Compact"/>
              <w:jc w:val="left"/>
            </w:pPr>
            <w:r>
              <w:t xml:space="preserve">-11</w:t>
            </w:r>
          </w:p>
        </w:tc>
      </w:tr>
      <w:tr>
        <w:tc>
          <w:p>
            <w:pPr>
              <w:pStyle w:val="Compact"/>
              <w:jc w:val="left"/>
            </w:pPr>
            <w:r>
              <w:rPr>
                <w:rStyle w:val="VerbatimChar"/>
              </w:rPr>
              <w:t xml:space="preserve">Gene6</w:t>
            </w:r>
          </w:p>
        </w:tc>
        <w:tc>
          <w:p>
            <w:pPr>
              <w:pStyle w:val="Compact"/>
              <w:jc w:val="left"/>
            </w:pPr>
            <w:r>
              <w:rPr>
                <w:rStyle w:val="VerbatimChar"/>
              </w:rPr>
              <w:t xml:space="preserve">Mir2</w:t>
            </w:r>
          </w:p>
        </w:tc>
        <w:tc>
          <w:p>
            <w:pPr>
              <w:pStyle w:val="Compact"/>
              <w:jc w:val="left"/>
            </w:pPr>
            <w:r>
              <w:t xml:space="preserve">10000</w:t>
            </w:r>
          </w:p>
        </w:tc>
        <w:tc>
          <w:p>
            <w:pPr>
              <w:pStyle w:val="Compact"/>
              <w:jc w:val="left"/>
            </w:pPr>
            <w:r>
              <w:t xml:space="preserve">2000</w:t>
            </w:r>
          </w:p>
        </w:tc>
        <w:tc>
          <w:p>
            <w:pPr>
              <w:pStyle w:val="Compact"/>
              <w:jc w:val="left"/>
            </w:pPr>
            <w:r>
              <w:t xml:space="preserve">0.01</w:t>
            </w:r>
          </w:p>
        </w:tc>
        <w:tc>
          <w:p>
            <w:pPr>
              <w:pStyle w:val="Compact"/>
              <w:jc w:val="left"/>
            </w:pPr>
            <w:r>
              <w:t xml:space="preserve">0.80</w:t>
            </w:r>
          </w:p>
        </w:tc>
        <w:tc>
          <w:p>
            <w:pPr>
              <w:pStyle w:val="Compact"/>
              <w:jc w:val="left"/>
            </w:pPr>
            <w:r>
              <w:t xml:space="preserve">-25</w:t>
            </w:r>
          </w:p>
        </w:tc>
      </w:tr>
    </w:tbl>
    <w:p>
      <w:pPr>
        <w:pStyle w:val="BodyText"/>
      </w:pPr>
      <w:r>
        <w:t xml:space="preserve">Note: Energy values in miRNA:target pairs are represented by high-throughput studies</w:t>
      </w:r>
      <w:r>
        <w:t xml:space="preserve"> </w:t>
      </w:r>
      <w:r>
        <w:t xml:space="preserve">(Helwak et al. 2013; Moore et al. 2015)</w:t>
      </w:r>
      <w:r>
        <w:t xml:space="preserve"> </w:t>
      </w:r>
      <w:r>
        <w:t xml:space="preserve">which are utilized in this study. On the other hand, we have specified the other interaction factors, seed type and location of binding region on the target, as numeric values based on the previous studies.</w:t>
      </w:r>
      <w:r>
        <w:t xml:space="preserve">(Grimson et al. 2007)</w:t>
      </w:r>
      <w:r>
        <w:t xml:space="preserve"> </w:t>
      </w:r>
      <w:r>
        <w:t xml:space="preserve">have compared the seed types’ effect on target repression with few miRNA had canonical seed pairing in their study. Additionally,</w:t>
      </w:r>
      <w:r>
        <w:t xml:space="preserve"> </w:t>
      </w:r>
      <w:r>
        <w:t xml:space="preserve">(Bartel 2009)</w:t>
      </w:r>
      <w:r>
        <w:t xml:space="preserve"> </w:t>
      </w:r>
      <w:r>
        <w:t xml:space="preserve">and</w:t>
      </w:r>
      <w:r>
        <w:t xml:space="preserve"> </w:t>
      </w:r>
      <w:r>
        <w:t xml:space="preserve">(Betel et al. 2010)</w:t>
      </w:r>
      <w:r>
        <w:t xml:space="preserve"> </w:t>
      </w:r>
      <w:r>
        <w:t xml:space="preserve">have studied on functional and non-functional seed interactions. Based on results of these studies we have arranged seed types of miRNA:target interactions as numeric values. We also have redefined location of binding region on the target as numeric values, based on studies of</w:t>
      </w:r>
      <w:r>
        <w:t xml:space="preserve"> </w:t>
      </w:r>
      <w:r>
        <w:t xml:space="preserve">(Hausser et al. 2013)</w:t>
      </w:r>
      <w:r>
        <w:t xml:space="preserve"> </w:t>
      </w:r>
      <w:r>
        <w:t xml:space="preserve">and</w:t>
      </w:r>
      <w:r>
        <w:t xml:space="preserve"> </w:t>
      </w:r>
      <w:r>
        <w:t xml:space="preserve">(Helwak et al. 2013)</w:t>
      </w:r>
      <w:r>
        <w:t xml:space="preserve">. With this process, we have handled this entegrated dataset in context of competitor behaviours and functionality of interactions.</w:t>
      </w:r>
    </w:p>
    <w:p>
      <w:pPr>
        <w:pStyle w:val="TableCaption"/>
      </w:pPr>
      <w:r>
        <w:t xml:space="preserve">Efficiency factors for seed types.</w:t>
      </w:r>
    </w:p>
    <w:tbl>
      <w:tblPr>
        <w:tblStyle w:val="Table"/>
        <w:tblW w:type="pct" w:w="0.0"/>
        <w:tblLook w:firstRow="1"/>
        <w:tblCaption w:val="Efficiency factors for seed types."/>
      </w:tblPr>
      <w:tblGrid/>
      <w:tr>
        <w:trPr>
          <w:cnfStyle w:firstRow="1"/>
        </w:trPr>
        <w:tc>
          <w:tcPr>
            <w:tcBorders>
              <w:bottom w:val="single"/>
            </w:tcBorders>
            <w:vAlign w:val="bottom"/>
          </w:tcPr>
          <w:p>
            <w:pPr>
              <w:pStyle w:val="Compact"/>
              <w:jc w:val="left"/>
            </w:pPr>
            <w:r>
              <w:t xml:space="preserve">seed_type</w:t>
            </w:r>
          </w:p>
        </w:tc>
        <w:tc>
          <w:tcPr>
            <w:tcBorders>
              <w:bottom w:val="single"/>
            </w:tcBorders>
            <w:vAlign w:val="bottom"/>
          </w:tcPr>
          <w:p>
            <w:pPr>
              <w:pStyle w:val="Compact"/>
              <w:jc w:val="left"/>
            </w:pPr>
            <w:r>
              <w:t xml:space="preserve">Coefficient</w:t>
            </w:r>
          </w:p>
        </w:tc>
      </w:tr>
      <w:tr>
        <w:tc>
          <w:p>
            <w:pPr>
              <w:pStyle w:val="Compact"/>
              <w:jc w:val="left"/>
            </w:pPr>
            <w:r>
              <w:rPr>
                <w:rStyle w:val="VerbatimChar"/>
              </w:rPr>
              <w:t xml:space="preserve">5-mer</w:t>
            </w:r>
          </w:p>
        </w:tc>
        <w:tc>
          <w:p>
            <w:pPr>
              <w:pStyle w:val="Compact"/>
              <w:jc w:val="left"/>
            </w:pPr>
            <w:r>
              <w:rPr>
                <w:rStyle w:val="VerbatimChar"/>
              </w:rPr>
              <w:t xml:space="preserve">0.05</w:t>
            </w:r>
          </w:p>
        </w:tc>
      </w:tr>
      <w:tr>
        <w:tc>
          <w:p>
            <w:pPr>
              <w:pStyle w:val="Compact"/>
              <w:jc w:val="left"/>
            </w:pPr>
            <w:r>
              <w:rPr>
                <w:rStyle w:val="VerbatimChar"/>
              </w:rPr>
              <w:t xml:space="preserve">5-mer_noncanonical</w:t>
            </w:r>
          </w:p>
        </w:tc>
        <w:tc>
          <w:p>
            <w:pPr>
              <w:pStyle w:val="Compact"/>
              <w:jc w:val="left"/>
            </w:pPr>
            <w:r>
              <w:rPr>
                <w:rStyle w:val="VerbatimChar"/>
              </w:rPr>
              <w:t xml:space="preserve">0.04</w:t>
            </w:r>
          </w:p>
        </w:tc>
      </w:tr>
      <w:tr>
        <w:tc>
          <w:p>
            <w:pPr>
              <w:pStyle w:val="Compact"/>
              <w:jc w:val="left"/>
            </w:pPr>
            <w:r>
              <w:rPr>
                <w:rStyle w:val="VerbatimChar"/>
              </w:rPr>
              <w:t xml:space="preserve">6-mer</w:t>
            </w:r>
          </w:p>
        </w:tc>
        <w:tc>
          <w:p>
            <w:pPr>
              <w:pStyle w:val="Compact"/>
              <w:jc w:val="left"/>
            </w:pPr>
            <w:r>
              <w:rPr>
                <w:rStyle w:val="VerbatimChar"/>
              </w:rPr>
              <w:t xml:space="preserve">0.07</w:t>
            </w:r>
          </w:p>
        </w:tc>
      </w:tr>
      <w:tr>
        <w:tc>
          <w:p>
            <w:pPr>
              <w:pStyle w:val="Compact"/>
              <w:jc w:val="left"/>
            </w:pPr>
            <w:r>
              <w:rPr>
                <w:rStyle w:val="VerbatimChar"/>
              </w:rPr>
              <w:t xml:space="preserve">6-mer_noncanonical</w:t>
            </w:r>
          </w:p>
        </w:tc>
        <w:tc>
          <w:p>
            <w:pPr>
              <w:pStyle w:val="Compact"/>
              <w:jc w:val="left"/>
            </w:pPr>
            <w:r>
              <w:rPr>
                <w:rStyle w:val="VerbatimChar"/>
              </w:rPr>
              <w:t xml:space="preserve">0.05</w:t>
            </w:r>
          </w:p>
        </w:tc>
      </w:tr>
      <w:tr>
        <w:tc>
          <w:p>
            <w:pPr>
              <w:pStyle w:val="Compact"/>
              <w:jc w:val="left"/>
            </w:pPr>
            <w:r>
              <w:rPr>
                <w:rStyle w:val="VerbatimChar"/>
              </w:rPr>
              <w:t xml:space="preserve">6-merA1</w:t>
            </w:r>
          </w:p>
        </w:tc>
        <w:tc>
          <w:p>
            <w:pPr>
              <w:pStyle w:val="Compact"/>
              <w:jc w:val="left"/>
            </w:pPr>
            <w:r>
              <w:rPr>
                <w:rStyle w:val="VerbatimChar"/>
              </w:rPr>
              <w:t xml:space="preserve">0.07</w:t>
            </w:r>
          </w:p>
        </w:tc>
      </w:tr>
      <w:tr>
        <w:tc>
          <w:p>
            <w:pPr>
              <w:pStyle w:val="Compact"/>
              <w:jc w:val="left"/>
            </w:pPr>
            <w:r>
              <w:rPr>
                <w:rStyle w:val="VerbatimChar"/>
              </w:rPr>
              <w:t xml:space="preserve">6-merA1_noncanonical</w:t>
            </w:r>
          </w:p>
        </w:tc>
        <w:tc>
          <w:p>
            <w:pPr>
              <w:pStyle w:val="Compact"/>
              <w:jc w:val="left"/>
            </w:pPr>
            <w:r>
              <w:rPr>
                <w:rStyle w:val="VerbatimChar"/>
              </w:rPr>
              <w:t xml:space="preserve">0.05</w:t>
            </w:r>
          </w:p>
        </w:tc>
      </w:tr>
      <w:tr>
        <w:tc>
          <w:p>
            <w:pPr>
              <w:pStyle w:val="Compact"/>
              <w:jc w:val="left"/>
            </w:pPr>
            <w:r>
              <w:rPr>
                <w:rStyle w:val="VerbatimChar"/>
              </w:rPr>
              <w:t xml:space="preserve">7-mer</w:t>
            </w:r>
          </w:p>
        </w:tc>
        <w:tc>
          <w:p>
            <w:pPr>
              <w:pStyle w:val="Compact"/>
              <w:jc w:val="left"/>
            </w:pPr>
            <w:r>
              <w:rPr>
                <w:rStyle w:val="VerbatimChar"/>
              </w:rPr>
              <w:t xml:space="preserve">0.23</w:t>
            </w:r>
          </w:p>
        </w:tc>
      </w:tr>
      <w:tr>
        <w:tc>
          <w:p>
            <w:pPr>
              <w:pStyle w:val="Compact"/>
              <w:jc w:val="left"/>
            </w:pPr>
            <w:r>
              <w:rPr>
                <w:rStyle w:val="VerbatimChar"/>
              </w:rPr>
              <w:t xml:space="preserve">7-mer_noncanonical</w:t>
            </w:r>
          </w:p>
        </w:tc>
        <w:tc>
          <w:p>
            <w:pPr>
              <w:pStyle w:val="Compact"/>
              <w:jc w:val="left"/>
            </w:pPr>
            <w:r>
              <w:rPr>
                <w:rStyle w:val="VerbatimChar"/>
              </w:rPr>
              <w:t xml:space="preserve">0.19</w:t>
            </w:r>
          </w:p>
        </w:tc>
      </w:tr>
      <w:tr>
        <w:tc>
          <w:p>
            <w:pPr>
              <w:pStyle w:val="Compact"/>
              <w:jc w:val="left"/>
            </w:pPr>
            <w:r>
              <w:rPr>
                <w:rStyle w:val="VerbatimChar"/>
              </w:rPr>
              <w:t xml:space="preserve">7-merA1</w:t>
            </w:r>
          </w:p>
        </w:tc>
        <w:tc>
          <w:p>
            <w:pPr>
              <w:pStyle w:val="Compact"/>
              <w:jc w:val="left"/>
            </w:pPr>
            <w:r>
              <w:rPr>
                <w:rStyle w:val="VerbatimChar"/>
              </w:rPr>
              <w:t xml:space="preserve">0.19</w:t>
            </w:r>
          </w:p>
        </w:tc>
      </w:tr>
      <w:tr>
        <w:tc>
          <w:p>
            <w:pPr>
              <w:pStyle w:val="Compact"/>
              <w:jc w:val="left"/>
            </w:pPr>
            <w:r>
              <w:rPr>
                <w:rStyle w:val="VerbatimChar"/>
              </w:rPr>
              <w:t xml:space="preserve">7-merA1_noncanonical</w:t>
            </w:r>
          </w:p>
        </w:tc>
        <w:tc>
          <w:p>
            <w:pPr>
              <w:pStyle w:val="Compact"/>
              <w:jc w:val="left"/>
            </w:pPr>
            <w:r>
              <w:rPr>
                <w:rStyle w:val="VerbatimChar"/>
              </w:rPr>
              <w:t xml:space="preserve">0.16</w:t>
            </w:r>
          </w:p>
        </w:tc>
      </w:tr>
      <w:tr>
        <w:tc>
          <w:p>
            <w:pPr>
              <w:pStyle w:val="Compact"/>
              <w:jc w:val="left"/>
            </w:pPr>
            <w:r>
              <w:rPr>
                <w:rStyle w:val="VerbatimChar"/>
              </w:rPr>
              <w:t xml:space="preserve">7-mer-8m</w:t>
            </w:r>
          </w:p>
        </w:tc>
        <w:tc>
          <w:p>
            <w:pPr>
              <w:pStyle w:val="Compact"/>
              <w:jc w:val="left"/>
            </w:pPr>
            <w:r>
              <w:rPr>
                <w:rStyle w:val="VerbatimChar"/>
              </w:rPr>
              <w:t xml:space="preserve">0.25</w:t>
            </w:r>
          </w:p>
        </w:tc>
      </w:tr>
      <w:tr>
        <w:tc>
          <w:p>
            <w:pPr>
              <w:pStyle w:val="Compact"/>
              <w:jc w:val="left"/>
            </w:pPr>
            <w:r>
              <w:rPr>
                <w:rStyle w:val="VerbatimChar"/>
              </w:rPr>
              <w:t xml:space="preserve">7-mer-8m_nonacnonical</w:t>
            </w:r>
          </w:p>
        </w:tc>
        <w:tc>
          <w:p>
            <w:pPr>
              <w:pStyle w:val="Compact"/>
              <w:jc w:val="left"/>
            </w:pPr>
            <w:r>
              <w:rPr>
                <w:rStyle w:val="VerbatimChar"/>
              </w:rPr>
              <w:t xml:space="preserve">0.21</w:t>
            </w:r>
          </w:p>
        </w:tc>
      </w:tr>
      <w:tr>
        <w:tc>
          <w:p>
            <w:pPr>
              <w:pStyle w:val="Compact"/>
              <w:jc w:val="left"/>
            </w:pPr>
            <w:r>
              <w:rPr>
                <w:rStyle w:val="VerbatimChar"/>
              </w:rPr>
              <w:t xml:space="preserve">8-mer</w:t>
            </w:r>
          </w:p>
        </w:tc>
        <w:tc>
          <w:p>
            <w:pPr>
              <w:pStyle w:val="Compact"/>
              <w:jc w:val="left"/>
            </w:pPr>
            <w:r>
              <w:rPr>
                <w:rStyle w:val="VerbatimChar"/>
              </w:rPr>
              <w:t xml:space="preserve">0.43</w:t>
            </w:r>
          </w:p>
        </w:tc>
      </w:tr>
      <w:tr>
        <w:tc>
          <w:p>
            <w:pPr>
              <w:pStyle w:val="Compact"/>
              <w:jc w:val="left"/>
            </w:pPr>
            <w:r>
              <w:rPr>
                <w:rStyle w:val="VerbatimChar"/>
              </w:rPr>
              <w:t xml:space="preserve">8-mer_noncanonical</w:t>
            </w:r>
          </w:p>
        </w:tc>
        <w:tc>
          <w:p>
            <w:pPr>
              <w:pStyle w:val="Compact"/>
              <w:jc w:val="left"/>
            </w:pPr>
            <w:r>
              <w:rPr>
                <w:rStyle w:val="VerbatimChar"/>
              </w:rPr>
              <w:t xml:space="preserve">0.35</w:t>
            </w:r>
          </w:p>
        </w:tc>
      </w:tr>
      <w:tr>
        <w:tc>
          <w:p>
            <w:pPr>
              <w:pStyle w:val="Compact"/>
              <w:jc w:val="left"/>
            </w:pPr>
            <w:r>
              <w:rPr>
                <w:rStyle w:val="VerbatimChar"/>
              </w:rPr>
              <w:t xml:space="preserve">9-mer</w:t>
            </w:r>
          </w:p>
        </w:tc>
        <w:tc>
          <w:p>
            <w:pPr>
              <w:pStyle w:val="Compact"/>
              <w:jc w:val="left"/>
            </w:pPr>
            <w:r>
              <w:rPr>
                <w:rStyle w:val="VerbatimChar"/>
              </w:rPr>
              <w:t xml:space="preserve">0.43</w:t>
            </w:r>
          </w:p>
        </w:tc>
      </w:tr>
      <w:tr>
        <w:tc>
          <w:p>
            <w:pPr>
              <w:pStyle w:val="Compact"/>
              <w:jc w:val="left"/>
            </w:pPr>
            <w:r>
              <w:rPr>
                <w:rStyle w:val="VerbatimChar"/>
              </w:rPr>
              <w:t xml:space="preserve">9-mer_noncanonical</w:t>
            </w:r>
          </w:p>
        </w:tc>
        <w:tc>
          <w:p>
            <w:pPr>
              <w:pStyle w:val="Compact"/>
              <w:jc w:val="left"/>
            </w:pPr>
            <w:r>
              <w:rPr>
                <w:rStyle w:val="VerbatimChar"/>
              </w:rPr>
              <w:t xml:space="preserve">0.35</w:t>
            </w:r>
          </w:p>
        </w:tc>
      </w:tr>
      <w:tr>
        <w:tc>
          <w:p>
            <w:pPr>
              <w:pStyle w:val="Compact"/>
              <w:jc w:val="left"/>
            </w:pPr>
            <w:r>
              <w:rPr>
                <w:rStyle w:val="VerbatimChar"/>
              </w:rPr>
              <w:t xml:space="preserve">none</w:t>
            </w:r>
          </w:p>
        </w:tc>
        <w:tc>
          <w:p>
            <w:pPr>
              <w:pStyle w:val="Compact"/>
              <w:jc w:val="left"/>
            </w:pPr>
            <w:r>
              <w:rPr>
                <w:rStyle w:val="VerbatimChar"/>
              </w:rPr>
              <w:t xml:space="preserve">0.01</w:t>
            </w:r>
          </w:p>
        </w:tc>
      </w:tr>
    </w:tbl>
    <w:p>
      <w:pPr>
        <w:pStyle w:val="TableCaption"/>
      </w:pPr>
      <w:r>
        <w:t xml:space="preserve">Efficiency factors for binding regions on targets</w:t>
      </w:r>
    </w:p>
    <w:tbl>
      <w:tblPr>
        <w:tblStyle w:val="Table"/>
        <w:tblW w:type="pct" w:w="0.0"/>
        <w:tblLook w:firstRow="1"/>
        <w:tblCaption w:val="Efficiency factors for binding regions on targets"/>
      </w:tblPr>
      <w:tblGrid/>
      <w:tr>
        <w:trPr>
          <w:cnfStyle w:firstRow="1"/>
        </w:trPr>
        <w:tc>
          <w:tcPr>
            <w:tcBorders>
              <w:bottom w:val="single"/>
            </w:tcBorders>
            <w:vAlign w:val="bottom"/>
          </w:tcPr>
          <w:p>
            <w:pPr>
              <w:pStyle w:val="Compact"/>
              <w:jc w:val="left"/>
            </w:pPr>
            <w:r>
              <w:t xml:space="preserve">location of binding region on target</w:t>
            </w:r>
          </w:p>
        </w:tc>
        <w:tc>
          <w:tcPr>
            <w:tcBorders>
              <w:bottom w:val="single"/>
            </w:tcBorders>
            <w:vAlign w:val="bottom"/>
          </w:tcPr>
          <w:p>
            <w:pPr>
              <w:pStyle w:val="Compact"/>
              <w:jc w:val="left"/>
            </w:pPr>
            <w:r>
              <w:t xml:space="preserve">Coefficient</w:t>
            </w:r>
          </w:p>
        </w:tc>
      </w:tr>
      <w:tr>
        <w:tc>
          <w:p>
            <w:pPr>
              <w:pStyle w:val="Compact"/>
              <w:jc w:val="left"/>
            </w:pPr>
            <w:r>
              <w:rPr>
                <w:rStyle w:val="VerbatimChar"/>
              </w:rPr>
              <w:t xml:space="preserve">3'UTR</w:t>
            </w:r>
          </w:p>
        </w:tc>
        <w:tc>
          <w:p>
            <w:pPr>
              <w:pStyle w:val="Compact"/>
              <w:jc w:val="left"/>
            </w:pPr>
            <w:r>
              <w:rPr>
                <w:rStyle w:val="VerbatimChar"/>
              </w:rPr>
              <w:t xml:space="preserve">0.84</w:t>
            </w:r>
          </w:p>
        </w:tc>
      </w:tr>
      <w:tr>
        <w:tc>
          <w:p>
            <w:pPr>
              <w:pStyle w:val="Compact"/>
              <w:jc w:val="left"/>
            </w:pPr>
            <w:r>
              <w:rPr>
                <w:rStyle w:val="VerbatimChar"/>
              </w:rPr>
              <w:t xml:space="preserve">CDS</w:t>
            </w:r>
          </w:p>
        </w:tc>
        <w:tc>
          <w:p>
            <w:pPr>
              <w:pStyle w:val="Compact"/>
              <w:jc w:val="left"/>
            </w:pPr>
            <w:r>
              <w:rPr>
                <w:rStyle w:val="VerbatimChar"/>
              </w:rPr>
              <w:t xml:space="preserve">0.42</w:t>
            </w:r>
          </w:p>
        </w:tc>
      </w:tr>
      <w:tr>
        <w:tc>
          <w:p>
            <w:pPr>
              <w:pStyle w:val="Compact"/>
              <w:jc w:val="left"/>
            </w:pPr>
            <w:r>
              <w:rPr>
                <w:rStyle w:val="VerbatimChar"/>
              </w:rPr>
              <w:t xml:space="preserve">5'UTR</w:t>
            </w:r>
          </w:p>
        </w:tc>
        <w:tc>
          <w:p>
            <w:pPr>
              <w:pStyle w:val="Compact"/>
              <w:jc w:val="left"/>
            </w:pPr>
            <w:r>
              <w:rPr>
                <w:rStyle w:val="VerbatimChar"/>
              </w:rPr>
              <w:t xml:space="preserve">0.01</w:t>
            </w:r>
          </w:p>
        </w:tc>
      </w:tr>
    </w:tbl>
    <w:p>
      <w:pPr>
        <w:pStyle w:val="TableCaption"/>
      </w:pPr>
      <w:r>
        <w:t xml:space="preserve">Example of E9GE_mirnagenenormal dataset.</w:t>
      </w:r>
    </w:p>
    <w:tbl>
      <w:tblPr>
        <w:tblStyle w:val="Table"/>
        <w:tblW w:type="pct" w:w="4999.999999999999"/>
        <w:tblLook w:firstRow="1"/>
        <w:tblCaption w:val="Example of E9GE_mirnagenenormal dataset."/>
      </w:tblPr>
      <w:tblGrid>
        <w:gridCol w:w="1102"/>
        <w:gridCol w:w="1203"/>
        <w:gridCol w:w="1002"/>
        <w:gridCol w:w="1604"/>
        <w:gridCol w:w="902"/>
        <w:gridCol w:w="1102"/>
        <w:gridCol w:w="1002"/>
      </w:tblGrid>
      <w:tr>
        <w:trPr>
          <w:cnfStyle w:firstRow="1"/>
        </w:trPr>
        <w:tc>
          <w:tcPr>
            <w:tcBorders>
              <w:bottom w:val="single"/>
            </w:tcBorders>
            <w:vAlign w:val="bottom"/>
          </w:tcPr>
          <w:p>
            <w:pPr>
              <w:pStyle w:val="Compact"/>
              <w:jc w:val="left"/>
            </w:pPr>
            <w:r>
              <w:t xml:space="preserve">hgnc_symbol</w:t>
            </w:r>
          </w:p>
        </w:tc>
        <w:tc>
          <w:tcPr>
            <w:tcBorders>
              <w:bottom w:val="single"/>
            </w:tcBorders>
            <w:vAlign w:val="bottom"/>
          </w:tcPr>
          <w:p>
            <w:pPr>
              <w:pStyle w:val="Compact"/>
              <w:jc w:val="left"/>
            </w:pPr>
            <w:r>
              <w:t xml:space="preserve">miRNA_name</w:t>
            </w:r>
          </w:p>
        </w:tc>
        <w:tc>
          <w:tcPr>
            <w:tcBorders>
              <w:bottom w:val="single"/>
            </w:tcBorders>
            <w:vAlign w:val="bottom"/>
          </w:tcPr>
          <w:p>
            <w:pPr>
              <w:pStyle w:val="Compact"/>
              <w:jc w:val="left"/>
            </w:pPr>
            <w:r>
              <w:t xml:space="preserve">mirna_RPM</w:t>
            </w:r>
          </w:p>
        </w:tc>
        <w:tc>
          <w:tcPr>
            <w:tcBorders>
              <w:bottom w:val="single"/>
            </w:tcBorders>
            <w:vAlign w:val="bottom"/>
          </w:tcPr>
          <w:p>
            <w:pPr>
              <w:pStyle w:val="Compact"/>
              <w:jc w:val="left"/>
            </w:pPr>
            <w:r>
              <w:t xml:space="preserve">GE_normal</w:t>
            </w:r>
          </w:p>
        </w:tc>
        <w:tc>
          <w:tcPr>
            <w:tcBorders>
              <w:bottom w:val="single"/>
            </w:tcBorders>
            <w:vAlign w:val="bottom"/>
          </w:tcPr>
          <w:p>
            <w:pPr>
              <w:pStyle w:val="Compact"/>
              <w:jc w:val="left"/>
            </w:pPr>
            <w:r>
              <w:t xml:space="preserve">Energy</w:t>
            </w:r>
          </w:p>
        </w:tc>
        <w:tc>
          <w:tcPr>
            <w:tcBorders>
              <w:bottom w:val="single"/>
            </w:tcBorders>
            <w:vAlign w:val="bottom"/>
          </w:tcPr>
          <w:p>
            <w:pPr>
              <w:pStyle w:val="Compact"/>
              <w:jc w:val="left"/>
            </w:pPr>
            <w:r>
              <w:t xml:space="preserve">seed_type_effect</w:t>
            </w:r>
          </w:p>
        </w:tc>
        <w:tc>
          <w:tcPr>
            <w:tcBorders>
              <w:bottom w:val="single"/>
            </w:tcBorders>
            <w:vAlign w:val="bottom"/>
          </w:tcPr>
          <w:p>
            <w:pPr>
              <w:pStyle w:val="Compact"/>
              <w:jc w:val="left"/>
            </w:pPr>
            <w:r>
              <w:t xml:space="preserve">region_effect</w:t>
            </w:r>
          </w:p>
        </w:tc>
      </w:tr>
      <w:tr>
        <w:tc>
          <w:p>
            <w:pPr>
              <w:pStyle w:val="Compact"/>
              <w:jc w:val="left"/>
            </w:pPr>
            <w:r>
              <w:t xml:space="preserve">CCNG1</w:t>
            </w:r>
          </w:p>
        </w:tc>
        <w:tc>
          <w:p>
            <w:pPr>
              <w:pStyle w:val="Compact"/>
              <w:jc w:val="left"/>
            </w:pPr>
            <w:r>
              <w:t xml:space="preserve">hsa-let-7a-5p</w:t>
            </w:r>
          </w:p>
        </w:tc>
        <w:tc>
          <w:p>
            <w:pPr>
              <w:pStyle w:val="Compact"/>
              <w:jc w:val="left"/>
            </w:pPr>
            <w:r>
              <w:t xml:space="preserve">111204.15</w:t>
            </w:r>
          </w:p>
        </w:tc>
        <w:tc>
          <w:p>
            <w:pPr>
              <w:pStyle w:val="Compact"/>
              <w:jc w:val="left"/>
            </w:pPr>
            <w:r>
              <w:t xml:space="preserve">5245.00</w:t>
            </w:r>
          </w:p>
        </w:tc>
        <w:tc>
          <w:p>
            <w:pPr>
              <w:pStyle w:val="Compact"/>
              <w:jc w:val="left"/>
            </w:pPr>
            <w:r>
              <w:t xml:space="preserve">-25.10</w:t>
            </w:r>
          </w:p>
        </w:tc>
        <w:tc>
          <w:p>
            <w:pPr>
              <w:pStyle w:val="Compact"/>
              <w:jc w:val="left"/>
            </w:pPr>
            <w:r>
              <w:t xml:space="preserve">0.05</w:t>
            </w:r>
          </w:p>
        </w:tc>
        <w:tc>
          <w:p>
            <w:pPr>
              <w:pStyle w:val="Compact"/>
              <w:jc w:val="left"/>
            </w:pPr>
            <w:r>
              <w:t xml:space="preserve">0.84</w:t>
            </w:r>
          </w:p>
        </w:tc>
      </w:tr>
      <w:tr>
        <w:tc>
          <w:p>
            <w:pPr>
              <w:pStyle w:val="Compact"/>
              <w:jc w:val="left"/>
            </w:pPr>
            <w:r>
              <w:t xml:space="preserve">DICER1</w:t>
            </w:r>
          </w:p>
        </w:tc>
        <w:tc>
          <w:p>
            <w:pPr>
              <w:pStyle w:val="Compact"/>
              <w:jc w:val="left"/>
            </w:pPr>
            <w:r>
              <w:t xml:space="preserve">hsa-let-7a-5p</w:t>
            </w:r>
          </w:p>
        </w:tc>
        <w:tc>
          <w:p>
            <w:pPr>
              <w:pStyle w:val="Compact"/>
              <w:jc w:val="left"/>
            </w:pPr>
            <w:r>
              <w:t xml:space="preserve">111204.15</w:t>
            </w:r>
          </w:p>
        </w:tc>
        <w:tc>
          <w:p>
            <w:pPr>
              <w:pStyle w:val="Compact"/>
              <w:jc w:val="left"/>
            </w:pPr>
            <w:r>
              <w:t xml:space="preserve">3285.00</w:t>
            </w:r>
          </w:p>
        </w:tc>
        <w:tc>
          <w:p>
            <w:pPr>
              <w:pStyle w:val="Compact"/>
              <w:jc w:val="left"/>
            </w:pPr>
            <w:r>
              <w:t xml:space="preserve">-24.40</w:t>
            </w:r>
          </w:p>
        </w:tc>
        <w:tc>
          <w:p>
            <w:pPr>
              <w:pStyle w:val="Compact"/>
              <w:jc w:val="left"/>
            </w:pPr>
            <w:r>
              <w:t xml:space="preserve">0.43</w:t>
            </w:r>
          </w:p>
        </w:tc>
        <w:tc>
          <w:p>
            <w:pPr>
              <w:pStyle w:val="Compact"/>
              <w:jc w:val="left"/>
            </w:pPr>
            <w:r>
              <w:t xml:space="preserve">0.42</w:t>
            </w:r>
          </w:p>
        </w:tc>
      </w:tr>
      <w:tr>
        <w:tc>
          <w:p>
            <w:pPr>
              <w:pStyle w:val="Compact"/>
              <w:jc w:val="left"/>
            </w:pPr>
            <w:r>
              <w:t xml:space="preserve">SESN1</w:t>
            </w:r>
          </w:p>
        </w:tc>
        <w:tc>
          <w:p>
            <w:pPr>
              <w:pStyle w:val="Compact"/>
              <w:jc w:val="left"/>
            </w:pPr>
            <w:r>
              <w:t xml:space="preserve">hsa-let-7a-5p</w:t>
            </w:r>
          </w:p>
        </w:tc>
        <w:tc>
          <w:p>
            <w:pPr>
              <w:pStyle w:val="Compact"/>
              <w:jc w:val="left"/>
            </w:pPr>
            <w:r>
              <w:t xml:space="preserve">111204.15</w:t>
            </w:r>
          </w:p>
        </w:tc>
        <w:tc>
          <w:p>
            <w:pPr>
              <w:pStyle w:val="Compact"/>
              <w:jc w:val="left"/>
            </w:pPr>
            <w:r>
              <w:t xml:space="preserve">1179.00</w:t>
            </w:r>
          </w:p>
        </w:tc>
        <w:tc>
          <w:p>
            <w:pPr>
              <w:pStyle w:val="Compact"/>
              <w:jc w:val="left"/>
            </w:pPr>
            <w:r>
              <w:t xml:space="preserve">-22.20</w:t>
            </w:r>
          </w:p>
        </w:tc>
        <w:tc>
          <w:p>
            <w:pPr>
              <w:pStyle w:val="Compact"/>
              <w:jc w:val="left"/>
            </w:pPr>
            <w:r>
              <w:t xml:space="preserve">0.05</w:t>
            </w:r>
          </w:p>
        </w:tc>
        <w:tc>
          <w:p>
            <w:pPr>
              <w:pStyle w:val="Compact"/>
              <w:jc w:val="left"/>
            </w:pPr>
            <w:r>
              <w:t xml:space="preserve">0.93</w:t>
            </w:r>
          </w:p>
        </w:tc>
      </w:tr>
      <w:tr>
        <w:tc>
          <w:p>
            <w:pPr>
              <w:pStyle w:val="Compact"/>
              <w:jc w:val="left"/>
            </w:pPr>
            <w:r>
              <w:t xml:space="preserve">NIPBL</w:t>
            </w:r>
          </w:p>
        </w:tc>
        <w:tc>
          <w:p>
            <w:pPr>
              <w:pStyle w:val="Compact"/>
              <w:jc w:val="left"/>
            </w:pPr>
            <w:r>
              <w:t xml:space="preserve">hsa-let-7a-5p</w:t>
            </w:r>
          </w:p>
        </w:tc>
        <w:tc>
          <w:p>
            <w:pPr>
              <w:pStyle w:val="Compact"/>
              <w:jc w:val="left"/>
            </w:pPr>
            <w:r>
              <w:t xml:space="preserve">111204.15</w:t>
            </w:r>
          </w:p>
        </w:tc>
        <w:tc>
          <w:p>
            <w:pPr>
              <w:pStyle w:val="Compact"/>
              <w:jc w:val="left"/>
            </w:pPr>
            <w:r>
              <w:t xml:space="preserve">4503.00</w:t>
            </w:r>
          </w:p>
        </w:tc>
        <w:tc>
          <w:p>
            <w:pPr>
              <w:pStyle w:val="Compact"/>
              <w:jc w:val="left"/>
            </w:pPr>
            <w:r>
              <w:t xml:space="preserve">-22.10</w:t>
            </w:r>
          </w:p>
        </w:tc>
        <w:tc>
          <w:p>
            <w:pPr>
              <w:pStyle w:val="Compact"/>
              <w:jc w:val="left"/>
            </w:pPr>
            <w:r>
              <w:t xml:space="preserve">0.05</w:t>
            </w:r>
          </w:p>
        </w:tc>
        <w:tc>
          <w:p>
            <w:pPr>
              <w:pStyle w:val="Compact"/>
              <w:jc w:val="left"/>
            </w:pPr>
            <w:r>
              <w:t xml:space="preserve">0.42</w:t>
            </w:r>
          </w:p>
        </w:tc>
      </w:tr>
      <w:tr>
        <w:tc>
          <w:p>
            <w:pPr>
              <w:pStyle w:val="Compact"/>
              <w:jc w:val="left"/>
            </w:pPr>
            <w:r>
              <w:t xml:space="preserve">INTS12</w:t>
            </w:r>
          </w:p>
        </w:tc>
        <w:tc>
          <w:p>
            <w:pPr>
              <w:pStyle w:val="Compact"/>
              <w:jc w:val="left"/>
            </w:pPr>
            <w:r>
              <w:t xml:space="preserve">hsa-let-7a-5p</w:t>
            </w:r>
          </w:p>
        </w:tc>
        <w:tc>
          <w:p>
            <w:pPr>
              <w:pStyle w:val="Compact"/>
              <w:jc w:val="left"/>
            </w:pPr>
            <w:r>
              <w:t xml:space="preserve">111204.15</w:t>
            </w:r>
          </w:p>
        </w:tc>
        <w:tc>
          <w:p>
            <w:pPr>
              <w:pStyle w:val="Compact"/>
              <w:jc w:val="left"/>
            </w:pPr>
            <w:r>
              <w:t xml:space="preserve">600.00</w:t>
            </w:r>
          </w:p>
        </w:tc>
        <w:tc>
          <w:p>
            <w:pPr>
              <w:pStyle w:val="Compact"/>
              <w:jc w:val="left"/>
            </w:pPr>
            <w:r>
              <w:t xml:space="preserve">-21.90</w:t>
            </w:r>
          </w:p>
        </w:tc>
        <w:tc>
          <w:p>
            <w:pPr>
              <w:pStyle w:val="Compact"/>
              <w:jc w:val="left"/>
            </w:pPr>
            <w:r>
              <w:t xml:space="preserve">0.05</w:t>
            </w:r>
          </w:p>
        </w:tc>
        <w:tc>
          <w:p>
            <w:pPr>
              <w:pStyle w:val="Compact"/>
              <w:jc w:val="left"/>
            </w:pPr>
            <w:r>
              <w:t xml:space="preserve">0.42</w:t>
            </w:r>
          </w:p>
        </w:tc>
      </w:tr>
      <w:tr>
        <w:tc>
          <w:p>
            <w:pPr>
              <w:pStyle w:val="Compact"/>
              <w:jc w:val="left"/>
            </w:pPr>
            <w:r>
              <w:t xml:space="preserve">FNIP1</w:t>
            </w:r>
          </w:p>
        </w:tc>
        <w:tc>
          <w:p>
            <w:pPr>
              <w:pStyle w:val="Compact"/>
              <w:jc w:val="left"/>
            </w:pPr>
            <w:r>
              <w:t xml:space="preserve">hsa-let-7a-5p</w:t>
            </w:r>
          </w:p>
        </w:tc>
        <w:tc>
          <w:p>
            <w:pPr>
              <w:pStyle w:val="Compact"/>
              <w:jc w:val="left"/>
            </w:pPr>
            <w:r>
              <w:t xml:space="preserve">111204.15</w:t>
            </w:r>
          </w:p>
        </w:tc>
        <w:tc>
          <w:p>
            <w:pPr>
              <w:pStyle w:val="Compact"/>
              <w:jc w:val="left"/>
            </w:pPr>
            <w:r>
              <w:t xml:space="preserve">1248.00</w:t>
            </w:r>
          </w:p>
        </w:tc>
        <w:tc>
          <w:p>
            <w:pPr>
              <w:pStyle w:val="Compact"/>
              <w:jc w:val="left"/>
            </w:pPr>
            <w:r>
              <w:t xml:space="preserve">-21.80</w:t>
            </w:r>
          </w:p>
        </w:tc>
        <w:tc>
          <w:p>
            <w:pPr>
              <w:pStyle w:val="Compact"/>
              <w:jc w:val="left"/>
            </w:pPr>
            <w:r>
              <w:t xml:space="preserve">0.43</w:t>
            </w:r>
          </w:p>
        </w:tc>
        <w:tc>
          <w:p>
            <w:pPr>
              <w:pStyle w:val="Compact"/>
              <w:jc w:val="left"/>
            </w:pPr>
            <w:r>
              <w:t xml:space="preserve">0.84</w:t>
            </w:r>
          </w:p>
        </w:tc>
      </w:tr>
    </w:tbl>
    <w:p>
      <w:pPr>
        <w:pStyle w:val="BodyText"/>
      </w:pPr>
      <w:r>
        <w:t xml:space="preserve">As a result of simulation a dataset, a graph object is obtained that includes various variables in edge and node data. A graph object includes variables at followings.</w:t>
      </w:r>
    </w:p>
    <w:p>
      <w:pPr>
        <w:pStyle w:val="Heading2"/>
      </w:pPr>
      <w:bookmarkStart w:id="20" w:name="references"/>
      <w:r>
        <w:t xml:space="preserve">REFERENCES</w:t>
      </w:r>
      <w:bookmarkEnd w:id="20"/>
    </w:p>
    <w:bookmarkStart w:id="32" w:name="refs"/>
    <w:bookmarkStart w:id="22" w:name="ref-bartel_micrornas:_2009"/>
    <w:p>
      <w:pPr>
        <w:pStyle w:val="Bibliography"/>
      </w:pPr>
      <w:r>
        <w:t xml:space="preserve">Bartel, David P. 2009. “MicroRNAs: Target Recognition and Regulatory Functions.”</w:t>
      </w:r>
      <w:r>
        <w:t xml:space="preserve"> </w:t>
      </w:r>
      <w:r>
        <w:rPr>
          <w:i/>
        </w:rPr>
        <w:t xml:space="preserve">Cell</w:t>
      </w:r>
      <w:r>
        <w:t xml:space="preserve"> </w:t>
      </w:r>
      <w:r>
        <w:t xml:space="preserve">136 (2): 215–33.</w:t>
      </w:r>
      <w:r>
        <w:t xml:space="preserve"> </w:t>
      </w:r>
      <w:hyperlink r:id="rId21">
        <w:r>
          <w:rPr>
            <w:rStyle w:val="Hyperlink"/>
          </w:rPr>
          <w:t xml:space="preserve">https://doi.org/10.1016/j.cell.2009.01.002</w:t>
        </w:r>
      </w:hyperlink>
      <w:r>
        <w:t xml:space="preserve">.</w:t>
      </w:r>
    </w:p>
    <w:bookmarkEnd w:id="22"/>
    <w:bookmarkStart w:id="23" w:name="ref-betel2010comprehensive"/>
    <w:p>
      <w:pPr>
        <w:pStyle w:val="Bibliography"/>
      </w:pPr>
      <w:r>
        <w:t xml:space="preserve">Betel, Doron, Anjali Koppal, Phaedra Agius, Chris Sander, and Christina Leslie. 2010. “Comprehensive Modeling of microRNA Targets Predicts Functional Non-Conserved and Non-Canonical Sites.”</w:t>
      </w:r>
      <w:r>
        <w:t xml:space="preserve"> </w:t>
      </w:r>
      <w:r>
        <w:rPr>
          <w:i/>
        </w:rPr>
        <w:t xml:space="preserve">Genome Biology</w:t>
      </w:r>
      <w:r>
        <w:t xml:space="preserve"> </w:t>
      </w:r>
      <w:r>
        <w:t xml:space="preserve">11 (8): R90.</w:t>
      </w:r>
    </w:p>
    <w:bookmarkEnd w:id="23"/>
    <w:bookmarkStart w:id="25" w:name="ref-grimson_microrna_2007"/>
    <w:p>
      <w:pPr>
        <w:pStyle w:val="Bibliography"/>
      </w:pPr>
      <w:r>
        <w:t xml:space="preserve">Grimson, Andrew, Kyle Kai-How Farh, Wendy K. Johnston, Philip Garrett-Engele, Lee P. Lim, and David P. Bartel. 2007. “MicroRNA Targeting Specificity in Mammals: Determinants Beyond Seed Pairing.”</w:t>
      </w:r>
      <w:r>
        <w:t xml:space="preserve"> </w:t>
      </w:r>
      <w:r>
        <w:rPr>
          <w:i/>
        </w:rPr>
        <w:t xml:space="preserve">Molecular Cell</w:t>
      </w:r>
      <w:r>
        <w:t xml:space="preserve"> </w:t>
      </w:r>
      <w:r>
        <w:t xml:space="preserve">27 (1): 91–105.</w:t>
      </w:r>
      <w:r>
        <w:t xml:space="preserve"> </w:t>
      </w:r>
      <w:hyperlink r:id="rId24">
        <w:r>
          <w:rPr>
            <w:rStyle w:val="Hyperlink"/>
          </w:rPr>
          <w:t xml:space="preserve">https://doi.org/10.1016/j.molcel.2007.06.017</w:t>
        </w:r>
      </w:hyperlink>
      <w:r>
        <w:t xml:space="preserve">.</w:t>
      </w:r>
    </w:p>
    <w:bookmarkEnd w:id="25"/>
    <w:bookmarkStart w:id="27" w:name="ref-hausser_analysis_2013"/>
    <w:p>
      <w:pPr>
        <w:pStyle w:val="Bibliography"/>
      </w:pPr>
      <w:r>
        <w:t xml:space="preserve">Hausser, J., A. P. Syed, B. Bilen, and M. Zavolan. 2013. “Analysis of CDS-Located miRNA Target Sites Suggests That They Can Effectively Inhibit Translation.”</w:t>
      </w:r>
      <w:r>
        <w:t xml:space="preserve"> </w:t>
      </w:r>
      <w:r>
        <w:rPr>
          <w:i/>
        </w:rPr>
        <w:t xml:space="preserve">Genome Research</w:t>
      </w:r>
      <w:r>
        <w:t xml:space="preserve"> </w:t>
      </w:r>
      <w:r>
        <w:t xml:space="preserve">23 (4): 604–15.</w:t>
      </w:r>
      <w:r>
        <w:t xml:space="preserve"> </w:t>
      </w:r>
      <w:hyperlink r:id="rId26">
        <w:r>
          <w:rPr>
            <w:rStyle w:val="Hyperlink"/>
          </w:rPr>
          <w:t xml:space="preserve">https://doi.org/10.1101/gr.139758.112</w:t>
        </w:r>
      </w:hyperlink>
      <w:r>
        <w:t xml:space="preserve">.</w:t>
      </w:r>
    </w:p>
    <w:bookmarkEnd w:id="27"/>
    <w:bookmarkStart w:id="29" w:name="ref-helwak_mapping_2013"/>
    <w:p>
      <w:pPr>
        <w:pStyle w:val="Bibliography"/>
      </w:pPr>
      <w:r>
        <w:t xml:space="preserve">Helwak, Aleksandra, Grzegorz Kudla, Tatiana Dudnakova, and David Tollervey. 2013. “Mapping the Human miRNA Interactome by CLASH Reveals Frequent Noncanonical Binding.”</w:t>
      </w:r>
      <w:r>
        <w:t xml:space="preserve"> </w:t>
      </w:r>
      <w:r>
        <w:rPr>
          <w:i/>
        </w:rPr>
        <w:t xml:space="preserve">Cell</w:t>
      </w:r>
      <w:r>
        <w:t xml:space="preserve"> </w:t>
      </w:r>
      <w:r>
        <w:t xml:space="preserve">153 (3): 654–65.</w:t>
      </w:r>
      <w:r>
        <w:t xml:space="preserve"> </w:t>
      </w:r>
      <w:hyperlink r:id="rId28">
        <w:r>
          <w:rPr>
            <w:rStyle w:val="Hyperlink"/>
          </w:rPr>
          <w:t xml:space="preserve">https://doi.org/10.1016/j.cell.2013.03.043</w:t>
        </w:r>
      </w:hyperlink>
      <w:r>
        <w:t xml:space="preserve">.</w:t>
      </w:r>
    </w:p>
    <w:bookmarkEnd w:id="29"/>
    <w:bookmarkStart w:id="31" w:name="ref-moore_mirnatarget_2015"/>
    <w:p>
      <w:pPr>
        <w:pStyle w:val="Bibliography"/>
      </w:pPr>
      <w:r>
        <w:t xml:space="preserve">Moore, Michael J., Troels K. H. Scheel, Joseph M. Luna, Christopher Y. Park, John J. Fak, Eiko Nishiuchi, Charles M. Rice, and Robert B. Darnell. 2015. “miRNA-Target Chimeras Reveal miRNA 3’-End Pairing as a Major Determinant of Argonaute Target Specificity.”</w:t>
      </w:r>
      <w:r>
        <w:t xml:space="preserve"> </w:t>
      </w:r>
      <w:r>
        <w:rPr>
          <w:i/>
        </w:rPr>
        <w:t xml:space="preserve">Nature Communications</w:t>
      </w:r>
      <w:r>
        <w:t xml:space="preserve"> </w:t>
      </w:r>
      <w:r>
        <w:t xml:space="preserve">6 (November): 8864.</w:t>
      </w:r>
      <w:r>
        <w:t xml:space="preserve"> </w:t>
      </w:r>
      <w:hyperlink r:id="rId30">
        <w:r>
          <w:rPr>
            <w:rStyle w:val="Hyperlink"/>
          </w:rPr>
          <w:t xml:space="preserve">https://doi.org/10.1038/ncomms9864</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16/j.cell.2009.01.002" TargetMode="External" /><Relationship Type="http://schemas.openxmlformats.org/officeDocument/2006/relationships/hyperlink" Id="rId28" Target="https://doi.org/10.1016/j.cell.2013.03.043" TargetMode="External" /><Relationship Type="http://schemas.openxmlformats.org/officeDocument/2006/relationships/hyperlink" Id="rId24" Target="https://doi.org/10.1016/j.molcel.2007.06.017" TargetMode="External" /><Relationship Type="http://schemas.openxmlformats.org/officeDocument/2006/relationships/hyperlink" Id="rId30" Target="https://doi.org/10.1038/ncomms9864" TargetMode="External" /><Relationship Type="http://schemas.openxmlformats.org/officeDocument/2006/relationships/hyperlink" Id="rId26" Target="https://doi.org/10.1101/gr.139758.11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16/j.cell.2009.01.002" TargetMode="External" /><Relationship Type="http://schemas.openxmlformats.org/officeDocument/2006/relationships/hyperlink" Id="rId28" Target="https://doi.org/10.1016/j.cell.2013.03.043" TargetMode="External" /><Relationship Type="http://schemas.openxmlformats.org/officeDocument/2006/relationships/hyperlink" Id="rId24" Target="https://doi.org/10.1016/j.molcel.2007.06.017" TargetMode="External" /><Relationship Type="http://schemas.openxmlformats.org/officeDocument/2006/relationships/hyperlink" Id="rId30" Target="https://doi.org/10.1038/ncomms9864" TargetMode="External" /><Relationship Type="http://schemas.openxmlformats.org/officeDocument/2006/relationships/hyperlink" Id="rId26" Target="https://doi.org/10.1101/gr.139758.1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Tables</dc:title>
  <dc:creator>Selcen Arı</dc:creator>
  <cp:keywords/>
  <dcterms:created xsi:type="dcterms:W3CDTF">2019-09-17T09:11:40Z</dcterms:created>
  <dcterms:modified xsi:type="dcterms:W3CDTF">2019-09-17T09:11:40Z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16 09 2019</vt:lpwstr>
  </property>
  <property fmtid="{D5CDD505-2E9C-101B-9397-08002B2CF9AE}" pid="4" name="header-includes">
    <vt:lpwstr> </vt:lpwstr>
  </property>
  <property fmtid="{D5CDD505-2E9C-101B-9397-08002B2CF9AE}" pid="5" name="output">
    <vt:lpwstr/>
  </property>
</Properties>
</file>