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KOK NEDEN ANALİZİ RAPORU</w:t>
      </w:r>
    </w:p>
    <w:p/>
    <w:p>
      <w:pPr>
        <w:jc w:val="center"/>
      </w:pPr>
      <w:r>
        <w:rPr>
          <w:i/>
          <w:color w:val="2E6DA4"/>
          <w:sz w:val="28"/>
        </w:rPr>
        <w:t>HSG245 Metodolojisi ile Hazırlanmıştır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4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4"/>
        </w:rPr>
        <w:t>1.3 Kritik Kök Nedenler</w:t>
      </w:r>
    </w:p>
    <w:p/>
    <w:p>
      <w:pPr>
        <w:spacing w:before="200" w:after="80"/>
      </w:pPr>
      <w:r>
        <w:rPr>
          <w:b/>
          <w:color w:val="2E6DA4"/>
          <w:sz w:val="24"/>
        </w:rPr>
        <w:t>1.4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4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4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 - HSG245 / 5 WHY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3.1 HSG245 Metodolojisi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3.2 5-Why Tekniği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3.3 Kod Sistemi</w:t>
      </w:r>
    </w:p>
    <w:p/>
    <w:p>
      <w:pPr>
        <w:spacing w:before="200" w:after="80"/>
      </w:pPr>
      <w:r>
        <w:rPr>
          <w:b/>
          <w:color w:val="2E6DA4"/>
          <w:sz w:val="24"/>
        </w:rPr>
        <w:t>3.4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KATKIDA BULUNAN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8.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9.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10.1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10.2 Kısa Vadeli Önlemler (1-2 Ay)</w:t>
      </w:r>
    </w:p>
    <w:p/>
    <w:p>
      <w:pPr>
        <w:spacing w:before="200" w:after="80"/>
      </w:pPr>
      <w:r>
        <w:rPr>
          <w:b/>
          <w:color w:val="2E6DA4"/>
          <w:sz w:val="24"/>
        </w:rPr>
        <w:t>10.3 Uzun Vadeli İyileştirmeler (3-12 Ay)</w:t>
      </w:r>
    </w:p>
    <w:p/>
    <w:p>
      <w:pPr>
        <w:spacing w:before="200" w:after="80"/>
      </w:pPr>
      <w:r>
        <w:rPr>
          <w:b/>
          <w:color w:val="2E6DA4"/>
          <w:sz w:val="24"/>
        </w:rPr>
        <w:t>10.4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11.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