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INC-20260305-144008</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12.02.2026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MAOG Projesi - Mersin-Adana Kesimi KM 359+300</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Kayıp İş Günlü Kaza (LTI) - Kazı Göçüğü</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12.02.2026 tarihinde saat 16:15'te atık su hattı deplase çalışması sırasında 2,60 m derinliğindeki kazı alanında boru montajı yapan plastik kaynakçısı Nuri Karakuş, 94 mm yağış sonrası zemin stabilitesinin kritik seviyede bozulduğu ve şev/iksa uygulanmayan kazı yüzeyinde meydana gelen ani toprak kayması sonucu göçük altında kalmış ve hastaneye kaldırılmıştır.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MAOG Projesi Mersin-Adana kesiminde atık su hattı deplase çalışması kapsamında, yetkililerin yağış nedeniyle çalışmayı durdurma kararı verip sahadan ayrılmasının ardından çalışanların yetkisiz olarak işe devam etmesi sonucu, 2,60 m derinliğindeki şev/iksa uygulanmamış kazı alanında göçük meydana gelmiş ve kazazede toprak kütlesi altında kalarak yaralanmıştır.</w:t>
      </w:r>
    </w:p>
    <w:p>
      <w:pPr>
        <w:spacing w:before="80" w:after="120"/>
      </w:pPr>
      <w:r>
        <w:rPr>
          <w:b w:val="0"/>
          <w:i w:val="0"/>
          <w:color w:val="444444"/>
          <w:sz w:val="18"/>
        </w:rPr>
        <w:t>MAOG Projesi - Mersin-Adana Kesimi KM 359+300, atık su hattı deplase kazı alanı</w:t>
      </w:r>
    </w:p>
    <w:p>
      <w:pPr>
        <w:spacing w:before="80" w:after="120"/>
      </w:pPr>
      <w:r>
        <w:rPr>
          <w:b w:val="0"/>
          <w:i w:val="0"/>
          <w:color w:val="444444"/>
          <w:sz w:val="18"/>
        </w:rPr>
        <w:t>Nuri Karakuş (50 yaş, Plastik Kaynakçısı, Akdeniz Altyapı çalışanı) - bilinci açık şekilde Adana Şehir Hastanesi'ne sevk edildi</w:t>
      </w:r>
    </w:p>
    <w:p>
      <w:pPr>
        <w:spacing w:before="80" w:after="120"/>
      </w:pPr>
      <w:r>
        <w:rPr>
          <w:b w:val="0"/>
          <w:i w:val="0"/>
          <w:color w:val="444444"/>
          <w:sz w:val="18"/>
        </w:rPr>
        <w:t>Kazazede ekip arkadaşları tarafından yaklaşık 5 dakika içinde göçük altından kurtarıldı. Eş zamanlı olarak 112 Acil Sağlık ve REC Acil Çağrı hattına bildirim yapıldı. Saat 16:40'ta olay yerine ulaşan 112 ambulans ekibi tarafından bilinci açık şekilde Adana Şehir Hastanesi'ne sevk edildi. Olay yeri güvenliğe alındı ve tüm kazı çalışmaları proje genelinde durduruldu.</w:t>
      </w:r>
    </w:p>
    <w:p/>
    <w:p>
      <w:pPr>
        <w:spacing w:before="200" w:after="80"/>
      </w:pPr>
      <w:r>
        <w:rPr>
          <w:b/>
          <w:color w:val="2E6DA4"/>
          <w:sz w:val="22"/>
        </w:rPr>
        <w:t>1.2 Temel Bulgular</w:t>
      </w:r>
    </w:p>
    <w:p>
      <w:pPr>
        <w:spacing w:before="40" w:after="40"/>
      </w:pPr>
      <w:r>
        <w:rPr>
          <w:color w:val="444444"/>
          <w:sz w:val="20"/>
        </w:rPr>
        <w:t xml:space="preserve">  94 mm yağış (Şubat ortalamasının %115'i) sonrası majör çevresel değişim koşullarında PTW otomatik iptal mekanizması işletilmedi</w:t>
      </w:r>
    </w:p>
    <w:p>
      <w:pPr>
        <w:spacing w:before="40" w:after="40"/>
      </w:pPr>
      <w:r>
        <w:rPr>
          <w:color w:val="444444"/>
          <w:sz w:val="20"/>
        </w:rPr>
        <w:t xml:space="preserve">  2,60 m derinliğindeki kazıda prosedür gereği zorunlu olan şev/iksa uygulaması yapılmadı</w:t>
      </w:r>
    </w:p>
    <w:p>
      <w:pPr>
        <w:spacing w:before="40" w:after="40"/>
      </w:pPr>
      <w:r>
        <w:rPr>
          <w:color w:val="444444"/>
          <w:sz w:val="20"/>
        </w:rPr>
        <w:t xml:space="preserve">  Şantiye şefi ve İSG denetçisi çalışmayı durdurma kararı verip sahadan ayrıldıktan sonra çalışanlar yetkisiz olarak işe devam etti</w:t>
      </w:r>
    </w:p>
    <w:p>
      <w:pPr>
        <w:spacing w:before="40" w:after="40"/>
      </w:pPr>
      <w:r>
        <w:rPr>
          <w:color w:val="444444"/>
          <w:sz w:val="20"/>
        </w:rPr>
        <w:t xml:space="preserve">  7 aktif lokasyonu 3 kişilik denetim kadrosuyla takip eden yapıda, kaza günü deplase şefi izindeydi ve vekil belirlenmemişti</w:t>
      </w:r>
    </w:p>
    <w:p>
      <w:pPr>
        <w:spacing w:before="40" w:after="40"/>
      </w:pPr>
      <w:r>
        <w:rPr>
          <w:color w:val="444444"/>
          <w:sz w:val="20"/>
        </w:rPr>
        <w:t xml:space="preserve">  777 uygunsuzluk kaydı, 54 iş durdurma ve şev/iksa uygulamalarında sistematik uyumsuzluğa rağmen yönetim düzeltici aksiyon almadı</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kazı çalışmalarının proje genelinde durdurulması ve güvenlik denetimi</w:t>
            </w:r>
          </w:p>
        </w:tc>
        <w:tc>
          <w:tcPr>
            <w:tcW w:type="dxa" w:w="3120"/>
            <w:shd w:val="clear" w:color="auto" w:fill="F5F5F5"/>
            <w:tcMar>
              <w:top w:w="80" w:type="dxa"/>
              <w:bottom w:w="80" w:type="dxa"/>
              <w:left w:w="120" w:type="dxa"/>
              <w:right w:w="120" w:type="dxa"/>
            </w:tcMar>
          </w:tcPr>
          <w:p>
            <w:r>
              <w:rPr>
                <w:sz w:val="20"/>
              </w:rPr>
              <w:t>Proje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Kazazedenin tıbbi takibi ve SGK bildirimlerinin yapılması</w:t>
            </w:r>
          </w:p>
        </w:tc>
        <w:tc>
          <w:tcPr>
            <w:tcW w:type="dxa" w:w="3120"/>
            <w:shd w:val="clear" w:color="auto" w:fill="FFFFFF"/>
            <w:tcMar>
              <w:top w:w="80" w:type="dxa"/>
              <w:bottom w:w="80" w:type="dxa"/>
              <w:left w:w="120" w:type="dxa"/>
              <w:right w:w="120" w:type="dxa"/>
            </w:tcMar>
          </w:tcPr>
          <w:p>
            <w:r>
              <w:rPr>
                <w:sz w:val="20"/>
              </w:rPr>
              <w:t>İK Müdürü</w:t>
            </w:r>
          </w:p>
        </w:tc>
        <w:tc>
          <w:tcPr>
            <w:tcW w:type="dxa" w:w="3120"/>
            <w:shd w:val="clear" w:color="auto" w:fill="FFFFFF"/>
            <w:tcMar>
              <w:top w:w="80" w:type="dxa"/>
              <w:bottom w:w="80" w:type="dxa"/>
              <w:left w:w="120" w:type="dxa"/>
              <w:right w:w="120" w:type="dxa"/>
            </w:tcMar>
          </w:tcPr>
          <w:p>
            <w:r>
              <w:rPr>
                <w:sz w:val="20"/>
              </w:rPr>
              <w:t>Devam ediyor</w:t>
            </w:r>
          </w:p>
        </w:tc>
      </w:tr>
      <w:tr>
        <w:tc>
          <w:tcPr>
            <w:tcW w:type="dxa" w:w="3120"/>
            <w:shd w:val="clear" w:color="auto" w:fill="F5F5F5"/>
            <w:tcMar>
              <w:top w:w="80" w:type="dxa"/>
              <w:bottom w:w="80" w:type="dxa"/>
              <w:left w:w="120" w:type="dxa"/>
              <w:right w:w="120" w:type="dxa"/>
            </w:tcMar>
          </w:tcPr>
          <w:p>
            <w:r>
              <w:rPr>
                <w:sz w:val="20"/>
              </w:rPr>
              <w:t>Olay yeri incelemesi ve kanıt toplama çalışmalarının tamamlanması</w:t>
            </w:r>
          </w:p>
        </w:tc>
        <w:tc>
          <w:tcPr>
            <w:tcW w:type="dxa" w:w="3120"/>
            <w:shd w:val="clear" w:color="auto" w:fill="F5F5F5"/>
            <w:tcMar>
              <w:top w:w="80" w:type="dxa"/>
              <w:bottom w:w="80" w:type="dxa"/>
              <w:left w:w="120" w:type="dxa"/>
              <w:right w:w="120" w:type="dxa"/>
            </w:tcMar>
          </w:tcPr>
          <w:p>
            <w:r>
              <w:rPr>
                <w:sz w:val="20"/>
              </w:rPr>
              <w:t>HSE Yöneticisi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Düzenleyici kurumlara (İSGÜM, SGK, İl Müdürlüğü) yasal bildirimlerin yapılması</w:t>
            </w:r>
          </w:p>
        </w:tc>
        <w:tc>
          <w:tcPr>
            <w:tcW w:type="dxa" w:w="3120"/>
            <w:shd w:val="clear" w:color="auto" w:fill="FFFFFF"/>
            <w:tcMar>
              <w:top w:w="80" w:type="dxa"/>
              <w:bottom w:w="80" w:type="dxa"/>
              <w:left w:w="120" w:type="dxa"/>
              <w:right w:w="120" w:type="dxa"/>
            </w:tcMar>
          </w:tcPr>
          <w:p>
            <w:r>
              <w:rPr>
                <w:sz w:val="20"/>
              </w:rPr>
              <w:t>Hukuk Müşaviri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kazı alanlarında acil şev/iksa kontrolü ve eksikliklerin giderilmesi</w:t>
            </w:r>
          </w:p>
        </w:tc>
        <w:tc>
          <w:tcPr>
            <w:tcW w:type="dxa" w:w="3120"/>
            <w:shd w:val="clear" w:color="auto" w:fill="F5F5F5"/>
            <w:tcMar>
              <w:top w:w="80" w:type="dxa"/>
              <w:bottom w:w="80" w:type="dxa"/>
              <w:left w:w="120" w:type="dxa"/>
              <w:right w:w="120" w:type="dxa"/>
            </w:tcMar>
          </w:tcPr>
          <w:p>
            <w:r>
              <w:rPr>
                <w:sz w:val="20"/>
              </w:rPr>
              <w:t>Teknik Müdür</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PTW sisteminin majör çevresel değişim kurallarına göre revize edilmesi</w:t>
            </w:r>
          </w:p>
        </w:tc>
        <w:tc>
          <w:tcPr>
            <w:tcW w:type="dxa" w:w="3120"/>
            <w:shd w:val="clear" w:color="auto" w:fill="FFFFFF"/>
            <w:tcMar>
              <w:top w:w="80" w:type="dxa"/>
              <w:bottom w:w="80" w:type="dxa"/>
              <w:left w:w="120" w:type="dxa"/>
              <w:right w:w="120" w:type="dxa"/>
            </w:tcMar>
          </w:tcPr>
          <w:p>
            <w:r>
              <w:rPr>
                <w:sz w:val="20"/>
              </w:rPr>
              <w:t>HSE Uzmanı</w:t>
            </w:r>
          </w:p>
        </w:tc>
        <w:tc>
          <w:tcPr>
            <w:tcW w:type="dxa" w:w="3120"/>
            <w:shd w:val="clear" w:color="auto" w:fill="FFFFFF"/>
            <w:tcMar>
              <w:top w:w="80" w:type="dxa"/>
              <w:bottom w:w="80" w:type="dxa"/>
              <w:left w:w="120" w:type="dxa"/>
              <w:right w:w="120" w:type="dxa"/>
            </w:tcMar>
          </w:tcPr>
          <w:p>
            <w:r>
              <w:rPr>
                <w:sz w:val="20"/>
              </w:rPr>
              <w:t>Planlandı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INC-20260305-144008 / RECA-MAOG-IRP-26-00765</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12.02.2026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16:15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MAOG Projesi - Mersin-Adana Kesimi KM 359+300</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Atık Su Hattı Deplase Çalışması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Nuri Karakuş (50 yaş, Plastik Kaynakçısı)</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(08:00-18:00)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600 mm çapında beton boru, kazı ekipmanları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Toprak dolgu malzemesi, beton borular</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Şiddetli yağış (94 mm/24 saat), 13-15°C, majör çevresel değişim</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Gün ışığı (16:15)</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Baret, iş ayakkabısı, iş eldiveni (KKD kullanımı mevcut)</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Kazı göçüğü - toprak kayması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Kayıp İş Günlü Kaza (LTI) - hastaneye sevk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(Nuri Karakuş)</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Ciddi (Severity Level 2 - Serious)</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(05.03.26 tarihinde bildirildi)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İbrahim Karademir (ekip arkadaşı) - kazı yüzeyinde hareketlilik fark etti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(112 Acil Sağlık - 16:15)</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Adana Şehir Hastanesi'ne sevk (bilinci açık)</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08:00</w:t>
            </w:r>
          </w:p>
        </w:tc>
        <w:tc>
          <w:tcPr>
            <w:tcW w:type="dxa" w:w="4680"/>
            <w:shd w:val="clear" w:color="auto" w:fill="D6E4F0"/>
            <w:tcMar>
              <w:top w:w="80" w:type="dxa"/>
              <w:bottom w:w="80" w:type="dxa"/>
              <w:left w:w="120" w:type="dxa"/>
              <w:right w:w="120" w:type="dxa"/>
            </w:tcMar>
          </w:tcPr>
          <w:p>
            <w:r>
              <w:rPr>
                <w:sz w:val="20"/>
              </w:rPr>
              <w:t>Çalışma başlangıcı - TRIC kart eğitimi verildi (konu: Demir tezgah çalışmaları - iş kapsamıyla uyumsuz)</w:t>
            </w:r>
          </w:p>
        </w:tc>
      </w:tr>
      <w:tr>
        <w:tc>
          <w:tcPr>
            <w:tcW w:type="dxa" w:w="4680"/>
            <w:shd w:val="clear" w:color="auto" w:fill="FFFFFF"/>
            <w:tcMar>
              <w:top w:w="80" w:type="dxa"/>
              <w:bottom w:w="80" w:type="dxa"/>
              <w:left w:w="120" w:type="dxa"/>
              <w:right w:w="120" w:type="dxa"/>
            </w:tcMar>
          </w:tcPr>
          <w:p>
            <w:r>
              <w:rPr>
                <w:b/>
                <w:color w:val="1B3A5C"/>
                <w:sz w:val="20"/>
              </w:rPr>
              <w:t>08:30</w:t>
            </w:r>
          </w:p>
        </w:tc>
        <w:tc>
          <w:tcPr>
            <w:tcW w:type="dxa" w:w="4680"/>
            <w:shd w:val="clear" w:color="auto" w:fill="FFFFFF"/>
            <w:tcMar>
              <w:top w:w="80" w:type="dxa"/>
              <w:bottom w:w="80" w:type="dxa"/>
              <w:left w:w="120" w:type="dxa"/>
              <w:right w:w="120" w:type="dxa"/>
            </w:tcMar>
          </w:tcPr>
          <w:p>
            <w:r>
              <w:rPr>
                <w:sz w:val="20"/>
              </w:rPr>
              <w:t>Kazı ve boru montaj çalışmalarına başlandı</w:t>
            </w:r>
          </w:p>
        </w:tc>
      </w:tr>
      <w:tr>
        <w:tc>
          <w:tcPr>
            <w:tcW w:type="dxa" w:w="4680"/>
            <w:shd w:val="clear" w:color="auto" w:fill="D6E4F0"/>
            <w:tcMar>
              <w:top w:w="80" w:type="dxa"/>
              <w:bottom w:w="80" w:type="dxa"/>
              <w:left w:w="120" w:type="dxa"/>
              <w:right w:w="120" w:type="dxa"/>
            </w:tcMar>
          </w:tcPr>
          <w:p>
            <w:r>
              <w:rPr>
                <w:b/>
                <w:color w:val="1B3A5C"/>
                <w:sz w:val="20"/>
              </w:rPr>
              <w:t>08:00-11:40</w:t>
            </w:r>
          </w:p>
        </w:tc>
        <w:tc>
          <w:tcPr>
            <w:tcW w:type="dxa" w:w="4680"/>
            <w:shd w:val="clear" w:color="auto" w:fill="D6E4F0"/>
            <w:tcMar>
              <w:top w:w="80" w:type="dxa"/>
              <w:bottom w:w="80" w:type="dxa"/>
              <w:left w:w="120" w:type="dxa"/>
              <w:right w:w="120" w:type="dxa"/>
            </w:tcMar>
          </w:tcPr>
          <w:p>
            <w:r>
              <w:rPr>
                <w:sz w:val="20"/>
              </w:rPr>
              <w:t>600 mm çapında 8 adet beton borunun montajı tamamlandı ve dolgu ile kapatıldı</w:t>
            </w:r>
          </w:p>
        </w:tc>
      </w:tr>
      <w:tr>
        <w:tc>
          <w:tcPr>
            <w:tcW w:type="dxa" w:w="4680"/>
            <w:shd w:val="clear" w:color="auto" w:fill="FFFFFF"/>
            <w:tcMar>
              <w:top w:w="80" w:type="dxa"/>
              <w:bottom w:w="80" w:type="dxa"/>
              <w:left w:w="120" w:type="dxa"/>
              <w:right w:w="120" w:type="dxa"/>
            </w:tcMar>
          </w:tcPr>
          <w:p>
            <w:r>
              <w:rPr>
                <w:b/>
                <w:color w:val="1B3A5C"/>
                <w:sz w:val="20"/>
              </w:rPr>
              <w:t>11:40-13:15</w:t>
            </w:r>
          </w:p>
        </w:tc>
        <w:tc>
          <w:tcPr>
            <w:tcW w:type="dxa" w:w="4680"/>
            <w:shd w:val="clear" w:color="auto" w:fill="FFFFFF"/>
            <w:tcMar>
              <w:top w:w="80" w:type="dxa"/>
              <w:bottom w:w="80" w:type="dxa"/>
              <w:left w:w="120" w:type="dxa"/>
              <w:right w:w="120" w:type="dxa"/>
            </w:tcMar>
          </w:tcPr>
          <w:p>
            <w:r>
              <w:rPr>
                <w:sz w:val="20"/>
              </w:rPr>
              <w:t>Öğle yemeği molası</w:t>
            </w:r>
          </w:p>
        </w:tc>
      </w:tr>
      <w:tr>
        <w:tc>
          <w:tcPr>
            <w:tcW w:type="dxa" w:w="4680"/>
            <w:shd w:val="clear" w:color="auto" w:fill="D6E4F0"/>
            <w:tcMar>
              <w:top w:w="80" w:type="dxa"/>
              <w:bottom w:w="80" w:type="dxa"/>
              <w:left w:w="120" w:type="dxa"/>
              <w:right w:w="120" w:type="dxa"/>
            </w:tcMar>
          </w:tcPr>
          <w:p>
            <w:r>
              <w:rPr>
                <w:b/>
                <w:color w:val="1B3A5C"/>
                <w:sz w:val="20"/>
              </w:rPr>
              <w:t>13:15-15:15</w:t>
            </w:r>
          </w:p>
        </w:tc>
        <w:tc>
          <w:tcPr>
            <w:tcW w:type="dxa" w:w="4680"/>
            <w:shd w:val="clear" w:color="auto" w:fill="D6E4F0"/>
            <w:tcMar>
              <w:top w:w="80" w:type="dxa"/>
              <w:bottom w:w="80" w:type="dxa"/>
              <w:left w:w="120" w:type="dxa"/>
              <w:right w:w="120" w:type="dxa"/>
            </w:tcMar>
          </w:tcPr>
          <w:p>
            <w:r>
              <w:rPr>
                <w:sz w:val="20"/>
              </w:rPr>
              <w:t>3 adet daha beton boru montajı tamamlandı (toplam 11 adet). Saat 14:30'da yağmur başladı ve şiddeti arttı</w:t>
            </w:r>
          </w:p>
        </w:tc>
      </w:tr>
      <w:tr>
        <w:tc>
          <w:tcPr>
            <w:tcW w:type="dxa" w:w="4680"/>
            <w:shd w:val="clear" w:color="auto" w:fill="FFFFFF"/>
            <w:tcMar>
              <w:top w:w="80" w:type="dxa"/>
              <w:bottom w:w="80" w:type="dxa"/>
              <w:left w:w="120" w:type="dxa"/>
              <w:right w:w="120" w:type="dxa"/>
            </w:tcMar>
          </w:tcPr>
          <w:p>
            <w:r>
              <w:rPr>
                <w:b/>
                <w:color w:val="1B3A5C"/>
                <w:sz w:val="20"/>
              </w:rPr>
              <w:t>15:15</w:t>
            </w:r>
          </w:p>
        </w:tc>
        <w:tc>
          <w:tcPr>
            <w:tcW w:type="dxa" w:w="4680"/>
            <w:shd w:val="clear" w:color="auto" w:fill="FFFFFF"/>
            <w:tcMar>
              <w:top w:w="80" w:type="dxa"/>
              <w:bottom w:w="80" w:type="dxa"/>
              <w:left w:w="120" w:type="dxa"/>
              <w:right w:w="120" w:type="dxa"/>
            </w:tcMar>
          </w:tcPr>
          <w:p>
            <w:r>
              <w:rPr>
                <w:sz w:val="20"/>
              </w:rPr>
              <w:t>Alt işveren şantiye şefi Niyazi Tanrıverdi sahaya geldi, yağış nedeniyle çalışmanın sonlandırılmasına karar verildi</w:t>
            </w:r>
          </w:p>
        </w:tc>
      </w:tr>
      <w:tr>
        <w:tc>
          <w:tcPr>
            <w:tcW w:type="dxa" w:w="4680"/>
            <w:shd w:val="clear" w:color="auto" w:fill="D6E4F0"/>
            <w:tcMar>
              <w:top w:w="80" w:type="dxa"/>
              <w:bottom w:w="80" w:type="dxa"/>
              <w:left w:w="120" w:type="dxa"/>
              <w:right w:w="120" w:type="dxa"/>
            </w:tcMar>
          </w:tcPr>
          <w:p>
            <w:r>
              <w:rPr>
                <w:b/>
                <w:color w:val="1B3A5C"/>
                <w:sz w:val="20"/>
              </w:rPr>
              <w:t>15:30</w:t>
            </w:r>
          </w:p>
        </w:tc>
        <w:tc>
          <w:tcPr>
            <w:tcW w:type="dxa" w:w="4680"/>
            <w:shd w:val="clear" w:color="auto" w:fill="D6E4F0"/>
            <w:tcMar>
              <w:top w:w="80" w:type="dxa"/>
              <w:bottom w:w="80" w:type="dxa"/>
              <w:left w:w="120" w:type="dxa"/>
              <w:right w:w="120" w:type="dxa"/>
            </w:tcMar>
          </w:tcPr>
          <w:p>
            <w:r>
              <w:rPr>
                <w:sz w:val="20"/>
              </w:rPr>
              <w:t>REC OSGB İSG denetçisi Harun Bedircan sahaya geldi, çalışma durdurma kararını teyit etti. Her iki yetkili de sahadan ayrıldı</w:t>
            </w:r>
          </w:p>
        </w:tc>
      </w:tr>
      <w:tr>
        <w:tc>
          <w:tcPr>
            <w:tcW w:type="dxa" w:w="4680"/>
            <w:shd w:val="clear" w:color="auto" w:fill="FFFFFF"/>
            <w:tcMar>
              <w:top w:w="80" w:type="dxa"/>
              <w:bottom w:w="80" w:type="dxa"/>
              <w:left w:w="120" w:type="dxa"/>
              <w:right w:w="120" w:type="dxa"/>
            </w:tcMar>
          </w:tcPr>
          <w:p>
            <w:r>
              <w:rPr>
                <w:b/>
                <w:color w:val="1B3A5C"/>
                <w:sz w:val="20"/>
              </w:rPr>
              <w:t>16:10</w:t>
            </w:r>
          </w:p>
        </w:tc>
        <w:tc>
          <w:tcPr>
            <w:tcW w:type="dxa" w:w="4680"/>
            <w:shd w:val="clear" w:color="auto" w:fill="FFFFFF"/>
            <w:tcMar>
              <w:top w:w="80" w:type="dxa"/>
              <w:bottom w:w="80" w:type="dxa"/>
              <w:left w:w="120" w:type="dxa"/>
              <w:right w:w="120" w:type="dxa"/>
            </w:tcMar>
          </w:tcPr>
          <w:p>
            <w:r>
              <w:rPr>
                <w:sz w:val="20"/>
              </w:rPr>
              <w:t>Çalışanlar (Gürkan Demir + Nuri Karakuş) sundurma taşıyıcı ayağının kazı kenarında boşaldığını gördü, çökme riski değerlendirerek 12. borunun montajını tamamlama kararını yetkisiz olarak aldı</w:t>
            </w:r>
          </w:p>
        </w:tc>
      </w:tr>
      <w:tr>
        <w:tc>
          <w:tcPr>
            <w:tcW w:type="dxa" w:w="4680"/>
            <w:shd w:val="clear" w:color="auto" w:fill="D6E4F0"/>
            <w:tcMar>
              <w:top w:w="80" w:type="dxa"/>
              <w:bottom w:w="80" w:type="dxa"/>
              <w:left w:w="120" w:type="dxa"/>
              <w:right w:w="120" w:type="dxa"/>
            </w:tcMar>
          </w:tcPr>
          <w:p>
            <w:r>
              <w:rPr>
                <w:b/>
                <w:color w:val="1B3A5C"/>
                <w:sz w:val="20"/>
              </w:rPr>
              <w:t>16:15</w:t>
            </w:r>
          </w:p>
        </w:tc>
        <w:tc>
          <w:tcPr>
            <w:tcW w:type="dxa" w:w="4680"/>
            <w:shd w:val="clear" w:color="auto" w:fill="D6E4F0"/>
            <w:tcMar>
              <w:top w:w="80" w:type="dxa"/>
              <w:bottom w:w="80" w:type="dxa"/>
              <w:left w:w="120" w:type="dxa"/>
              <w:right w:w="120" w:type="dxa"/>
            </w:tcMar>
          </w:tcPr>
          <w:p>
            <w:r>
              <w:rPr>
                <w:sz w:val="20"/>
              </w:rPr>
              <w:t>Nuri Karakuş kazı alanına girdi, zemin düzenleme sırasında kuzey kazı yüzeyinde çatlak oluştu, ekip arkadaşları uyardı</w:t>
            </w:r>
          </w:p>
        </w:tc>
      </w:tr>
      <w:tr>
        <w:tc>
          <w:tcPr>
            <w:tcW w:type="dxa" w:w="4680"/>
            <w:shd w:val="clear" w:color="auto" w:fill="FFFFFF"/>
            <w:tcMar>
              <w:top w:w="80" w:type="dxa"/>
              <w:bottom w:w="80" w:type="dxa"/>
              <w:left w:w="120" w:type="dxa"/>
              <w:right w:w="120" w:type="dxa"/>
            </w:tcMar>
          </w:tcPr>
          <w:p>
            <w:r>
              <w:rPr>
                <w:b/>
                <w:color w:val="1B3A5C"/>
                <w:sz w:val="20"/>
              </w:rPr>
              <w:t>16:15</w:t>
            </w:r>
          </w:p>
        </w:tc>
        <w:tc>
          <w:tcPr>
            <w:tcW w:type="dxa" w:w="4680"/>
            <w:shd w:val="clear" w:color="auto" w:fill="FFFFFF"/>
            <w:tcMar>
              <w:top w:w="80" w:type="dxa"/>
              <w:bottom w:w="80" w:type="dxa"/>
              <w:left w:w="120" w:type="dxa"/>
              <w:right w:w="120" w:type="dxa"/>
            </w:tcMar>
          </w:tcPr>
          <w:p>
            <w:r>
              <w:rPr>
                <w:sz w:val="20"/>
              </w:rPr>
              <w:t>Ani toprak kayması meydana geldi, kazazede göçük altında kaldı. 112 Acil ve REC Acil Çağrı hattı arandı</w:t>
            </w:r>
          </w:p>
        </w:tc>
      </w:tr>
      <w:tr>
        <w:tc>
          <w:tcPr>
            <w:tcW w:type="dxa" w:w="4680"/>
            <w:shd w:val="clear" w:color="auto" w:fill="D6E4F0"/>
            <w:tcMar>
              <w:top w:w="80" w:type="dxa"/>
              <w:bottom w:w="80" w:type="dxa"/>
              <w:left w:w="120" w:type="dxa"/>
              <w:right w:w="120" w:type="dxa"/>
            </w:tcMar>
          </w:tcPr>
          <w:p>
            <w:r>
              <w:rPr>
                <w:b/>
                <w:color w:val="1B3A5C"/>
                <w:sz w:val="20"/>
              </w:rPr>
              <w:t>16:15-16:20</w:t>
            </w:r>
          </w:p>
        </w:tc>
        <w:tc>
          <w:tcPr>
            <w:tcW w:type="dxa" w:w="4680"/>
            <w:shd w:val="clear" w:color="auto" w:fill="D6E4F0"/>
            <w:tcMar>
              <w:top w:w="80" w:type="dxa"/>
              <w:bottom w:w="80" w:type="dxa"/>
              <w:left w:w="120" w:type="dxa"/>
              <w:right w:w="120" w:type="dxa"/>
            </w:tcMar>
          </w:tcPr>
          <w:p>
            <w:r>
              <w:rPr>
                <w:sz w:val="20"/>
              </w:rPr>
              <w:t>Ekip tarafından göçük altından kurtarma (yaklaşık 5 dakika), ilk yardım uygulandı (bak-dinle-hisset, şok pozisyonu)</w:t>
            </w:r>
          </w:p>
        </w:tc>
      </w:tr>
      <w:tr>
        <w:tc>
          <w:tcPr>
            <w:tcW w:type="dxa" w:w="4680"/>
            <w:shd w:val="clear" w:color="auto" w:fill="FFFFFF"/>
            <w:tcMar>
              <w:top w:w="80" w:type="dxa"/>
              <w:bottom w:w="80" w:type="dxa"/>
              <w:left w:w="120" w:type="dxa"/>
              <w:right w:w="120" w:type="dxa"/>
            </w:tcMar>
          </w:tcPr>
          <w:p>
            <w:r>
              <w:rPr>
                <w:b/>
                <w:color w:val="1B3A5C"/>
                <w:sz w:val="20"/>
              </w:rPr>
              <w:t>16:40</w:t>
            </w:r>
          </w:p>
        </w:tc>
        <w:tc>
          <w:tcPr>
            <w:tcW w:type="dxa" w:w="4680"/>
            <w:shd w:val="clear" w:color="auto" w:fill="FFFFFF"/>
            <w:tcMar>
              <w:top w:w="80" w:type="dxa"/>
              <w:bottom w:w="80" w:type="dxa"/>
              <w:left w:w="120" w:type="dxa"/>
              <w:right w:w="120" w:type="dxa"/>
            </w:tcMar>
          </w:tcPr>
          <w:p>
            <w:r>
              <w:rPr>
                <w:sz w:val="20"/>
              </w:rPr>
              <w:t>112 ambulans ekibi olay yerine ulaştı, kazazede bilinci açık şekilde Adana Şehir Hastanesi'ne sevk edildi</w:t>
            </w:r>
          </w:p>
        </w:tc>
      </w:tr>
      <w:tr>
        <w:tc>
          <w:tcPr>
            <w:tcW w:type="dxa" w:w="4680"/>
            <w:shd w:val="clear" w:color="auto" w:fill="D6E4F0"/>
            <w:tcMar>
              <w:top w:w="80" w:type="dxa"/>
              <w:bottom w:w="80" w:type="dxa"/>
              <w:left w:w="120" w:type="dxa"/>
              <w:right w:w="120" w:type="dxa"/>
            </w:tcMar>
          </w:tcPr>
          <w:p>
            <w:r>
              <w:rPr>
                <w:b/>
                <w:color w:val="1B3A5C"/>
                <w:sz w:val="20"/>
              </w:rPr>
              <w:t>17:00</w:t>
            </w:r>
          </w:p>
        </w:tc>
        <w:tc>
          <w:tcPr>
            <w:tcW w:type="dxa" w:w="4680"/>
            <w:shd w:val="clear" w:color="auto" w:fill="D6E4F0"/>
            <w:tcMar>
              <w:top w:w="80" w:type="dxa"/>
              <w:bottom w:w="80" w:type="dxa"/>
              <w:left w:w="120" w:type="dxa"/>
              <w:right w:w="120" w:type="dxa"/>
            </w:tcMar>
          </w:tcPr>
          <w:p>
            <w:r>
              <w:rPr>
                <w:sz w:val="20"/>
              </w:rPr>
              <w:t>Olay yeri güvenliğe alındı, tüm kazı çalışmaları proje genelinde durduruldu, soruşturma ekibi görevlendirildi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Kayıp İş Günlü Kaza (LTI) - kazazede göçük altında kalmış, bilinci açık şekilde hastaneye sevk edilmiştir. Ciddi yaralanma riski gerçekleşmiştir.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Ölümlü kaza potansiyeli yüksek - 2,60 m derinliğindeki kazıda şev/iksa olmadan, 94 mm yağış sonrası zemin stabilitesinin kritik seviyede bozulduğu koşullarda göçük meydana gelmiştir. Kazazedenin göçük altından 5 dakika içinde kurtarılması hayati önem taşımıştır.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(High Level) - LTI, RIDDOR kapsamında, majör çevresel değişim koşulları, çoklu prosedür ihlali ve organizasyonel faktörler nedeniyle kapsamlı soruşturma gereklidir</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- 05.03.26 tarihinde RIDDOR kapsamında bildirim yapılmıştır (hastaneye sevk, LTI)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doğrudan nedenden başlayarak 'Neden?' sorusunu art arda sorarak kök nedene ulaşmayı sağlayan yapılandırılmış bir analiz yöntemidir. Bu kazada her üç dal için 5-Why zinciri uygulanmıştır. Birinci dalda yetkisiz çalışma başlatma davranışından (Why 1: Çalışanlar neden yetkisiz başlattı?) → sahada gözetim boşluğuna (Why 2: Neden gözetim yoktu?) → yapısal denetim yetersizliğine (Why 3: Neden denetim kapasitesi yetersizdi?) → yönetimin bilinen sapmalara müdahale etmemesine (Why 4: Neden 777 uygunsuzluğa rağmen aksiyon alınmadı?) ulaşılmıştır. İkinci dalda korunmasız kazı koşulundan başlayarak benzer bir zincir personel/iş yükü planlaması eksikliğine, üçüncü dalda ise majör çevresel değişim koşullarından başlayarak iş izin sisteminin etkisiz işletilmesine ulaşılmıştır. Her Why seviyesinde rapordaki somut kanıtlar (777 uygunsuzluk kaydı, 7 lokasyon/2 tekniker oranı, PTW güncellenmemesi vb.) kullanılarak analiz doğrulanmıştır.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Çalışanların bireysel davranışları, kararları ve eylemleri: bilgi eksikliği, beceri yetersizliği, dikkatsizlik, yorgunluk, yetkisiz sapma, risk algısı bozukluğu gibi insan faktörleri</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Fiziksel çalışma ortamı ve ekipman durumu: korunmasız tehlike, ekipman arızası, tasarım hatası, çevresel koşullar (hava, aydınlatma, gürültü), ergonomi sorunları, güvensiz durum</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İşin tasarımı, planlanması ve yürütülmesi: iş talimatları, prosedürler, görev karmaşıklığı, zaman baskısı, iş yükü, ekipman uygunluğu, bakım eksiklikleri</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sistemleri, kültür ve organizasyonel kararlar: politika yetersizlikleri, kaynak tahsisi, eğitim eksiklikleri, iletişim bozuklukları, gözetim yetersizliği, güvenlik kültürü, yönetim taahhüdü, sapmalara tolerans</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Miraç Burak Navruz</w:t>
            </w:r>
          </w:p>
        </w:tc>
        <w:tc>
          <w:tcPr>
            <w:tcW w:type="dxa" w:w="3120"/>
            <w:shd w:val="clear" w:color="auto" w:fill="F5F5F5"/>
            <w:tcMar>
              <w:top w:w="80" w:type="dxa"/>
              <w:bottom w:w="80" w:type="dxa"/>
              <w:left w:w="120" w:type="dxa"/>
              <w:right w:w="120" w:type="dxa"/>
            </w:tcMar>
          </w:tcPr>
          <w:p>
            <w:r>
              <w:rPr>
                <w:sz w:val="20"/>
              </w:rPr>
              <w:t>Baş Araştırmacı / HSE Uzmanı</w:t>
            </w:r>
          </w:p>
        </w:tc>
        <w:tc>
          <w:tcPr>
            <w:tcW w:type="dxa" w:w="3120"/>
            <w:shd w:val="clear" w:color="auto" w:fill="F5F5F5"/>
            <w:tcMar>
              <w:top w:w="80" w:type="dxa"/>
              <w:bottom w:w="80" w:type="dxa"/>
              <w:left w:w="120" w:type="dxa"/>
              <w:right w:w="120" w:type="dxa"/>
            </w:tcMar>
          </w:tcPr>
          <w:p>
            <w:r>
              <w:rPr>
                <w:sz w:val="20"/>
              </w:rPr>
              <w:t>12.02.2026</w:t>
            </w:r>
          </w:p>
        </w:tc>
      </w:tr>
      <w:tr>
        <w:tc>
          <w:tcPr>
            <w:tcW w:type="dxa" w:w="3120"/>
            <w:shd w:val="clear" w:color="auto" w:fill="FFFFFF"/>
            <w:tcMar>
              <w:top w:w="80" w:type="dxa"/>
              <w:bottom w:w="80" w:type="dxa"/>
              <w:left w:w="120" w:type="dxa"/>
              <w:right w:w="120" w:type="dxa"/>
            </w:tcMar>
          </w:tcPr>
          <w:p>
            <w:r>
              <w:rPr>
                <w:sz w:val="20"/>
              </w:rPr>
              <w:t>Yeliz Sert</w:t>
            </w:r>
          </w:p>
        </w:tc>
        <w:tc>
          <w:tcPr>
            <w:tcW w:type="dxa" w:w="3120"/>
            <w:shd w:val="clear" w:color="auto" w:fill="FFFFFF"/>
            <w:tcMar>
              <w:top w:w="80" w:type="dxa"/>
              <w:bottom w:w="80" w:type="dxa"/>
              <w:left w:w="120" w:type="dxa"/>
              <w:right w:w="120" w:type="dxa"/>
            </w:tcMar>
          </w:tcPr>
          <w:p>
            <w:r>
              <w:rPr>
                <w:sz w:val="20"/>
              </w:rPr>
              <w:t>Yardımcı Araştırmacı / HSE Uzmanı</w:t>
            </w:r>
          </w:p>
        </w:tc>
        <w:tc>
          <w:tcPr>
            <w:tcW w:type="dxa" w:w="3120"/>
            <w:shd w:val="clear" w:color="auto" w:fill="FFFFFF"/>
            <w:tcMar>
              <w:top w:w="80" w:type="dxa"/>
              <w:bottom w:w="80" w:type="dxa"/>
              <w:left w:w="120" w:type="dxa"/>
              <w:right w:w="120" w:type="dxa"/>
            </w:tcMar>
          </w:tcPr>
          <w:p>
            <w:r>
              <w:rPr>
                <w:sz w:val="20"/>
              </w:rPr>
              <w:t>12.02.2026</w:t>
            </w:r>
          </w:p>
        </w:tc>
      </w:tr>
      <w:tr>
        <w:tc>
          <w:tcPr>
            <w:tcW w:type="dxa" w:w="3120"/>
            <w:shd w:val="clear" w:color="auto" w:fill="F5F5F5"/>
            <w:tcMar>
              <w:top w:w="80" w:type="dxa"/>
              <w:bottom w:w="80" w:type="dxa"/>
              <w:left w:w="120" w:type="dxa"/>
              <w:right w:w="120" w:type="dxa"/>
            </w:tcMar>
          </w:tcPr>
          <w:p>
            <w:r>
              <w:rPr>
                <w:sz w:val="20"/>
              </w:rPr>
              <w:t>Kıvanç Soydemir</w:t>
            </w:r>
          </w:p>
        </w:tc>
        <w:tc>
          <w:tcPr>
            <w:tcW w:type="dxa" w:w="3120"/>
            <w:shd w:val="clear" w:color="auto" w:fill="F5F5F5"/>
            <w:tcMar>
              <w:top w:w="80" w:type="dxa"/>
              <w:bottom w:w="80" w:type="dxa"/>
              <w:left w:w="120" w:type="dxa"/>
              <w:right w:w="120" w:type="dxa"/>
            </w:tcMar>
          </w:tcPr>
          <w:p>
            <w:r>
              <w:rPr>
                <w:sz w:val="20"/>
              </w:rPr>
              <w:t>Onaylayan / HSE Yöneticisi</w:t>
            </w:r>
          </w:p>
        </w:tc>
        <w:tc>
          <w:tcPr>
            <w:tcW w:type="dxa" w:w="3120"/>
            <w:shd w:val="clear" w:color="auto" w:fill="F5F5F5"/>
            <w:tcMar>
              <w:top w:w="80" w:type="dxa"/>
              <w:bottom w:w="80" w:type="dxa"/>
              <w:left w:w="120" w:type="dxa"/>
              <w:right w:w="120" w:type="dxa"/>
            </w:tcMar>
          </w:tcPr>
          <w:p>
            <w:r>
              <w:rPr>
                <w:sz w:val="20"/>
              </w:rPr>
              <w:t>12.02.2026</w:t>
            </w:r>
          </w:p>
        </w:tc>
      </w:tr>
      <w:tr>
        <w:tc>
          <w:tcPr>
            <w:tcW w:type="dxa" w:w="3120"/>
            <w:shd w:val="clear" w:color="auto" w:fill="FFFFFF"/>
            <w:tcMar>
              <w:top w:w="80" w:type="dxa"/>
              <w:bottom w:w="80" w:type="dxa"/>
              <w:left w:w="120" w:type="dxa"/>
              <w:right w:w="120" w:type="dxa"/>
            </w:tcMar>
          </w:tcPr>
          <w:p>
            <w:r>
              <w:rPr>
                <w:sz w:val="20"/>
              </w:rPr>
              <w:t>Engin Gürpınar</w:t>
            </w:r>
          </w:p>
        </w:tc>
        <w:tc>
          <w:tcPr>
            <w:tcW w:type="dxa" w:w="3120"/>
            <w:shd w:val="clear" w:color="auto" w:fill="FFFFFF"/>
            <w:tcMar>
              <w:top w:w="80" w:type="dxa"/>
              <w:bottom w:w="80" w:type="dxa"/>
              <w:left w:w="120" w:type="dxa"/>
              <w:right w:w="120" w:type="dxa"/>
            </w:tcMar>
          </w:tcPr>
          <w:p>
            <w:r>
              <w:rPr>
                <w:sz w:val="20"/>
              </w:rPr>
              <w:t>Onaylayan / Proje Müdürü</w:t>
            </w:r>
          </w:p>
        </w:tc>
        <w:tc>
          <w:tcPr>
            <w:tcW w:type="dxa" w:w="3120"/>
            <w:shd w:val="clear" w:color="auto" w:fill="FFFFFF"/>
            <w:tcMar>
              <w:top w:w="80" w:type="dxa"/>
              <w:bottom w:w="80" w:type="dxa"/>
              <w:left w:w="120" w:type="dxa"/>
              <w:right w:w="120" w:type="dxa"/>
            </w:tcMar>
          </w:tcPr>
          <w:p>
            <w:r>
              <w:rPr>
                <w:sz w:val="20"/>
              </w:rPr>
              <w:t>12.02.2026</w:t>
            </w:r>
          </w:p>
        </w:tc>
      </w:tr>
      <w:tr>
        <w:tc>
          <w:tcPr>
            <w:tcW w:type="dxa" w:w="3120"/>
            <w:shd w:val="clear" w:color="auto" w:fill="F5F5F5"/>
            <w:tcMar>
              <w:top w:w="80" w:type="dxa"/>
              <w:bottom w:w="80" w:type="dxa"/>
              <w:left w:w="120" w:type="dxa"/>
              <w:right w:w="120" w:type="dxa"/>
            </w:tcMar>
          </w:tcPr>
          <w:p>
            <w:r>
              <w:rPr>
                <w:sz w:val="20"/>
              </w:rPr>
              <w:t>Burak Kekevi</w:t>
            </w:r>
          </w:p>
        </w:tc>
        <w:tc>
          <w:tcPr>
            <w:tcW w:type="dxa" w:w="3120"/>
            <w:shd w:val="clear" w:color="auto" w:fill="F5F5F5"/>
            <w:tcMar>
              <w:top w:w="80" w:type="dxa"/>
              <w:bottom w:w="80" w:type="dxa"/>
              <w:left w:w="120" w:type="dxa"/>
              <w:right w:w="120" w:type="dxa"/>
            </w:tcMar>
          </w:tcPr>
          <w:p>
            <w:r>
              <w:rPr>
                <w:sz w:val="20"/>
              </w:rPr>
              <w:t>REC Deplase İşleri Kısım Şefi / Teknik Uzman</w:t>
            </w:r>
          </w:p>
        </w:tc>
        <w:tc>
          <w:tcPr>
            <w:tcW w:type="dxa" w:w="3120"/>
            <w:shd w:val="clear" w:color="auto" w:fill="F5F5F5"/>
            <w:tcMar>
              <w:top w:w="80" w:type="dxa"/>
              <w:bottom w:w="80" w:type="dxa"/>
              <w:left w:w="120" w:type="dxa"/>
              <w:right w:w="120" w:type="dxa"/>
            </w:tcMar>
          </w:tcPr>
          <w:p>
            <w:r>
              <w:rPr>
                <w:sz w:val="20"/>
              </w:rPr>
              <w:t>12.02.2026</w:t>
            </w:r>
          </w:p>
        </w:tc>
      </w:tr>
      <w:tr>
        <w:tc>
          <w:tcPr>
            <w:tcW w:type="dxa" w:w="3120"/>
            <w:shd w:val="clear" w:color="auto" w:fill="FFFFFF"/>
            <w:tcMar>
              <w:top w:w="80" w:type="dxa"/>
              <w:bottom w:w="80" w:type="dxa"/>
              <w:left w:w="120" w:type="dxa"/>
              <w:right w:w="120" w:type="dxa"/>
            </w:tcMar>
          </w:tcPr>
          <w:p>
            <w:r>
              <w:rPr>
                <w:sz w:val="20"/>
              </w:rPr>
              <w:t>Niyazi Tanrıverdi</w:t>
            </w:r>
          </w:p>
        </w:tc>
        <w:tc>
          <w:tcPr>
            <w:tcW w:type="dxa" w:w="3120"/>
            <w:shd w:val="clear" w:color="auto" w:fill="FFFFFF"/>
            <w:tcMar>
              <w:top w:w="80" w:type="dxa"/>
              <w:bottom w:w="80" w:type="dxa"/>
              <w:left w:w="120" w:type="dxa"/>
              <w:right w:w="120" w:type="dxa"/>
            </w:tcMar>
          </w:tcPr>
          <w:p>
            <w:r>
              <w:rPr>
                <w:sz w:val="20"/>
              </w:rPr>
              <w:t>Alt İşveren Şantiye Şefi / Operasyonel Tanık</w:t>
            </w:r>
          </w:p>
        </w:tc>
        <w:tc>
          <w:tcPr>
            <w:tcW w:type="dxa" w:w="3120"/>
            <w:shd w:val="clear" w:color="auto" w:fill="FFFFFF"/>
            <w:tcMar>
              <w:top w:w="80" w:type="dxa"/>
              <w:bottom w:w="80" w:type="dxa"/>
              <w:left w:w="120" w:type="dxa"/>
              <w:right w:w="120" w:type="dxa"/>
            </w:tcMar>
          </w:tcPr>
          <w:p>
            <w:r>
              <w:rPr>
                <w:sz w:val="20"/>
              </w:rPr>
              <w:t>12.02.2026</w:t>
            </w:r>
          </w:p>
        </w:tc>
      </w:tr>
      <w:tr>
        <w:tc>
          <w:tcPr>
            <w:tcW w:type="dxa" w:w="3120"/>
            <w:shd w:val="clear" w:color="auto" w:fill="F5F5F5"/>
            <w:tcMar>
              <w:top w:w="80" w:type="dxa"/>
              <w:bottom w:w="80" w:type="dxa"/>
              <w:left w:w="120" w:type="dxa"/>
              <w:right w:w="120" w:type="dxa"/>
            </w:tcMar>
          </w:tcPr>
          <w:p>
            <w:r>
              <w:rPr>
                <w:sz w:val="20"/>
              </w:rPr>
              <w:t>Harun Bedircan</w:t>
            </w:r>
          </w:p>
        </w:tc>
        <w:tc>
          <w:tcPr>
            <w:tcW w:type="dxa" w:w="3120"/>
            <w:shd w:val="clear" w:color="auto" w:fill="F5F5F5"/>
            <w:tcMar>
              <w:top w:w="80" w:type="dxa"/>
              <w:bottom w:w="80" w:type="dxa"/>
              <w:left w:w="120" w:type="dxa"/>
              <w:right w:w="120" w:type="dxa"/>
            </w:tcMar>
          </w:tcPr>
          <w:p>
            <w:r>
              <w:rPr>
                <w:sz w:val="20"/>
              </w:rPr>
              <w:t>OSGB İSG Uzmanı / Denetim Temsilcisi</w:t>
            </w:r>
          </w:p>
        </w:tc>
        <w:tc>
          <w:tcPr>
            <w:tcW w:type="dxa" w:w="3120"/>
            <w:shd w:val="clear" w:color="auto" w:fill="F5F5F5"/>
            <w:tcMar>
              <w:top w:w="80" w:type="dxa"/>
              <w:bottom w:w="80" w:type="dxa"/>
              <w:left w:w="120" w:type="dxa"/>
              <w:right w:w="120" w:type="dxa"/>
            </w:tcMar>
          </w:tcPr>
          <w:p>
            <w:r>
              <w:rPr>
                <w:sz w:val="20"/>
              </w:rPr>
              <w:t>12.02.2026</w:t>
            </w:r>
          </w:p>
        </w:tc>
      </w:tr>
      <w:tr>
        <w:tc>
          <w:tcPr>
            <w:tcW w:type="dxa" w:w="3120"/>
            <w:shd w:val="clear" w:color="auto" w:fill="FFFFFF"/>
            <w:tcMar>
              <w:top w:w="80" w:type="dxa"/>
              <w:bottom w:w="80" w:type="dxa"/>
              <w:left w:w="120" w:type="dxa"/>
              <w:right w:w="120" w:type="dxa"/>
            </w:tcMar>
          </w:tcPr>
          <w:p>
            <w:r>
              <w:rPr>
                <w:sz w:val="20"/>
              </w:rPr>
              <w:t>Gürkan Demir</w:t>
            </w:r>
          </w:p>
        </w:tc>
        <w:tc>
          <w:tcPr>
            <w:tcW w:type="dxa" w:w="3120"/>
            <w:shd w:val="clear" w:color="auto" w:fill="FFFFFF"/>
            <w:tcMar>
              <w:top w:w="80" w:type="dxa"/>
              <w:bottom w:w="80" w:type="dxa"/>
              <w:left w:w="120" w:type="dxa"/>
              <w:right w:w="120" w:type="dxa"/>
            </w:tcMar>
          </w:tcPr>
          <w:p>
            <w:r>
              <w:rPr>
                <w:sz w:val="20"/>
              </w:rPr>
              <w:t>Uygulama Sorumlusu/Topograf / Tanık</w:t>
            </w:r>
          </w:p>
        </w:tc>
        <w:tc>
          <w:tcPr>
            <w:tcW w:type="dxa" w:w="3120"/>
            <w:shd w:val="clear" w:color="auto" w:fill="FFFFFF"/>
            <w:tcMar>
              <w:top w:w="80" w:type="dxa"/>
              <w:bottom w:w="80" w:type="dxa"/>
              <w:left w:w="120" w:type="dxa"/>
              <w:right w:w="120" w:type="dxa"/>
            </w:tcMar>
          </w:tcPr>
          <w:p>
            <w:r>
              <w:rPr>
                <w:sz w:val="20"/>
              </w:rPr>
              <w:t>12.02.2026</w:t>
            </w:r>
          </w:p>
        </w:tc>
      </w:tr>
      <w:tr>
        <w:tc>
          <w:tcPr>
            <w:tcW w:type="dxa" w:w="3120"/>
            <w:shd w:val="clear" w:color="auto" w:fill="F5F5F5"/>
            <w:tcMar>
              <w:top w:w="80" w:type="dxa"/>
              <w:bottom w:w="80" w:type="dxa"/>
              <w:left w:w="120" w:type="dxa"/>
              <w:right w:w="120" w:type="dxa"/>
            </w:tcMar>
          </w:tcPr>
          <w:p>
            <w:r>
              <w:rPr>
                <w:sz w:val="20"/>
              </w:rPr>
              <w:t>Adem Toslak</w:t>
            </w:r>
          </w:p>
        </w:tc>
        <w:tc>
          <w:tcPr>
            <w:tcW w:type="dxa" w:w="3120"/>
            <w:shd w:val="clear" w:color="auto" w:fill="F5F5F5"/>
            <w:tcMar>
              <w:top w:w="80" w:type="dxa"/>
              <w:bottom w:w="80" w:type="dxa"/>
              <w:left w:w="120" w:type="dxa"/>
              <w:right w:w="120" w:type="dxa"/>
            </w:tcMar>
          </w:tcPr>
          <w:p>
            <w:r>
              <w:rPr>
                <w:sz w:val="20"/>
              </w:rPr>
              <w:t>Ekskavatör Operatörü / Tanık</w:t>
            </w:r>
          </w:p>
        </w:tc>
        <w:tc>
          <w:tcPr>
            <w:tcW w:type="dxa" w:w="3120"/>
            <w:shd w:val="clear" w:color="auto" w:fill="F5F5F5"/>
            <w:tcMar>
              <w:top w:w="80" w:type="dxa"/>
              <w:bottom w:w="80" w:type="dxa"/>
              <w:left w:w="120" w:type="dxa"/>
              <w:right w:w="120" w:type="dxa"/>
            </w:tcMar>
          </w:tcPr>
          <w:p>
            <w:r>
              <w:rPr>
                <w:sz w:val="20"/>
              </w:rPr>
              <w:t>12.02.2026</w:t>
            </w:r>
          </w:p>
        </w:tc>
      </w:tr>
      <w:tr>
        <w:tc>
          <w:tcPr>
            <w:tcW w:type="dxa" w:w="3120"/>
            <w:shd w:val="clear" w:color="auto" w:fill="FFFFFF"/>
            <w:tcMar>
              <w:top w:w="80" w:type="dxa"/>
              <w:bottom w:w="80" w:type="dxa"/>
              <w:left w:w="120" w:type="dxa"/>
              <w:right w:w="120" w:type="dxa"/>
            </w:tcMar>
          </w:tcPr>
          <w:p>
            <w:r>
              <w:rPr>
                <w:sz w:val="20"/>
              </w:rPr>
              <w:t>İbrahim Karademir</w:t>
            </w:r>
          </w:p>
        </w:tc>
        <w:tc>
          <w:tcPr>
            <w:tcW w:type="dxa" w:w="3120"/>
            <w:shd w:val="clear" w:color="auto" w:fill="FFFFFF"/>
            <w:tcMar>
              <w:top w:w="80" w:type="dxa"/>
              <w:bottom w:w="80" w:type="dxa"/>
              <w:left w:w="120" w:type="dxa"/>
              <w:right w:w="120" w:type="dxa"/>
            </w:tcMar>
          </w:tcPr>
          <w:p>
            <w:r>
              <w:rPr>
                <w:sz w:val="20"/>
              </w:rPr>
              <w:t>Ekip Çalışanı / İlk Tanık</w:t>
            </w:r>
          </w:p>
        </w:tc>
        <w:tc>
          <w:tcPr>
            <w:tcW w:type="dxa" w:w="3120"/>
            <w:shd w:val="clear" w:color="auto" w:fill="FFFFFF"/>
            <w:tcMar>
              <w:top w:w="80" w:type="dxa"/>
              <w:bottom w:w="80" w:type="dxa"/>
              <w:left w:w="120" w:type="dxa"/>
              <w:right w:w="120" w:type="dxa"/>
            </w:tcMar>
          </w:tcPr>
          <w:p>
            <w:r>
              <w:rPr>
                <w:sz w:val="20"/>
              </w:rPr>
              <w:t>12.02.2026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DAL 1 - YETKISIZ ÇALIŞMA BAŞLATMA DAVRANIŞI</w:t>
            </w:r>
          </w:p>
        </w:tc>
      </w:tr>
    </w:tbl>
    <w:p/>
    <w:p>
      <w:pPr>
        <w:spacing w:before="200" w:after="80"/>
      </w:pPr>
      <w:r>
        <w:rPr>
          <w:b/>
          <w:color w:val="2E6DA4"/>
          <w:sz w:val="22"/>
        </w:rPr>
        <w:t>4.1 Başlangıç Durumu ve Doğrudan Neden</w:t>
      </w:r>
    </w:p>
    <w:p>
      <w:pPr>
        <w:spacing w:before="80" w:after="120"/>
      </w:pPr>
      <w:r>
        <w:rPr>
          <w:b w:val="0"/>
          <w:i w:val="0"/>
          <w:color w:val="444444"/>
          <w:sz w:val="18"/>
        </w:rPr>
        <w:t>12.02.2026 tarihinde saat 15:15-15:30 arasında alt işveren şantiye şefi Niyazi Tanrıverdi ve REC OSGB İSG denetçisi Harun Bedircan, şiddetli yağış nedeniyle çalışmanın sonlandırılması kararını sözlü olarak çalışanlara bildirmiş ve her ikisi de sahadan ayrılmıştır. Ancak saat 16:10 civarında topograf Gürkan Demir ve kazazede Nuri Karakuş, kazı kenarındaki 3. şahsa ait sundurma taşıyıcı ayağının alt kısmında boşalma meydana geldiğini ve çökme riski oluşabileceğini kendi aralarında değerlendirerek, herhangi bir yetkiliye danışmadan 12. borunun montajını tamamlama kararını almış ve çalışmayı yeniden başlatmıştır. Bu davranış, verilen iş durdurma kararına açık bir aykırılık teşkil etmektedir.</w:t>
      </w:r>
    </w:p>
    <w:p>
      <w:pPr>
        <w:spacing w:before="80" w:after="160"/>
      </w:pPr>
      <w:r>
        <w:rPr>
          <w:b/>
          <w:i w:val="0"/>
          <w:color w:val="444444"/>
          <w:sz w:val="18"/>
        </w:rPr>
        <w:t>Şantiye şefi ve İSG denetçisi tarafından yağış nedeniyle verilen çalışma durdurma kararına rağmen, çalışanların yetkili onayı almadan sundurma çökme riski gerekçesiyle 12. borunun montajını kendi inisiyatifleriyle başlatması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Çalışanlar neden şantiye şefi ve İSG denetçisinin verdiği çalışma durdurma kararına rağmen yetkisiz olarak çalışmayı yeniden başlattı?</w:t>
              <w:br/>
              <w:t>YANIT: Topograf Gürkan Demir ve kazazede Nuri Karakuş, kazı kenarındaki 3. şahsa ait sundurma taşıyıcı ayağının alt kısmında boşalma meydana geldiğini ve çökme riski oluşabileceğini kendi aralarında değerlendirerek, 12. borunun montajını tamamlama kararını herhangi bir yetkiliye danışmadan aldılar. Çalışanlar sundurma çökme riskini kendi başlarına değerlendirme yetkisine sahip olduklarını düşündüler ve acil müdahale gerektiğine karar verdiler.</w:t>
            </w:r>
          </w:p>
        </w:tc>
        <w:tc>
          <w:tcPr>
            <w:tcW w:type="dxa" w:w="2340"/>
            <w:shd w:val="clear" w:color="auto" w:fill="F5F5F5"/>
            <w:tcMar>
              <w:top w:w="80" w:type="dxa"/>
              <w:bottom w:w="80" w:type="dxa"/>
              <w:left w:w="120" w:type="dxa"/>
              <w:right w:w="120" w:type="dxa"/>
            </w:tcMar>
          </w:tcPr>
          <w:p>
            <w:r>
              <w:rPr>
                <w:b w:val="0"/>
                <w:sz w:val="18"/>
              </w:rPr>
              <w:t>A1.4</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Çalışanlar neden sundurma çökme riskini kendi başlarına değerlendirip yetkili onayı almadan harekete geçebildiler?</w:t>
              <w:br/>
              <w:t>YANIT: Şantiye şefi Niyazi Tanrıverdi ve OSGB İSG denetçisi Harun Bedircan çalışma durdurma kararını sözlü olarak bildirdikten sonra her ikisi de sahadan ayrıldı; sahada çalışanları izleyecek, kararın uygulanmasını takip edecek veya yeni bir risk durumunda başvurulacak herhangi bir yetkili veya gözetim mekanizması kalmadı. Çalışanlar fiziksel olarak yalnız kaldılar ve kararlarını sorgulayacak veya engelleyecek kimse sahada bulunmuyordu.</w:t>
            </w:r>
          </w:p>
        </w:tc>
        <w:tc>
          <w:tcPr>
            <w:tcW w:type="dxa" w:w="2340"/>
            <w:shd w:val="clear" w:color="auto" w:fill="FFFFFF"/>
            <w:tcMar>
              <w:top w:w="80" w:type="dxa"/>
              <w:bottom w:w="80" w:type="dxa"/>
              <w:left w:w="120" w:type="dxa"/>
              <w:right w:w="120" w:type="dxa"/>
            </w:tcMar>
          </w:tcPr>
          <w:p>
            <w:r>
              <w:rPr>
                <w:b w:val="0"/>
                <w:sz w:val="18"/>
              </w:rPr>
              <w:t>D1.2</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Yetkililer sahadan ayrıldıktan sonra neden sahada denetim boşluğu oluştu ve çalışanların yetkisiz faaliyetini engelleyecek bir mekanizma bulunmadı?</w:t>
              <w:br/>
              <w:t>YANIT: Kaza günü Akdeniz Altyapı bölge İSG sorumlusu sağlık problemleri nedeniyle sahada yoktu, REC deplase şefi saatlik izindeydi ve yerine vekil belirlenmemişti; 7 aktif lokasyonu 1 yönetici ve 2 teknikerle takip eden REC denetim kadrosu sistematik saha gözetimi için yetersizdi. Çalışma durdurma kararının uygulanmasını fiziksel olarak teyit edecek kimse sahada kalmadı. Organizasyonel yapı, kritik gözetim pozisyonları için yedekleme sistemi içermiyordu.</w:t>
            </w:r>
          </w:p>
        </w:tc>
        <w:tc>
          <w:tcPr>
            <w:tcW w:type="dxa" w:w="2340"/>
            <w:shd w:val="clear" w:color="auto" w:fill="F5F5F5"/>
            <w:tcMar>
              <w:top w:w="80" w:type="dxa"/>
              <w:bottom w:w="80" w:type="dxa"/>
              <w:left w:w="120" w:type="dxa"/>
              <w:right w:w="120" w:type="dxa"/>
            </w:tcMar>
          </w:tcPr>
          <w:p>
            <w:r>
              <w:rPr>
                <w:b w:val="0"/>
                <w:sz w:val="18"/>
              </w:rPr>
              <w:t>D3.5</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kritik bir çalışma durdurma kararı sonrasında bile sahada gözetim sürekliliğini sağlayacak organizasyonel yapı (vekalet sistemi, fiziksel teyit prosedürü, sahadan ayrılma protokolü) mevcut değildi?</w:t>
              <w:br/>
              <w:t>YANIT: 777 uygunsuzluk kaydı, 54 iş durdurma ve 32 disiplin işlemine rağmen Akdeniz Altyapı'nın gözetim kapasitesi artırılmamış, şantiye şefi Niyazi Tanrıverdi hakkındaki 3 disiplin kaydına rağmen projeden uzaklaştırılmamış, REC tarafından 7 lokasyon için 2 tekniker ile yürütülen denetim yapısı güçlendirilmemişti. Yönetim, bilinen denetim yetersizliğine ve tekrarlayan sapmalara rağmen mevcut yapıyı yeterli görerek müdahale etmedi. Prosedür uyum oranları Q3 2025'te %82'den Q4 2025'te %78'e düşmesine rağmen yapısal iyileştirme yapılmadı.</w:t>
            </w:r>
          </w:p>
        </w:tc>
        <w:tc>
          <w:tcPr>
            <w:tcW w:type="dxa" w:w="2340"/>
            <w:shd w:val="clear" w:color="auto" w:fill="FFFFFF"/>
            <w:tcMar>
              <w:top w:w="80" w:type="dxa"/>
              <w:bottom w:w="80" w:type="dxa"/>
              <w:left w:w="120" w:type="dxa"/>
              <w:right w:w="120" w:type="dxa"/>
            </w:tcMar>
          </w:tcPr>
          <w:p>
            <w:r>
              <w:rPr>
                <w:b w:val="0"/>
                <w:sz w:val="18"/>
              </w:rPr>
              <w:t>D1.9</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Yönetim neden 777 uygunsuzluk kaydı, düşen prosedür uyum oranları ve tekrarlayan disiplin kayıtlarına rağmen gözetim kapasitesini artırmadı ve sapmalara müdahale etmedi?</w:t>
              <w:br/>
              <w:t>YANIT: Akdeniz Altyapı ve REC yönetimi, belgelenmiş sapmaları ve yetersizlikleri bilmesine rağmen mevcut denetim yapısını kabul ederek sürdürdü. 566.300 TL sözleşmesel idari yaptırıma rağmen yapısal değişiklik yapılmadı. Şev/iksa uygulamalarında sistematik uyumsuzluk tespit edilmesine rağmen tekrarlayan ihlallere etkili yaptırım uygulanmadı. Bu durum yönetimin sapmaları tolere ettiğini ve normalleştirdiğini göstermektedir.</w:t>
            </w:r>
          </w:p>
        </w:tc>
        <w:tc>
          <w:tcPr>
            <w:tcW w:type="dxa" w:w="2340"/>
            <w:shd w:val="clear" w:color="auto" w:fill="F5F5F5"/>
            <w:tcMar>
              <w:top w:w="80" w:type="dxa"/>
              <w:bottom w:w="80" w:type="dxa"/>
              <w:left w:w="120" w:type="dxa"/>
              <w:right w:w="120" w:type="dxa"/>
            </w:tcMar>
          </w:tcPr>
          <w:p>
            <w:r>
              <w:rPr>
                <w:b w:val="0"/>
                <w:sz w:val="18"/>
              </w:rPr>
              <w:t>D1.9</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Yönetimin Bilinen Sapmalara Tolerans Göstermesi</w:t>
            </w:r>
          </w:p>
        </w:tc>
      </w:tr>
      <w:tr>
        <w:tc>
          <w:tcPr>
            <w:tcW w:type="dxa" w:w="9360"/>
            <w:shd w:val="clear" w:color="auto" w:fill="F5F5F5"/>
            <w:tcMar>
              <w:top w:w="100" w:type="dxa"/>
              <w:bottom w:w="100" w:type="dxa"/>
              <w:left w:w="140" w:type="dxa"/>
              <w:right w:w="140" w:type="dxa"/>
            </w:tcMar>
          </w:tcPr>
          <w:p>
            <w:r>
              <w:rPr>
                <w:color w:val="444444"/>
                <w:sz w:val="20"/>
              </w:rPr>
              <w:t>[D1.9 / Organizasyonel]</w:t>
              <w:br/>
              <w:br/>
              <w:t>Akdeniz Altyapı ve REC yönetimi, 777 uygunsuzluk kaydı, 54 iş durdurma, şev/iksa uygulamalarında sistematik uyumsuzluk (Q3 2025: %82, Q4 2025: %78 düşüş trendi), şantiye şefi Niyazi Tanrıverdi hakkındaki 3 disiplin kaydı, 7 aktif lokasyona karşı 3 kişilik yetersiz denetim kadrosu ve 566.300 TL sözleşmesel idari yaptırım gibi bilinen ve belgelenmiş sapmalara rağmen gözetim kapasitesini artırmadı, tekrarlayan ihlallere etkili yaptırım uygulamadı ve mevcut yetersiz denetim yapısını kabul ederek sürdürdü. Bu yönetimsel tolerans, çalışma durdurma kararının sahada fiziksel olarak takip edilmediği, çalışanların yetkisiz olarak işe devam edebildiği ve güvenlik bariyerlerinin fiilen devre dışı kaldığı bir ortam yaratarak göçük kazasına zemin hazırlamıştır.</w:t>
            </w:r>
          </w:p>
        </w:tc>
      </w:tr>
    </w:tbl>
    <w:p/>
    <w:p>
      <w:pPr>
        <w:spacing w:before="200" w:after="80"/>
      </w:pPr>
      <w:r>
        <w:rPr>
          <w:b/>
          <w:color w:val="2E6DA4"/>
          <w:sz w:val="22"/>
        </w:rPr>
        <w:t>4.4 Organizasyonel Faktörler</w:t>
      </w:r>
    </w:p>
    <w:p>
      <w:pPr>
        <w:pStyle w:val="ListBullet"/>
        <w:spacing w:before="40" w:after="40"/>
      </w:pPr>
      <w:r>
        <w:rPr>
          <w:color w:val="444444"/>
          <w:sz w:val="20"/>
        </w:rPr>
        <w:t>777 uygunsuzluk kaydı ve 54 iş durdurma kaydına rağmen denetim kapasitesinin artırılmaması ve yapısal iyileştirme yapılmaması</w:t>
      </w:r>
    </w:p>
    <w:p>
      <w:pPr>
        <w:pStyle w:val="ListBullet"/>
        <w:spacing w:before="40" w:after="40"/>
      </w:pPr>
      <w:r>
        <w:rPr>
          <w:color w:val="444444"/>
          <w:sz w:val="20"/>
        </w:rPr>
        <w:t>Şantiye şefi Niyazi Tanrıverdi hakkındaki 3 disiplin kaydına rağmen projeden uzaklaştırılmaması ve görevde tutulması</w:t>
      </w:r>
    </w:p>
    <w:p>
      <w:pPr>
        <w:pStyle w:val="ListBullet"/>
        <w:spacing w:before="40" w:after="40"/>
      </w:pPr>
      <w:r>
        <w:rPr>
          <w:color w:val="444444"/>
          <w:sz w:val="20"/>
        </w:rPr>
        <w:t>Prosedür uyum oranlarının Q3 2025'te %82'den Q4 2025'te %78'e düşmesine rağmen düzeltici aksiyon alınmaması</w:t>
      </w:r>
    </w:p>
    <w:p>
      <w:pPr>
        <w:pStyle w:val="ListBullet"/>
        <w:spacing w:before="40" w:after="40"/>
      </w:pPr>
      <w:r>
        <w:rPr>
          <w:color w:val="444444"/>
          <w:sz w:val="20"/>
        </w:rPr>
        <w:t>7 aktif lokasyonu 3 kişilik kadroyla (1 yönetici + 2 tekniker) denetleme yapısının yetersizliğinin bilinmesine rağmen personel takviyesi yapılmaması</w:t>
      </w:r>
    </w:p>
    <w:p>
      <w:pPr>
        <w:pStyle w:val="ListBullet"/>
        <w:spacing w:before="40" w:after="40"/>
      </w:pPr>
      <w:r>
        <w:rPr>
          <w:color w:val="444444"/>
          <w:sz w:val="20"/>
        </w:rPr>
        <w:t>566.300 TL sözleşmesel idari yaptırıma rağmen organizasyonel düzeyde yapısal değişiklik gerçekleştirilmemesi</w:t>
      </w:r>
    </w:p>
    <w:p>
      <w:pPr>
        <w:pStyle w:val="ListBullet"/>
        <w:spacing w:before="40" w:after="40"/>
      </w:pPr>
      <w:r>
        <w:rPr>
          <w:color w:val="444444"/>
          <w:sz w:val="20"/>
        </w:rPr>
        <w:t>Şev/iksa uygulamalarında sistematik uyumsuzluğun tespit edilmesine rağmen tekrarlayan ihlallere etkili yaptırım uygulanmaması</w:t>
      </w:r>
    </w:p>
    <w:p>
      <w:pPr>
        <w:pStyle w:val="ListBullet"/>
        <w:spacing w:before="40" w:after="40"/>
      </w:pPr>
      <w:r>
        <w:rPr>
          <w:color w:val="444444"/>
          <w:sz w:val="20"/>
        </w:rPr>
        <w:t>Kritik gözetim pozisyonları (deplase şefi, bölge İSG sorumlusu) için vekalet/yedekleme sisteminin oluşturulmaması</w:t>
      </w:r>
    </w:p>
    <w:p>
      <w:pPr>
        <w:pStyle w:val="ListBullet"/>
        <w:spacing w:before="40" w:after="40"/>
      </w:pPr>
      <w:r>
        <w:rPr>
          <w:color w:val="444444"/>
          <w:sz w:val="20"/>
        </w:rPr>
        <w:t>Çalışma durdurma kararlarının fiziksel olarak takip edilmesini sağlayacak prosedür ve mekanizmaların geliştirilmemesi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DAL 2 - KORUNMASIZ KAZI KOŞULU</w:t>
            </w:r>
          </w:p>
        </w:tc>
      </w:tr>
    </w:tbl>
    <w:p/>
    <w:p>
      <w:pPr>
        <w:spacing w:before="200" w:after="80"/>
      </w:pPr>
      <w:r>
        <w:rPr>
          <w:b/>
          <w:color w:val="2E6DA4"/>
          <w:sz w:val="22"/>
        </w:rPr>
        <w:t>5.1 Başlangıç Durumu ve Doğrudan Neden</w:t>
      </w:r>
    </w:p>
    <w:p>
      <w:pPr>
        <w:spacing w:before="80" w:after="120"/>
      </w:pPr>
      <w:r>
        <w:rPr>
          <w:b w:val="0"/>
          <w:i w:val="0"/>
          <w:color w:val="444444"/>
          <w:sz w:val="18"/>
        </w:rPr>
        <w:t>MAOG Projesi Mersin-Adana kesiminde atık su hattı deplase çalışması kapsamında 2,60 m derinliğinde kanal kazısı açılmıştır. AKD-MA-ALT-DPL-076 Yapım Yöntemi Belgesi ve HOL-HSE-PRO-108 Kazı Prosedürü'ne göre 1,50 m'den derin kazılarda şev veya iksa uygulaması zorunludur. Ancak kaza günü kazı alanında ne şev ne de iksa uygulaması yapılmamış, kazı yüzeyi dik ve korunmasız bırakılmıştır. Aynı gün 94 mm yağış (Şubat ortalamasının %115'i) gerçekleşmiş ve zemin suya tamamen doygun hale gelerek taşıma kapasitesi ve kayma direnci kritik ölçüde azalmıştır. Bu koşullar altında kazı yüzeyi göçmeye karşı hiçbir teknik önlemle desteklenmemiştir.</w:t>
      </w:r>
    </w:p>
    <w:p>
      <w:pPr>
        <w:spacing w:before="80" w:after="160"/>
      </w:pPr>
      <w:r>
        <w:rPr>
          <w:b/>
          <w:i w:val="0"/>
          <w:color w:val="444444"/>
          <w:sz w:val="18"/>
        </w:rPr>
        <w:t>2,60 m derinliğindeki kazıda prosedür gereği zorunlu olan şev/iksa uygulamasının yapılmaması ve 94 mm yağış sonrası zemin stabilitesinin kritik seviyede bozulmuş olmasına rağmen kazı yüzeyinin korunmasız bırakılması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2,60 m derinliğindeki kazıda şev veya iksa uygulanmadan çalışma yapıldı ve 94 mm yağış sonrası zemin göçtü?</w:t>
              <w:br/>
              <w:t>YANIT: Saat 15:15-15:30 arasında şantiye şefi ve İSG denetçisi çalışmayı durdurup sahadan ayrıldıktan sonra, çalışanlar (topograf Gürkan Demir ve kazazede Nuri Karakuş) herhangi bir yetkiliye danışmadan, sundurma taşıyıcı ayağının çökme riski gerekçesiyle 12. borunun montajını kendi aralarında kararlaştırarak şev/iksa olmayan kazıya yeniden girdiler. Çalışanlar mevcut kazı koşullarının tehlikesini tam olarak değerlendiremediler ve acil müdahale gerektiğini düşünerek risk aldılar.</w:t>
            </w:r>
          </w:p>
        </w:tc>
        <w:tc>
          <w:tcPr>
            <w:tcW w:type="dxa" w:w="2340"/>
            <w:shd w:val="clear" w:color="auto" w:fill="F5F5F5"/>
            <w:tcMar>
              <w:top w:w="80" w:type="dxa"/>
              <w:bottom w:w="80" w:type="dxa"/>
              <w:left w:w="120" w:type="dxa"/>
              <w:right w:w="120" w:type="dxa"/>
            </w:tcMar>
          </w:tcPr>
          <w:p>
            <w:r>
              <w:rPr>
                <w:b w:val="0"/>
                <w:sz w:val="18"/>
              </w:rPr>
              <w:t>B4.4</w:t>
            </w:r>
          </w:p>
        </w:tc>
        <w:tc>
          <w:tcPr>
            <w:tcW w:type="dxa" w:w="2340"/>
            <w:shd w:val="clear" w:color="auto" w:fill="F5F5F5"/>
            <w:tcMar>
              <w:top w:w="80" w:type="dxa"/>
              <w:bottom w:w="80" w:type="dxa"/>
              <w:left w:w="120" w:type="dxa"/>
              <w:right w:w="120" w:type="dxa"/>
            </w:tcMar>
          </w:tcPr>
          <w:p>
            <w:r>
              <w:rPr>
                <w:b w:val="0"/>
                <w:sz w:val="18"/>
              </w:rPr>
              <w:t>Koşul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çalışanlar yetkili onayı olmadan, durdurulmuş bir faaliyeti yeniden başlatma kararını kendileri alabildiler?</w:t>
              <w:br/>
              <w:t>YANIT: Şantiye şefi ve İSG denetçisi sahadan ayrıldıktan sonra çalışma alanında hiçbir yetkili gözetim personeli kalmadı; alt işveren bölge İSG sorumlusu sağlık problemleri nedeniyle yoktu, REC deplase şefi saatlik izindeydi ve vekil belirlenmemişti. Bu denetim boşluğu nedeniyle çalışanların yetkisiz kararını engelleyecek veya sorgulayacak hiçbir mekanizma sahada aktif değildi. Fiziksel gözetim bariyeri ortadan kalkmıştı.</w:t>
            </w:r>
          </w:p>
        </w:tc>
        <w:tc>
          <w:tcPr>
            <w:tcW w:type="dxa" w:w="2340"/>
            <w:shd w:val="clear" w:color="auto" w:fill="FFFFFF"/>
            <w:tcMar>
              <w:top w:w="80" w:type="dxa"/>
              <w:bottom w:w="80" w:type="dxa"/>
              <w:left w:w="120" w:type="dxa"/>
              <w:right w:w="120" w:type="dxa"/>
            </w:tcMar>
          </w:tcPr>
          <w:p>
            <w:r>
              <w:rPr>
                <w:b w:val="0"/>
                <w:sz w:val="18"/>
              </w:rPr>
              <w:t>D1.2</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kritik bir kazı çalışmasının yürütüldüğü sahada, çalışma durdurulduktan sonra bile sürekli gözetim sağlanacak bir personel planlaması yapılmamıştı?</w:t>
              <w:br/>
              <w:t>YANIT: REC deplase ekibi 1 yönetici ve 2 teknikerden oluşuyordu ve aynı anda 7 aktif lokasyonu denetlemekle yükümlüydü. Kısım şefi Burak Kekevi'nin ifadesinde belirttiği üzere mevcut personel düzeyi sistematik denetim için yetersiz kalıyordu. Akdeniz Altyapı tarafında ise 198 kişilik işgücü için yalnızca 2 C sınıfı İSG uzmanı görevliydi ve kaza günü bölge sorumlusu sahada bulunmuyordu. Organizasyonel yapı, saha gerçekleriyle orantısız personel planlaması içeriyordu.</w:t>
            </w:r>
          </w:p>
        </w:tc>
        <w:tc>
          <w:tcPr>
            <w:tcW w:type="dxa" w:w="2340"/>
            <w:shd w:val="clear" w:color="auto" w:fill="F5F5F5"/>
            <w:tcMar>
              <w:top w:w="80" w:type="dxa"/>
              <w:bottom w:w="80" w:type="dxa"/>
              <w:left w:w="120" w:type="dxa"/>
              <w:right w:w="120" w:type="dxa"/>
            </w:tcMar>
          </w:tcPr>
          <w:p>
            <w:r>
              <w:rPr>
                <w:b w:val="0"/>
                <w:sz w:val="18"/>
              </w:rPr>
              <w:t>D3.5</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7 aktif lokasyonu kapsayacak yeterli denetim personeli planlanmadı ve kritik gözetim pozisyonları için vekil/yedekleme sistemi oluşturulmadı?</w:t>
              <w:br/>
              <w:t>YANIT: Organizasyonel düzeyde personel ve iş yükü planlaması, gerçek saha denetim ihtiyacıyla orantılı yapılmamıştı. Deplase şefi izne ayrıldığında vekil belirlenmemişti, alt işveren İSG uzmanı yokluğunda ikame atanmamıştı. 777 uygunsuzluk kaydı ve 54 iş durdurma kaydına rağmen denetim kapasitesinin yetersizliği yapısal bir sorun olarak ele alınmamış ve personel takviyesi veya lokasyon bazlı gözetim planlaması gerçekleştirilmemişti. Yönetim mevcut yapıyı yeterli görmüştür.</w:t>
            </w:r>
          </w:p>
        </w:tc>
        <w:tc>
          <w:tcPr>
            <w:tcW w:type="dxa" w:w="2340"/>
            <w:shd w:val="clear" w:color="auto" w:fill="FFFFFF"/>
            <w:tcMar>
              <w:top w:w="80" w:type="dxa"/>
              <w:bottom w:w="80" w:type="dxa"/>
              <w:left w:w="120" w:type="dxa"/>
              <w:right w:w="120" w:type="dxa"/>
            </w:tcMar>
          </w:tcPr>
          <w:p>
            <w:r>
              <w:rPr>
                <w:b w:val="0"/>
                <w:sz w:val="18"/>
              </w:rPr>
              <w:t>D3.5</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Yönetim neden denetim kapasitesinin yetersizliğini bilmesine rağmen personel planlamasını iyileştirmedi ve kritik pozisyonlar için yedekleme sistemi oluşturmadı?</w:t>
              <w:br/>
              <w:t>YANIT: Burak Kekevi'nin '7 lokasyonu 2 teknikerle takip etmenin yetersiz olduğu' ifadesine rağmen, 777 uygunsuzluk kaydı ve düşen prosedür uyum oranlarına rağmen yönetim personel takviyesi yapmadı. 198 kişilik işgücü için 2 İSG uzmanı atanması ve kritik pozisyonlar için vekil belirlenmemesi, personel/iş yükü planlamasının saha gerçekleriyle orantısız yapıldığını göstermektedir. Yönetim maliyet veya kaynak kısıtlamaları nedeniyle yeterli denetim kapasitesi sağlamayı önceliklendirmemiştir.</w:t>
            </w:r>
          </w:p>
        </w:tc>
        <w:tc>
          <w:tcPr>
            <w:tcW w:type="dxa" w:w="2340"/>
            <w:shd w:val="clear" w:color="auto" w:fill="F5F5F5"/>
            <w:tcMar>
              <w:top w:w="80" w:type="dxa"/>
              <w:bottom w:w="80" w:type="dxa"/>
              <w:left w:w="120" w:type="dxa"/>
              <w:right w:w="120" w:type="dxa"/>
            </w:tcMar>
          </w:tcPr>
          <w:p>
            <w:r>
              <w:rPr>
                <w:b w:val="0"/>
                <w:sz w:val="18"/>
              </w:rPr>
              <w:t>D3.5</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Yetersiz Personel ve İş Yükü Planlaması</w:t>
            </w:r>
          </w:p>
        </w:tc>
      </w:tr>
      <w:tr>
        <w:tc>
          <w:tcPr>
            <w:tcW w:type="dxa" w:w="9360"/>
            <w:shd w:val="clear" w:color="auto" w:fill="F5F5F5"/>
            <w:tcMar>
              <w:top w:w="100" w:type="dxa"/>
              <w:bottom w:w="100" w:type="dxa"/>
              <w:left w:w="140" w:type="dxa"/>
              <w:right w:w="140" w:type="dxa"/>
            </w:tcMar>
          </w:tcPr>
          <w:p>
            <w:r>
              <w:rPr>
                <w:color w:val="444444"/>
                <w:sz w:val="20"/>
              </w:rPr>
              <w:t>[D3.5 / Organizasyonel]</w:t>
              <w:br/>
              <w:br/>
              <w:t>REC deplase ekibinin 3 kişilik kadroyla (1 yönetici + 2 tekniker) 7 aktif lokasyonu denetlemesi gereken yapıda olması, kaza günü deplase şefinin izinde olup vekil belirlenmemesi, alt işveren Akdeniz Altyapı tarafında 198 kişilik işgücü için atanan 2 C sınıfı İSG uzmanından bölge sorumlusunun sahada bulunmaması ve yerine ikame atanmaması nedeniyle, çalışma durdurma kararı verildikten sonra sahada hiçbir gözetim personeli kalmamış ve çalışanların yetkisiz olarak şev/iksa olmayan kazıya girmesini engelleyecek denetim bariyeri fiilen ortadan kalkmıştır. Organizasyonel düzeyde personel ve iş yükü planlaması gerçek saha denetim ihtiyacıyla orantılı yapılmamış, kritik gözetim pozisyonları için vekalet/yedekleme sistemi oluşturulmamış ve 777 uygunsuzluk kaydına rağmen denetim kapasitesi artırılmamıştır.</w:t>
            </w:r>
          </w:p>
        </w:tc>
      </w:tr>
    </w:tbl>
    <w:p/>
    <w:p>
      <w:pPr>
        <w:spacing w:before="200" w:after="80"/>
      </w:pPr>
      <w:r>
        <w:rPr>
          <w:b/>
          <w:color w:val="2E6DA4"/>
          <w:sz w:val="22"/>
        </w:rPr>
        <w:t>5.4 Organizasyonel Faktörler</w:t>
      </w:r>
    </w:p>
    <w:p>
      <w:pPr>
        <w:pStyle w:val="ListBullet"/>
        <w:spacing w:before="40" w:after="40"/>
      </w:pPr>
      <w:r>
        <w:rPr>
          <w:color w:val="444444"/>
          <w:sz w:val="20"/>
        </w:rPr>
        <w:t>7 aktif lokasyonu 3 kişilik kadroyla (1 yönetici + 2 tekniker) denetleme yapısının sistematik gözetim için yetersiz olması</w:t>
      </w:r>
    </w:p>
    <w:p>
      <w:pPr>
        <w:pStyle w:val="ListBullet"/>
        <w:spacing w:before="40" w:after="40"/>
      </w:pPr>
      <w:r>
        <w:rPr>
          <w:color w:val="444444"/>
          <w:sz w:val="20"/>
        </w:rPr>
        <w:t>Kaza günü deplase şefi Burak Kekevi'nin saatlik izinde olması ve yerine vekil belirlenmemesi</w:t>
      </w:r>
    </w:p>
    <w:p>
      <w:pPr>
        <w:pStyle w:val="ListBullet"/>
        <w:spacing w:before="40" w:after="40"/>
      </w:pPr>
      <w:r>
        <w:rPr>
          <w:color w:val="444444"/>
          <w:sz w:val="20"/>
        </w:rPr>
        <w:t>Alt işveren Akdeniz Altyapı'da 198 kişilik işgücü için yalnızca 2 C sınıfı İSG uzmanı atanması</w:t>
      </w:r>
    </w:p>
    <w:p>
      <w:pPr>
        <w:pStyle w:val="ListBullet"/>
        <w:spacing w:before="40" w:after="40"/>
      </w:pPr>
      <w:r>
        <w:rPr>
          <w:color w:val="444444"/>
          <w:sz w:val="20"/>
        </w:rPr>
        <w:t>Kaza günü bölge İSG sorumlusunun sağlık problemleri nedeniyle sahada bulunmaması ve yerine ikame atanmaması</w:t>
      </w:r>
    </w:p>
    <w:p>
      <w:pPr>
        <w:pStyle w:val="ListBullet"/>
        <w:spacing w:before="40" w:after="40"/>
      </w:pPr>
      <w:r>
        <w:rPr>
          <w:color w:val="444444"/>
          <w:sz w:val="20"/>
        </w:rPr>
        <w:t>Kritik gözetim pozisyonları için vekalet/yedekleme sisteminin organizasyonel düzeyde oluşturulmamış olması</w:t>
      </w:r>
    </w:p>
    <w:p>
      <w:pPr>
        <w:pStyle w:val="ListBullet"/>
        <w:spacing w:before="40" w:after="40"/>
      </w:pPr>
      <w:r>
        <w:rPr>
          <w:color w:val="444444"/>
          <w:sz w:val="20"/>
        </w:rPr>
        <w:t>Burak Kekevi'nin '7 lokasyonu 2 teknikerle takip etmenin yetersiz olduğu' ifadesine rağmen personel takviyesi yapılmaması</w:t>
      </w:r>
    </w:p>
    <w:p>
      <w:pPr>
        <w:pStyle w:val="ListBullet"/>
        <w:spacing w:before="40" w:after="40"/>
      </w:pPr>
      <w:r>
        <w:rPr>
          <w:color w:val="444444"/>
          <w:sz w:val="20"/>
        </w:rPr>
        <w:t>777 uygunsuzluk kaydı ve 54 iş durdurma kaydına rağmen denetim kapasitesinin yapısal bir sorun olarak ele alınmaması</w:t>
      </w:r>
    </w:p>
    <w:p>
      <w:pPr>
        <w:pStyle w:val="ListBullet"/>
        <w:spacing w:before="40" w:after="40"/>
      </w:pPr>
      <w:r>
        <w:rPr>
          <w:color w:val="444444"/>
          <w:sz w:val="20"/>
        </w:rPr>
        <w:t>Personel ve iş yükü planlamasının gerçek saha denetim ihtiyacıyla orantılı yapılmaması ve lokasyon bazlı gözetim planlaması geliştirilmemesi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DAL 3 - MAJÖR ÇEVRESEL DEĞİŞİM KOŞULLARI</w:t>
            </w:r>
          </w:p>
        </w:tc>
      </w:tr>
    </w:tbl>
    <w:p/>
    <w:p>
      <w:pPr>
        <w:spacing w:before="200" w:after="80"/>
      </w:pPr>
      <w:r>
        <w:rPr>
          <w:b/>
          <w:color w:val="2E6DA4"/>
          <w:sz w:val="22"/>
        </w:rPr>
        <w:t>6.1 Başlangıç Durumu ve Doğrudan Neden</w:t>
      </w:r>
    </w:p>
    <w:p>
      <w:pPr>
        <w:spacing w:before="80" w:after="120"/>
      </w:pPr>
      <w:r>
        <w:rPr>
          <w:b w:val="0"/>
          <w:i w:val="0"/>
          <w:color w:val="444444"/>
          <w:sz w:val="18"/>
        </w:rPr>
        <w:t>12.02.2026 tarihinde MAOG Projesi lokasyonunda 24 saatlik sürede 94 mm yağış gerçekleşmiştir (Şubat ayı ortalamasının %115'i). HOL-HSE-PRO-011 Prosedürü Madde 7.5'e göre bu yağış miktarı 'majör çevresel değişim' olarak sınıflandırılmaktadır. Saat 14:30'da başlayan yağmur şiddeti artarak devam etmiş ve zemin suya tamamen doygun hale gelmiştir. Meteorolojik veriler zemin taşıma kapasitesi ve kayma direncinin kritik ölçüde azaldığını göstermektedir. HOL-HSE-PRO-011 Madde 7.1'e göre ≥50 mm yağış durumunda PTW (İş İzin Sistemi) otomatik olarak iptal edilmelidir. Ancak kaza günü bu kural uygulanmamış, 10.02.2026 tarihinde açılan iş izni (No: 198 ve 655) 10-12 Şubat arasında güncellenmemiş ve majör çevresel değişim sonrası yeniden risk değerlendirmesi yapılmamıştır.</w:t>
      </w:r>
    </w:p>
    <w:p>
      <w:pPr>
        <w:spacing w:before="80" w:after="160"/>
      </w:pPr>
      <w:r>
        <w:rPr>
          <w:b/>
          <w:i w:val="0"/>
          <w:color w:val="444444"/>
          <w:sz w:val="18"/>
        </w:rPr>
        <w:t>94 mm yağış (majör çevresel değişim) altında zemin stabilitesinin kritik seviyede bozulmuş olmasına rağmen kazı çalışmasının yapılması ve yağış altında çalışma yasağının ihlal edilmesi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94 mm yağış altında zemin stabilitesi kritik seviyede bozulmuş olmasına rağmen kazı alanında çalışma yapıldı?</w:t>
              <w:br/>
              <w:t>YANIT: Saat 15:15-15:30 arasında alt işveren şantiye şefi ve OSGB İSG denetçisi çalışmayı sonlandırma kararı verip sahadan ayrıldıktan sonra, çalışanlar (topograf Gürkan Demir ve kazazede Nuri Karakuş) sundurma taşıyıcı ayağının kazı kenarında boşalması nedeniyle çökme riski değerlendirmesi yaparak herhangi bir yetkiliye danışmadan 12. borunun montajı için çalışmayı kendi inisiyatifleriyle yeniden başlattı. Çalışanlar majör çevresel değişim koşullarının yarattığı riski tam olarak değerlendiremediler.</w:t>
            </w:r>
          </w:p>
        </w:tc>
        <w:tc>
          <w:tcPr>
            <w:tcW w:type="dxa" w:w="2340"/>
            <w:shd w:val="clear" w:color="auto" w:fill="F5F5F5"/>
            <w:tcMar>
              <w:top w:w="80" w:type="dxa"/>
              <w:bottom w:w="80" w:type="dxa"/>
              <w:left w:w="120" w:type="dxa"/>
              <w:right w:w="120" w:type="dxa"/>
            </w:tcMar>
          </w:tcPr>
          <w:p>
            <w:r>
              <w:rPr>
                <w:b w:val="0"/>
                <w:sz w:val="18"/>
              </w:rPr>
              <w:t>B4.8</w:t>
            </w:r>
          </w:p>
        </w:tc>
        <w:tc>
          <w:tcPr>
            <w:tcW w:type="dxa" w:w="2340"/>
            <w:shd w:val="clear" w:color="auto" w:fill="F5F5F5"/>
            <w:tcMar>
              <w:top w:w="80" w:type="dxa"/>
              <w:bottom w:w="80" w:type="dxa"/>
              <w:left w:w="120" w:type="dxa"/>
              <w:right w:w="120" w:type="dxa"/>
            </w:tcMar>
          </w:tcPr>
          <w:p>
            <w:r>
              <w:rPr>
                <w:b w:val="0"/>
                <w:sz w:val="18"/>
              </w:rPr>
              <w:t>Koşul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çalışanlar yetkili onayı almadan, yağış altında ve zemin stabilitesi bozulmuş bir kazıda çalışmayı yeniden başlatma kararı alabildiler?</w:t>
              <w:br/>
              <w:t>YANIT: Şantiye şefi ve İSG denetçisi çalışmayı durdurma kararını sözlü olarak bildirip sahadan ayrıldı; ancak sahada bu kararın uygulanmasını izleyecek, kontrol edecek ve yetkisiz yeniden başlatmayı engelleyecek herhangi bir gözetim mekanizması veya yetkili personel bırakılmadı. Kaza günü bölge İSG sorumlusu sağlık problemleri nedeniyle yoktu, deplase şefi saatlik izindeydi ve vekil belirlenmemişti. Sözlü karar fiziksel bir bariyerle desteklenmedi.</w:t>
            </w:r>
          </w:p>
        </w:tc>
        <w:tc>
          <w:tcPr>
            <w:tcW w:type="dxa" w:w="2340"/>
            <w:shd w:val="clear" w:color="auto" w:fill="FFFFFF"/>
            <w:tcMar>
              <w:top w:w="80" w:type="dxa"/>
              <w:bottom w:w="80" w:type="dxa"/>
              <w:left w:w="120" w:type="dxa"/>
              <w:right w:w="120" w:type="dxa"/>
            </w:tcMar>
          </w:tcPr>
          <w:p>
            <w:r>
              <w:rPr>
                <w:b w:val="0"/>
                <w:sz w:val="18"/>
              </w:rPr>
              <w:t>D1.2</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iş durdurma kararı verildikten sonra sahada bu kararın sürdürülmesini sağlayacak gözetim mekanizması yoktu?</w:t>
              <w:br/>
              <w:t>YANIT: HOL-HSE-PRO-011 Madde 7.5 kapsamında majör çevresel değişim (94 mm yağış) gerçekleşmesine rağmen, PTW otomatik iptal mekanizması (≥50 mm yağışta zorunlu) işletilmedi ve iş izni fiziksel olarak kapatılmadı. Sözlü durdurma kararı, iş izin sistemindeki resmi bir iptal veya fiziksel bariyerle (kazı alanının kapatılması, erişimin engellenmesi gibi) desteklenmediği için çalışanlar teknik olarak çalışmayı yeniden başlatabilecek durumda kaldı. PTW sistemi prosedürel bir formalite olarak kaldı.</w:t>
            </w:r>
          </w:p>
        </w:tc>
        <w:tc>
          <w:tcPr>
            <w:tcW w:type="dxa" w:w="2340"/>
            <w:shd w:val="clear" w:color="auto" w:fill="F5F5F5"/>
            <w:tcMar>
              <w:top w:w="80" w:type="dxa"/>
              <w:bottom w:w="80" w:type="dxa"/>
              <w:left w:w="120" w:type="dxa"/>
              <w:right w:w="120" w:type="dxa"/>
            </w:tcMar>
          </w:tcPr>
          <w:p>
            <w:r>
              <w:rPr>
                <w:b w:val="0"/>
                <w:sz w:val="18"/>
              </w:rPr>
              <w:t>D4.4</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majör çevresel değişim koşullarında PTW otomatik iptali ve fiziksel erişim engeli gibi prosedürel kontroller uygulanmadı?</w:t>
              <w:br/>
              <w:t>YANIT: İş izin sistemi kağıt üzerinde mevcut olmasına rağmen (HOL-HSE-PRO-011 Madde 7.1'de ≥50 mm yağışta PTW otomatik iptal kuralı tanımlı), sahada bu sistemin etkin işletilmesi sağlanamadı. İş izni 10.02.2026'dan beri güncellenmedi, REC İSG 'GÖRÜLDÜ' kaşesi kullanılmadı, 10-12 Şubat arasında izin yenilenmedi ve majör çevresel değişim sonrası yeniden risk değerlendirmesi yapılmadı. Bu durum iş izin sisteminin prosedürel bir formalite olarak uygulandığını ve gerçek bir güvenlik bariyeri olarak işlemediğini göstermektedir.</w:t>
            </w:r>
          </w:p>
        </w:tc>
        <w:tc>
          <w:tcPr>
            <w:tcW w:type="dxa" w:w="2340"/>
            <w:shd w:val="clear" w:color="auto" w:fill="FFFFFF"/>
            <w:tcMar>
              <w:top w:w="80" w:type="dxa"/>
              <w:bottom w:w="80" w:type="dxa"/>
              <w:left w:w="120" w:type="dxa"/>
              <w:right w:w="120" w:type="dxa"/>
            </w:tcMar>
          </w:tcPr>
          <w:p>
            <w:r>
              <w:rPr>
                <w:b w:val="0"/>
                <w:sz w:val="18"/>
              </w:rPr>
              <w:t>D4.4</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Yönetim neden iş izin sisteminin prosedürel bir formalite olarak kaldığını ve gerçek bir güvenlik bariyeri olarak işlemediğini tespit edip düzeltmedi?</w:t>
              <w:br/>
              <w:t>YANIT: PTW sisteminin etkinliği düzenli olarak denetlenmedi ve iyileştirilmedi. 10.02.2026'dan 12.02.2026'ya kadar iş izninin güncellenmemesi, REC İSG kaşesinin kullanılmaması, majör çevresel değişim sonrası yeniden değerlendirme yapılmaması gibi sistemik eksiklikler tespit edilmesine rağmen düzeltici aksiyon alınmadı. İş izin sistemi kağıt üzerinde tanımlı olmasına rağmen sahada uygulanabilirliği ve etkinliği sağlanmadı. Yönetim PTW sisteminin gerçek bir kontrol bariyeri olarak işlemesini sağlayacak mekanizmaları (otomatik iptal tetikleyicileri, fiziksel bariyerler, günlük gözden geçirme vb.) geliştirmedi.</w:t>
            </w:r>
          </w:p>
        </w:tc>
        <w:tc>
          <w:tcPr>
            <w:tcW w:type="dxa" w:w="2340"/>
            <w:shd w:val="clear" w:color="auto" w:fill="F5F5F5"/>
            <w:tcMar>
              <w:top w:w="80" w:type="dxa"/>
              <w:bottom w:w="80" w:type="dxa"/>
              <w:left w:w="120" w:type="dxa"/>
              <w:right w:w="120" w:type="dxa"/>
            </w:tcMar>
          </w:tcPr>
          <w:p>
            <w:r>
              <w:rPr>
                <w:b w:val="0"/>
                <w:sz w:val="18"/>
              </w:rPr>
              <w:t>D4.4</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İş İzin Sisteminin Etkisiz Olması</w:t>
            </w:r>
          </w:p>
        </w:tc>
      </w:tr>
      <w:tr>
        <w:tc>
          <w:tcPr>
            <w:tcW w:type="dxa" w:w="9360"/>
            <w:shd w:val="clear" w:color="auto" w:fill="F5F5F5"/>
            <w:tcMar>
              <w:top w:w="100" w:type="dxa"/>
              <w:bottom w:w="100" w:type="dxa"/>
              <w:left w:w="140" w:type="dxa"/>
              <w:right w:w="140" w:type="dxa"/>
            </w:tcMar>
          </w:tcPr>
          <w:p>
            <w:r>
              <w:rPr>
                <w:color w:val="444444"/>
                <w:sz w:val="20"/>
              </w:rPr>
              <w:t>[D4.4 / Organizasyonel]</w:t>
              <w:br/>
              <w:br/>
              <w:t>MAOG projesinde iş izin sistemi (PTW) etkin bir güvenlik bariyeri olarak işletilmedi: 94 mm yağış gerçekleşmesine rağmen HOL-HSE-PRO-011 Madde 7.1'deki ≥50 mm yağışta otomatik iptal kuralı uygulanmadı, iş izni 10.02.2026'dan 12.02.2026'ya kadar güncellenmedi, REC İSG 'GÖRÜLDÜ' kaşesi kullanılmadı ve majör çevresel değişim sonrası yeniden risk değerlendirmesi yapılmadı. Bu nedenle sözlü iş durdurma kararı resmi bir PTW iptaliyle desteklenmedi ve çalışanların yetkisiz olarak çalışmayı yeniden başlatmasını engelleyecek prosedürel bariyer fiilen devre dışı kaldı. İş izin sistemi prosedürel bir formalite olarak uygulandı ve gerçek bir güvenlik kontrol mekanizması olarak işlemedi. Yönetim PTW sisteminin etkinliğini düzenli olarak denetlemedi ve iyileştirmedi.</w:t>
            </w:r>
          </w:p>
        </w:tc>
      </w:tr>
    </w:tbl>
    <w:p/>
    <w:p>
      <w:pPr>
        <w:spacing w:before="200" w:after="80"/>
      </w:pPr>
      <w:r>
        <w:rPr>
          <w:b/>
          <w:color w:val="2E6DA4"/>
          <w:sz w:val="22"/>
        </w:rPr>
        <w:t>6.4 Organizasyonel Faktörler</w:t>
      </w:r>
    </w:p>
    <w:p>
      <w:pPr>
        <w:pStyle w:val="ListBullet"/>
        <w:spacing w:before="40" w:after="40"/>
      </w:pPr>
      <w:r>
        <w:rPr>
          <w:color w:val="444444"/>
          <w:sz w:val="20"/>
        </w:rPr>
        <w:t>94 mm yağış gerçekleşmesine rağmen HOL-HSE-PRO-011 Madde 7.1'deki ≥50 mm yağışta PTW otomatik iptal kuralının uygulanmaması</w:t>
      </w:r>
    </w:p>
    <w:p>
      <w:pPr>
        <w:pStyle w:val="ListBullet"/>
        <w:spacing w:before="40" w:after="40"/>
      </w:pPr>
      <w:r>
        <w:rPr>
          <w:color w:val="444444"/>
          <w:sz w:val="20"/>
        </w:rPr>
        <w:t>İş izninin (No: 198 ve 655) 10.02.2026'dan 12.02.2026'ya kadar güncellenmemesi ve yenilenmemesi</w:t>
      </w:r>
    </w:p>
    <w:p>
      <w:pPr>
        <w:pStyle w:val="ListBullet"/>
        <w:spacing w:before="40" w:after="40"/>
      </w:pPr>
      <w:r>
        <w:rPr>
          <w:color w:val="444444"/>
          <w:sz w:val="20"/>
        </w:rPr>
        <w:t>REC İSG 'GÖRÜLDÜ' kaşesinin iş izinlerinde kullanılmaması ve onay mekanizmasının işletilmemesi</w:t>
      </w:r>
    </w:p>
    <w:p>
      <w:pPr>
        <w:pStyle w:val="ListBullet"/>
        <w:spacing w:before="40" w:after="40"/>
      </w:pPr>
      <w:r>
        <w:rPr>
          <w:color w:val="444444"/>
          <w:sz w:val="20"/>
        </w:rPr>
        <w:t>Majör çevresel değişim (94 mm yağış) sonrası yeniden risk değerlendirmesi yapılmaması</w:t>
      </w:r>
    </w:p>
    <w:p>
      <w:pPr>
        <w:pStyle w:val="ListBullet"/>
        <w:spacing w:before="40" w:after="40"/>
      </w:pPr>
      <w:r>
        <w:rPr>
          <w:color w:val="444444"/>
          <w:sz w:val="20"/>
        </w:rPr>
        <w:t>Sözlü iş durdurma kararının resmi PTW iptaliyle desteklenmemesi ve fiziksel bariyerlerle (kazı alanı kapatma, erişim engelleme) güçlendirilmemesi</w:t>
      </w:r>
    </w:p>
    <w:p>
      <w:pPr>
        <w:pStyle w:val="ListBullet"/>
        <w:spacing w:before="40" w:after="40"/>
      </w:pPr>
      <w:r>
        <w:rPr>
          <w:color w:val="444444"/>
          <w:sz w:val="20"/>
        </w:rPr>
        <w:t>PTW sisteminin prosedürel bir formalite olarak uygulanması ve gerçek bir güvenlik bariyeri olarak işlememesi</w:t>
      </w:r>
    </w:p>
    <w:p>
      <w:pPr>
        <w:pStyle w:val="ListBullet"/>
        <w:spacing w:before="40" w:after="40"/>
      </w:pPr>
      <w:r>
        <w:rPr>
          <w:color w:val="444444"/>
          <w:sz w:val="20"/>
        </w:rPr>
        <w:t>İş izin sisteminin etkinliğinin düzenli olarak denetlenmemesi ve iyileştirilmemesi</w:t>
      </w:r>
    </w:p>
    <w:p>
      <w:pPr>
        <w:pStyle w:val="ListBullet"/>
        <w:spacing w:before="40" w:after="40"/>
      </w:pPr>
      <w:r>
        <w:rPr>
          <w:color w:val="444444"/>
          <w:sz w:val="20"/>
        </w:rPr>
        <w:t>Otomatik iptal tetikleyicileri, fiziksel bariyerler ve günlük gözden geçirme gibi PTW kontrol mekanizmalarının geliştirilmemesi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Şantiye şefi ve İSG denetçisi çalışma durdurma kararını sözlü olarak bildirmiş ancak kararın fiziksel olarak uygulanmasını takip edecek mekanizma oluşturmamış, sahadan ayrılırken çalışanları izleyecek veya kararı teyit edecek gözetim personeli bırakmamıştır. Majör çevresel değişim (94 mm yağış) bilgisi tüm paydaşlara etkin şekilde iletilmemiş ve PTW otomatik iptal mekanizması tetiklenmemiştir.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Kaza günü verilen TRIC kart eğitimi 'Demir tezgah çalışmaları' konusunda olup iş kapsamıyla (kazı ve boru montajı) tamamen uyumsuzdu. Şiddetli yağış sonrası risk seviyesi değişmesine rağmen TRIC kartı yenilenmedi ve TBT (Toolbox Talk) yapılmadı. Zemin stabilitesi ve göçük riski bilgisi çalışanlara aktarılmadı. Kazazedenin 463 toolbox ve 82 interaktif eğitim geçmişine rağmen teorik eğitim davranışa dönüşmedi ve sahada uygulanabilirlik zayıf kaldı.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7 aktif lokasyonu 3 kişilik kadroyla denetleme yapısı sistematik gözetim için yetersizdi. Kaza günü deplase şefi izindeydi ve vekil belirlenmemişti, bölge İSG sorumlusu sahada yoktu ve ikame atanmamıştı. Çalışma durdurma kararı verildikten sonra sahada hiçbir gözetim personeli kalmadı ve çalışanların yetkisiz faaliyetini engelleyecek mekanizma bulunmadı. 777 uygunsuzluk kaydına rağmen gözetim kapasitesi artırılmadı.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Prosedür Uyumsuzluğu</w:t>
            </w:r>
          </w:p>
        </w:tc>
        <w:tc>
          <w:tcPr>
            <w:tcW w:type="dxa" w:w="3120"/>
            <w:shd w:val="clear" w:color="auto" w:fill="FFFFFF"/>
            <w:tcMar>
              <w:top w:w="80" w:type="dxa"/>
              <w:bottom w:w="80" w:type="dxa"/>
              <w:left w:w="120" w:type="dxa"/>
              <w:right w:w="120" w:type="dxa"/>
            </w:tcMar>
          </w:tcPr>
          <w:p>
            <w:r>
              <w:rPr>
                <w:b w:val="0"/>
                <w:color w:val="444444"/>
                <w:sz w:val="20"/>
              </w:rPr>
              <w:t>2,60 m derinliğindeki kazıda prosedür gereği zorunlu olan şev/iksa uygulaması yapılmadı (AKD-MA-ALT-DPL-076 ve HOL-HSE-PRO-108 ihlali). Yağış altında kazı çalışması yasağı ihlal edildi (14:30'dan itibaren şiddetli yağış). ≥50 mm yağışta PTW otomatik iptali kuralı uygulanmadı. Yağış sonrası Toprak İşleri Şefi tarafından zemin ve güvenlik ekipmanı kontrolü yapılmadı. Kazı güvenlik işaret levhaları bulunmadı.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Değerlendirme Eksikliği</w:t>
            </w:r>
          </w:p>
        </w:tc>
        <w:tc>
          <w:tcPr>
            <w:tcW w:type="dxa" w:w="3120"/>
            <w:shd w:val="clear" w:color="auto" w:fill="F5F5F5"/>
            <w:tcMar>
              <w:top w:w="80" w:type="dxa"/>
              <w:bottom w:w="80" w:type="dxa"/>
              <w:left w:w="120" w:type="dxa"/>
              <w:right w:w="120" w:type="dxa"/>
            </w:tcMar>
          </w:tcPr>
          <w:p>
            <w:r>
              <w:rPr>
                <w:b w:val="0"/>
                <w:color w:val="444444"/>
                <w:sz w:val="20"/>
              </w:rPr>
              <w:t>Majör çevresel değişim (94 mm yağış) sonrası yeniden risk değerlendirmesi yapılmadı. Akdeniz Altyapı Risk Değerlendirmesi Madde 441/458/469'da tanımlı tehlikeler (kazıya uygun şevlendirme yapılmaması, toprak kayması) ve kontroller (1/3 şev oranı, iksa/file) sahada uygulanmadı. Çalışanlar sundurma çökme riskini kendi başlarına değerlendirdi ancak kazı göçük riskini yeterince değerlendirmedi.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Yönetimin 777 uygunsuzluk kaydı, 54 iş durdurma ve düşen prosedür uyum oranlarına rağmen sapmalara tolerans göstermesi, güvenlik sapmalarının normalleşmesine neden oldu. Çalışanlar yetkili onayı almadan kendi kararlarını alma eğilimi gösterdi. Disiplin ve yaptırım mekanizmaları caydırıcılığını kaybetti. Üretim tamamlama baskısı (12. boruyu montaj etme kararı) güvenlik önceliğinin önüne geçti.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Çevresel Koşullar</w:t>
            </w:r>
          </w:p>
        </w:tc>
        <w:tc>
          <w:tcPr>
            <w:tcW w:type="dxa" w:w="3120"/>
            <w:shd w:val="clear" w:color="auto" w:fill="F5F5F5"/>
            <w:tcMar>
              <w:top w:w="80" w:type="dxa"/>
              <w:bottom w:w="80" w:type="dxa"/>
              <w:left w:w="120" w:type="dxa"/>
              <w:right w:w="120" w:type="dxa"/>
            </w:tcMar>
          </w:tcPr>
          <w:p>
            <w:r>
              <w:rPr>
                <w:b w:val="0"/>
                <w:color w:val="444444"/>
                <w:sz w:val="20"/>
              </w:rPr>
              <w:t>94 mm yağış (Şubat ortalamasının %115'i) zemin stabilitesini kritik seviyede bozdu. Zemin suya tamamen doygun hale geldi ve taşıma kapasitesi ile kayma direnci kritik ölçüde azaldı. Saat 14:30'dan itibaren şiddeti artarak devam eden yağmur altında çalışma yapıldı. Hava koşulları majör çevresel değişim olarak sınıflandırıldı ancak gerekli kontroller uygulanmadı.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Ekipman ve Teknik Eksiklikler</w:t>
            </w:r>
          </w:p>
        </w:tc>
        <w:tc>
          <w:tcPr>
            <w:tcW w:type="dxa" w:w="3120"/>
            <w:shd w:val="clear" w:color="auto" w:fill="FFFFFF"/>
            <w:tcMar>
              <w:top w:w="80" w:type="dxa"/>
              <w:bottom w:w="80" w:type="dxa"/>
              <w:left w:w="120" w:type="dxa"/>
              <w:right w:w="120" w:type="dxa"/>
            </w:tcMar>
          </w:tcPr>
          <w:p>
            <w:r>
              <w:rPr>
                <w:b w:val="0"/>
                <w:color w:val="444444"/>
                <w:sz w:val="20"/>
              </w:rPr>
              <w:t>2,60 m derinliğindeki kazıda şev veya iksa ekipmanı bulunmadı. Kazı güvenlik işaret levhaları mevcut değildi. Kazı alanına erişimi engelleyecek fiziksel bariyerler (bariyer, şerit, uyarı levhaları) kurulmadı. Yağış sonrası zemin stabilitesini ölçecek veya izleyecek ekipman kullanılmadı.</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Zaman Baskısı ve İş Planlaması</w:t>
            </w:r>
          </w:p>
        </w:tc>
        <w:tc>
          <w:tcPr>
            <w:tcW w:type="dxa" w:w="3120"/>
            <w:shd w:val="clear" w:color="auto" w:fill="F5F5F5"/>
            <w:tcMar>
              <w:top w:w="80" w:type="dxa"/>
              <w:bottom w:w="80" w:type="dxa"/>
              <w:left w:w="120" w:type="dxa"/>
              <w:right w:w="120" w:type="dxa"/>
            </w:tcMar>
          </w:tcPr>
          <w:p>
            <w:r>
              <w:rPr>
                <w:b w:val="0"/>
                <w:color w:val="444444"/>
                <w:sz w:val="20"/>
              </w:rPr>
              <w:t>Çalışanlar sundurma taşıyıcı ayağının çökme riski gerekçesiyle 12. boruyu acilen montaj etme kararı aldı. Dolgu malzemesinin tükenmesi ve yağış nedeniyle çalışma beklemeye alınmış ancak iş tamamlama baskısı devam etti. 7 gün/hafta, 08:00-18:00 çalışma düzeni ve 2 haftada 1 gün izin uygulaması yorgunluk faktörünü artırmış olabilir.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Denetim ve Kontrol Sistemleri</w:t>
            </w:r>
          </w:p>
        </w:tc>
        <w:tc>
          <w:tcPr>
            <w:tcW w:type="dxa" w:w="3120"/>
            <w:shd w:val="clear" w:color="auto" w:fill="FFFFFF"/>
            <w:tcMar>
              <w:top w:w="80" w:type="dxa"/>
              <w:bottom w:w="80" w:type="dxa"/>
              <w:left w:w="120" w:type="dxa"/>
              <w:right w:w="120" w:type="dxa"/>
            </w:tcMar>
          </w:tcPr>
          <w:p>
            <w:r>
              <w:rPr>
                <w:b w:val="0"/>
                <w:color w:val="444444"/>
                <w:sz w:val="20"/>
              </w:rPr>
              <w:t>PTW sistemi etkin bir güvenlik bariyeri olarak işlemedi. İş izinleri 10-12 Şubat arasında güncellenmedi. REC İSG 'GÖRÜLDÜ' kaşesi kullanılmadı. Prosedür uyum değerlendirmeleri Q3 2025'te %82'den Q4 2025'te %78'e düştü ancak düzeltici aksiyon alınmadı. Şev/iksa uygulamalarında sistematik uyumsuzluk tespit edildi ancak yapısal iyileştirme yapılmadı.</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kazı alanlarında acil şev/iksa kontrolü yapılması ve 1,50 m'den derin tüm kazılarda prosedür gereği şev veya iksa uygulamasının zorunlu hale getirilmesi, eksikliklerin derhal giderilmesi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Teknik Müdür / Şantiye Şefleri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Şev/iksa uygulanma oranı %100, tüm kazı alanlarında kontrol tamamlanma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PTW otomatik iptal mekanizmasının (≥50 mm yağış kuralı) sisteme entegre edilmesi, meteorolojik verilerin günlük takibi ve majör çevresel değişim durumunda otomatik PTW iptali prosedürünün uygulanması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Yöneticisi / PTW Koordinatörü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Otomatik iptal sistemi kurulum %100, ≥50 mm yağışta PTW iptal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REC deplase ekibine 7 aktif lokasyon için yeterli personel takviyesi yapılması (minimum 1 yönetici + 5 tekniker), kritik gözetim pozisyonları için vekalet/yedekleme sisteminin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Proje Müdürü / İK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Personel/lokasyon oranı minimum 1:1, vekil belirleme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Akdeniz Altyapı İSG kadrosunun 198 kişilik işgücü için güçlendirilmesi (minimum 4 C sınıfı İSG uzmanı), kritik pozisyonlar için ikame sistemi kurulması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Akdeniz Altyapı Genel Müdürü</w:t>
            </w:r>
          </w:p>
        </w:tc>
        <w:tc>
          <w:tcPr>
            <w:tcW w:type="dxa" w:w="1560"/>
            <w:shd w:val="clear" w:color="auto" w:fill="FFFFFF"/>
            <w:tcMar>
              <w:top w:w="80" w:type="dxa"/>
              <w:bottom w:w="80" w:type="dxa"/>
              <w:left w:w="120" w:type="dxa"/>
              <w:right w:w="120" w:type="dxa"/>
            </w:tcMar>
          </w:tcPr>
          <w:p>
            <w:r>
              <w:rPr>
                <w:color w:val="444444"/>
                <w:sz w:val="18"/>
              </w:rPr>
              <w:t>3 hafta</w:t>
            </w:r>
          </w:p>
        </w:tc>
        <w:tc>
          <w:tcPr>
            <w:tcW w:type="dxa" w:w="1560"/>
            <w:shd w:val="clear" w:color="auto" w:fill="FFFFFF"/>
            <w:tcMar>
              <w:top w:w="80" w:type="dxa"/>
              <w:bottom w:w="80" w:type="dxa"/>
              <w:left w:w="120" w:type="dxa"/>
              <w:right w:w="120" w:type="dxa"/>
            </w:tcMar>
          </w:tcPr>
          <w:p>
            <w:r>
              <w:rPr>
                <w:color w:val="444444"/>
                <w:sz w:val="18"/>
              </w:rPr>
              <w:t>İSG uzmanı/çalışan oranı 1:50, ikame sistemi kurulum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İş durdurma kararlarının fiziksel bariyerlerle (kazı alanı kapatma, erişim engelleme, uyarı levhaları) desteklenmesi prosedürünün oluşturulması ve uygulanması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Uzmanı / Şantiye Şefleri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Fiziksel bariyer uygulama oranı %100, iş durdurma kararı uyum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Kazı güvenliği zorunlu eğitim programının (zemin stabilitesi, göçük riski, şev/iksa uygulamaları, majör çevresel değişim) tüm kazı çalışanlarına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Eğitim Koordinatörü / OSGB</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tamamlama %100, eğitim sonrası değerlendirme skoru ≥80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TRIC kart sisteminin iş kapsamıyla uyumlu hale getirilmesi, majör çevresel değişim durumunda TRIC kartı yenileme ve TBT yapma zorunluluğunun getirilmesi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Uzmanı / Vardiya Amirleri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TRIC kart uyum oranı %100, majör değişimde yenileme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PTW sisteminin etkinliğini artırmak için günlük gözden geçirme, REC İSG 'GÖRÜLDÜ' kaşesi zorunluluğu ve yeniden risk değerlendirmesi prosedürünün uygulanması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PTW Koordinatörü / REC İSG</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Günlük PTW gözden geçirme %100, REC kaşe kullanım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Yönetimin bilinen sapmalara tolerans göstermesini önlemek için aylık güvenlik performans değerlendirmesi, sapma trendlerinin üst yönetime raporlanması ve düzeltici aksiyon takip sisteminin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 / Proje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Aylık rapor tamamlama %100, düzeltici aksiyon kapanış oranı ≥90%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Prosedür uyum oranlarını artırmak için haftalık saha denetim programı oluşturulması, şev/iksa uygulamalarına özel kontrol listesi geliştirilmesi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Uzmanı / Denetim Ekibi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Haftalık denetim tamamlama %100, prosedür uyum oranı ≥95%</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Tekrarlayan sapmalara (şantiye şefi hakkındaki 3 disiplin kaydı gibi) etkili yaptırım politikasının oluşturulması ve uygulanması, kritik ihlallerde projeden uzaklaştırma mekanizmasının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İK Müdürü / Proje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Yaptırım politikası onay %100, kritik ihlal uzaklaştırma oranı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Kazı alanlarında zemin stabilitesi izleme sisteminin (çatlak dedektörleri, nem sensörleri) kurulması ve günlük zemin kontrol prosedürünün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Teknik Müdür / Jeoteknik Uzmanı</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İzleme sistemi kurulum %100, günlük kontrol tamamlama %100</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Güvenlik kültürü geliştirme programının (liderlik taahhüdü, çalışan katılımı, sapma raporlama teşviki) başlatılması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Yöneticisi / İK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Kültür anket skoru artışı ≥20%, sapma raporlama oranı artışı</w:t>
            </w:r>
          </w:p>
        </w:tc>
      </w:tr>
      <w:tr>
        <w:tc>
          <w:tcPr>
            <w:tcW w:type="dxa" w:w="1560"/>
            <w:shd w:val="clear" w:color="auto" w:fill="FFFFFF"/>
            <w:tcMar>
              <w:top w:w="80" w:type="dxa"/>
              <w:bottom w:w="80" w:type="dxa"/>
              <w:left w:w="120" w:type="dxa"/>
              <w:right w:w="120" w:type="dxa"/>
            </w:tcMar>
          </w:tcPr>
          <w:p>
            <w:r>
              <w:rPr>
                <w:color w:val="444444"/>
                <w:sz w:val="18"/>
              </w:rPr>
              <w:t>14</w:t>
            </w:r>
          </w:p>
        </w:tc>
        <w:tc>
          <w:tcPr>
            <w:tcW w:type="dxa" w:w="1560"/>
            <w:shd w:val="clear" w:color="auto" w:fill="FFFFFF"/>
            <w:tcMar>
              <w:top w:w="80" w:type="dxa"/>
              <w:bottom w:w="80" w:type="dxa"/>
              <w:left w:w="120" w:type="dxa"/>
              <w:right w:w="120" w:type="dxa"/>
            </w:tcMar>
          </w:tcPr>
          <w:p>
            <w:r>
              <w:rPr>
                <w:color w:val="444444"/>
                <w:sz w:val="18"/>
              </w:rPr>
              <w:t>Yetkisiz çalışma başlatmayı önlemek için 'iş durdurma yetkisi' mekanizmasının tüm çalışanlara verilmesi ve teşvik edilmesi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Proje Müdürü / HSE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Yetki kullanım oranı, güvensiz durum raporlama artışı</w:t>
            </w:r>
          </w:p>
        </w:tc>
      </w:tr>
      <w:tr>
        <w:tc>
          <w:tcPr>
            <w:tcW w:type="dxa" w:w="1560"/>
            <w:shd w:val="clear" w:color="auto" w:fill="F5F5F5"/>
            <w:tcMar>
              <w:top w:w="80" w:type="dxa"/>
              <w:bottom w:w="80" w:type="dxa"/>
              <w:left w:w="120" w:type="dxa"/>
              <w:right w:w="120" w:type="dxa"/>
            </w:tcMar>
          </w:tcPr>
          <w:p>
            <w:r>
              <w:rPr>
                <w:color w:val="444444"/>
                <w:sz w:val="18"/>
              </w:rPr>
              <w:t>15</w:t>
            </w:r>
          </w:p>
        </w:tc>
        <w:tc>
          <w:tcPr>
            <w:tcW w:type="dxa" w:w="1560"/>
            <w:shd w:val="clear" w:color="auto" w:fill="F5F5F5"/>
            <w:tcMar>
              <w:top w:w="80" w:type="dxa"/>
              <w:bottom w:w="80" w:type="dxa"/>
              <w:left w:w="120" w:type="dxa"/>
              <w:right w:w="120" w:type="dxa"/>
            </w:tcMar>
          </w:tcPr>
          <w:p>
            <w:r>
              <w:rPr>
                <w:color w:val="444444"/>
                <w:sz w:val="18"/>
              </w:rPr>
              <w:t>Kazı güvenlik standartlarının (HOL-HSE-PRO-108, AKD-MA-ALT-DPL-076) revizyonu ve majör çevresel değişim koşullarına göre güncellenmesi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Direktör / HSE Yöneticisi</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Standart revizyon tamamlama %100, güncellik oranı</w:t>
            </w:r>
          </w:p>
        </w:tc>
      </w:tr>
      <w:tr>
        <w:tc>
          <w:tcPr>
            <w:tcW w:type="dxa" w:w="1560"/>
            <w:shd w:val="clear" w:color="auto" w:fill="FFFFFF"/>
            <w:tcMar>
              <w:top w:w="80" w:type="dxa"/>
              <w:bottom w:w="80" w:type="dxa"/>
              <w:left w:w="120" w:type="dxa"/>
              <w:right w:w="120" w:type="dxa"/>
            </w:tcMar>
          </w:tcPr>
          <w:p>
            <w:r>
              <w:rPr>
                <w:color w:val="444444"/>
                <w:sz w:val="18"/>
              </w:rPr>
              <w:t>16</w:t>
            </w:r>
          </w:p>
        </w:tc>
        <w:tc>
          <w:tcPr>
            <w:tcW w:type="dxa" w:w="1560"/>
            <w:shd w:val="clear" w:color="auto" w:fill="FFFFFF"/>
            <w:tcMar>
              <w:top w:w="80" w:type="dxa"/>
              <w:bottom w:w="80" w:type="dxa"/>
              <w:left w:w="120" w:type="dxa"/>
              <w:right w:w="120" w:type="dxa"/>
            </w:tcMar>
          </w:tcPr>
          <w:p>
            <w:r>
              <w:rPr>
                <w:color w:val="444444"/>
                <w:sz w:val="18"/>
              </w:rPr>
              <w:t>Güvenlik performans takip sisteminin (öncü göstergeler: denetim sayısı, eğitim tamamlama, PTW uyumu) kurulması ve aylık raporlanması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Yöneticisi / Veri Analisti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Sistem kurulum %100, aylık rapor tamamlama %100</w:t>
            </w:r>
          </w:p>
        </w:tc>
      </w:tr>
      <w:tr>
        <w:tc>
          <w:tcPr>
            <w:tcW w:type="dxa" w:w="1560"/>
            <w:shd w:val="clear" w:color="auto" w:fill="F5F5F5"/>
            <w:tcMar>
              <w:top w:w="80" w:type="dxa"/>
              <w:bottom w:w="80" w:type="dxa"/>
              <w:left w:w="120" w:type="dxa"/>
              <w:right w:w="120" w:type="dxa"/>
            </w:tcMar>
          </w:tcPr>
          <w:p>
            <w:r>
              <w:rPr>
                <w:color w:val="444444"/>
                <w:sz w:val="18"/>
              </w:rPr>
              <w:t>17</w:t>
            </w:r>
          </w:p>
        </w:tc>
        <w:tc>
          <w:tcPr>
            <w:tcW w:type="dxa" w:w="1560"/>
            <w:shd w:val="clear" w:color="auto" w:fill="F5F5F5"/>
            <w:tcMar>
              <w:top w:w="80" w:type="dxa"/>
              <w:bottom w:w="80" w:type="dxa"/>
              <w:left w:w="120" w:type="dxa"/>
              <w:right w:w="120" w:type="dxa"/>
            </w:tcMar>
          </w:tcPr>
          <w:p>
            <w:r>
              <w:rPr>
                <w:color w:val="444444"/>
                <w:sz w:val="18"/>
              </w:rPr>
              <w:t>Kazı çalışmalarında yapay zeka destekli göçük risk tahmin sisteminin pilot uygulamasının başlatılması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Direktör / Ar-Ge Birimi</w:t>
            </w:r>
          </w:p>
        </w:tc>
        <w:tc>
          <w:tcPr>
            <w:tcW w:type="dxa" w:w="1560"/>
            <w:shd w:val="clear" w:color="auto" w:fill="F5F5F5"/>
            <w:tcMar>
              <w:top w:w="80" w:type="dxa"/>
              <w:bottom w:w="80" w:type="dxa"/>
              <w:left w:w="120" w:type="dxa"/>
              <w:right w:w="120" w:type="dxa"/>
            </w:tcMar>
          </w:tcPr>
          <w:p>
            <w:r>
              <w:rPr>
                <w:color w:val="444444"/>
                <w:sz w:val="18"/>
              </w:rPr>
              <w:t>12 ay</w:t>
            </w:r>
          </w:p>
        </w:tc>
        <w:tc>
          <w:tcPr>
            <w:tcW w:type="dxa" w:w="1560"/>
            <w:shd w:val="clear" w:color="auto" w:fill="F5F5F5"/>
            <w:tcMar>
              <w:top w:w="80" w:type="dxa"/>
              <w:bottom w:w="80" w:type="dxa"/>
              <w:left w:w="120" w:type="dxa"/>
              <w:right w:w="120" w:type="dxa"/>
            </w:tcMar>
          </w:tcPr>
          <w:p>
            <w:r>
              <w:rPr>
                <w:color w:val="444444"/>
                <w:sz w:val="18"/>
              </w:rPr>
              <w:t>Pilot uygulama tamamlama, risk tahmin doğruluğu</w:t>
            </w:r>
          </w:p>
        </w:tc>
      </w:tr>
      <w:tr>
        <w:tc>
          <w:tcPr>
            <w:tcW w:type="dxa" w:w="1560"/>
            <w:shd w:val="clear" w:color="auto" w:fill="FFFFFF"/>
            <w:tcMar>
              <w:top w:w="80" w:type="dxa"/>
              <w:bottom w:w="80" w:type="dxa"/>
              <w:left w:w="120" w:type="dxa"/>
              <w:right w:w="120" w:type="dxa"/>
            </w:tcMar>
          </w:tcPr>
          <w:p>
            <w:r>
              <w:rPr>
                <w:color w:val="444444"/>
                <w:sz w:val="18"/>
              </w:rPr>
              <w:t>18</w:t>
            </w:r>
          </w:p>
        </w:tc>
        <w:tc>
          <w:tcPr>
            <w:tcW w:type="dxa" w:w="1560"/>
            <w:shd w:val="clear" w:color="auto" w:fill="FFFFFF"/>
            <w:tcMar>
              <w:top w:w="80" w:type="dxa"/>
              <w:bottom w:w="80" w:type="dxa"/>
              <w:left w:w="120" w:type="dxa"/>
              <w:right w:w="120" w:type="dxa"/>
            </w:tcMar>
          </w:tcPr>
          <w:p>
            <w:r>
              <w:rPr>
                <w:color w:val="444444"/>
                <w:sz w:val="18"/>
              </w:rPr>
              <w:t>Sözleşmesel idari yaptırımların etkinliğinin değerlendirilmesi ve gerekirse yaptırım mekanizmasının güçlendirilmesi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Hukuk Müşaviri / Sözleşme Yöneticisi</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Değerlendirme tamamlama, yaptırım etkinlik skoru</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Çalışma durdurma kararları mutlaka fiziksel bariyerlerle (kazı alanı kapatma, erişim engelleme, uyarı levhaları) desteklenmeli ve kararın uygulanması sahada fiziksel olarak teyit edilmelidir. Sözlü kararlar tek başına yeterli değildir.</w:t>
              <w:br/>
              <w:t>- Majör çevresel değişim koşullarında (≥50 mm yağış gibi) PTW otomatik iptal mekanizması mutlaka işletilmeli, iş izinleri derhal kapatılmalı ve yeniden risk değerlendirmesi yapılmalıdır. Meteorolojik veriler günlük takip edilmelidir.</w:t>
              <w:br/>
              <w:t>- 1,50 m'den derin tüm kazılarda şev veya iksa uygulaması prosedür gereği zorunludur ve hiçbir koşulda ihmal edilmemelidir. Zemin stabilitesi bozulduğunda (yağış, titreşim vb.) kazı derhal durdurulmalı ve teknik kontrol yapılmalıdır.</w:t>
              <w:br/>
              <w:t>- Kritik gözetim pozisyonları (deplase şefi, bölge İSG sorumlusu) için mutlaka vekalet/yedekleme sistemi oluşturulmalı ve yokluk durumunda ikame personel atanmalıdır. Gözetim sürekliliği sağlanmalıdır.</w:t>
              <w:br/>
              <w:t>- Yönetim bilinen sapmalara (uygunsuzluk kayıtları, düşen prosedür uyum oranları, tekrarlayan disiplin kayıtları) tolerans göstermemeli, derhal düzeltici aksiyon almalı ve gerekirse yapısal değişiklikler yapmalıdır. Sapmaların normalleşmesine izin verilmemelidir.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Güvenlik kültürünün güçlendirilmesi: Yönetim taahhüdünün görünür hale getirilmesi, çalışan katılımının teşvik edilmesi, sapma raporlamanın ödüllendirilmesi ve 'iş durdurma yetkisi'nin tüm çalışanlara verilmesi</w:t>
              <w:br/>
              <w:t>- Personel ve iş yükü planlamasının saha gerçekleriyle orantılı hale getirilmesi: Denetim kapasitesinin artırılması (7 lokasyon için minimum 1 yönetici + 5 tekniker), İSG uzmanı/çalışan oranının iyileştirilmesi (1:50)</w:t>
              <w:br/>
              <w:t>- PTW sisteminin etkin bir güvenlik bariyeri olarak yeniden tasarlanması: Otomatik iptal tetikleyicileri, fiziksel bariyerler, günlük gözden geçirme, REC İSG onay zorunluluğu ve yeniden risk değerlendirmesi mekanizmalarının entegrasyonu</w:t>
              <w:br/>
              <w:t>- Prosedür uyum oranlarının sürekli izlenmesi ve iyileştirilmesi: Haftalık saha denetimleri, şev/iksa özel kontrol listeleri, aylık performans raporlaması ve düzeltici aksiyon takip sistemi</w:t>
              <w:br/>
              <w:t>- Zemin stabilitesi izleme ve erken uyarı sistemlerinin kurulması: Çatlak dedektörleri, nem sensörleri, günlük zemin kontrolleri ve yapay zeka destekli göçük risk tahmin sistemleri</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Kaza detayları ve öğrenilen dersler tüm proje paydaşlarına (REC, Akdeniz Altyapı, diğer alt işverenler, OSGB) paylaşılmalı ve benzer kazaların önlenmesi için farkındalık oluşturulmalıdır</w:t>
              <w:br/>
              <w:t>- Majör çevresel değişim koşulları (yağış, fırtına, sıcaklık vb.) tüm saha çalışanlarına anlık olarak iletilmeli ve gerekli önlemler (PTW iptali, iş durdurma, kazı kapatma) derhal uygulanmalıdır</w:t>
              <w:br/>
              <w:t>- Çalışma durdurma kararları sözlü bildirimin yanı sıra yazılı olarak (SMS, e-posta, WhatsApp grubu) tüm ekibe iletilmeli ve kararın uygulanması fiziksel olarak teyit edilmelidir</w:t>
              <w:br/>
              <w:t>- Prosedür değişiklikleri, güvenlik uyarıları ve düzeltici aksiyonlar düzenli toolbox toplantıları (TBT) ile çalışanlara aktarılmalı ve geri bildirim alınmalıdır</w:t>
              <w:br/>
              <w:t>- Üst yönetime aylık güvenlik performans raporları (uygunsuzluk trendleri, prosedür uyum oranları, düzeltici aksiyon durumu) sunulmalı ve yönetim taahhüdü güçlendirilmelidir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Kazı güvenliği zorunlu eğitim programı: Zemin stabilitesi, göçük riski, şev/iksa uygulamaları, majör çevresel değişim koşulları, acil durum prosedürleri (tüm kazı çalışanlarına, yıllık tekrar)</w:t>
              <w:br/>
              <w:t>- PTW sistemi eğitimi: İş izni açma/kapatma prosedürü, otomatik iptal kuralları, yeniden risk değerlendirmesi, fiziksel bariyer uygulamaları (tüm şantiye şefleri ve İSG uzmanlarına)</w:t>
              <w:br/>
              <w:t>- Liderlik ve gözetim eğitimi: Çalışma durdurma kararı verme ve uygulama, fiziksel teyit prosedürleri, vekalet/yedekleme sistemi, sapmalara müdahale (tüm yönetici ve amirlere)</w:t>
              <w:br/>
              <w:t>- Davranışsal güvenlik eğitimi: Yetkisiz sapma riskleri, 'iş durdurma yetkisi' kullanımı, güvensiz durum raporlama, akran müdahalesi (tüm çalışanlara, interaktif format)</w:t>
              <w:br/>
              <w:t>- Acil durum ve kurtarma eğitimi: Göçük altından kurtarma teknikleri, ilk yardım, acil servis çağrısı, olay yeri güvenliği (tüm ekip liderlerine, yılda 2 kez tatbikat)</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12.02.2026 tarihinde MAOG Projesi Mersin-Adana kesiminde meydana gelen kazı göçüğü kazası, tekil bir hata değil, çoklu bariyer ihlallerinin ve sistemik zayıflıkların birleşimi sonucu gerçekleşmiştir. HSG245 metodolojisi ile yapılan kök neden analizi, kazanın üç ana organizasyonel kök nedene dayandığını ortaya koymuştur: (1) Yönetimin bilinen sapmalara tolerans göstermesi (D1.9), (2) Yetersiz personel ve iş yükü planlaması (D3.5), (3) İş izin sisteminin etkisiz olması (D4.4). Kaza önlenebilirdi: 777 uygunsuzluk kaydı, 54 iş durdurma, düşen prosedür uyum oranları (%82→%78) ve şev/iksa uygulamalarında sistematik uyumsuzluk erken sinyal olarak mevcuttu ancak yönetim etkili müdahale sağlamadı. Prosedürler tanımlıydı (kazı güvenliği, yağışta çalışma yasağı, PTW iptali) ancak sahada uygulanmadı. Majör çevresel değişim (94 mm yağış) dinamik risk yönetimi süreciyle yönetilmedi ve TRIC→TBT→PTW zinciri işlemedi. Şantiye şefi ve İSG denetçisi sahadan ayrıldıktan sonra çalışanların yetkisiz olarak işe devam etmesi, kritik bir organizasyonel güven eksikliğine ve denetim boşluğuna işaret etmektedir. Bu kaza, güvenlik yönetim sisteminin kağıt üzerinde değil, sahada etkin şekilde işletilmesi gerektiğini acı bir şekilde hatırlatmıştır.</w:t>
      </w:r>
    </w:p>
    <w:p>
      <w:pPr>
        <w:spacing w:before="200" w:after="80"/>
      </w:pPr>
      <w:r>
        <w:rPr>
          <w:b/>
          <w:color w:val="2E6DA4"/>
          <w:sz w:val="22"/>
        </w:rPr>
        <w:t>10.2 Kısa Vadeli Önlemler (1-2 Ay)</w:t>
      </w:r>
    </w:p>
    <w:p>
      <w:pPr>
        <w:pStyle w:val="ListBullet"/>
        <w:spacing w:before="40" w:after="40"/>
      </w:pPr>
      <w:r>
        <w:rPr>
          <w:color w:val="444444"/>
          <w:sz w:val="20"/>
        </w:rPr>
        <w:t>Tüm kazı alanlarında acil şev/iksa kontrolü ve eksikliklerin derhal giderilmesi (1 hafta): 1,50 m'den derin tüm kazılarda prosedür gereği şev veya iksa uygulamasının zorunlu hale getirilmesi, mevcut kazıların teknik kontrolü ve güvenlik önlemlerinin tamamlanması</w:t>
      </w:r>
    </w:p>
    <w:p>
      <w:pPr>
        <w:pStyle w:val="ListBullet"/>
        <w:spacing w:before="40" w:after="40"/>
      </w:pPr>
      <w:r>
        <w:rPr>
          <w:color w:val="444444"/>
          <w:sz w:val="20"/>
        </w:rPr>
        <w:t>PTW otomatik iptal mekanizmasının sisteme entegrasyonu (2 hafta): ≥50 mm yağış kuralının otomatik tetiklenmesi, meteorolojik verilerin günlük takibi, majör çevresel değişim durumunda PTW iptali ve yeniden risk değerlendirmesi prosedürünün uygulanması</w:t>
      </w:r>
    </w:p>
    <w:p>
      <w:pPr>
        <w:pStyle w:val="ListBullet"/>
        <w:spacing w:before="40" w:after="40"/>
      </w:pPr>
      <w:r>
        <w:rPr>
          <w:color w:val="444444"/>
          <w:sz w:val="20"/>
        </w:rPr>
        <w:t>Denetim kapasitesinin acil takviyesi (2-3 hafta): REC deplase ekibine 7 aktif lokasyon için yeterli personel eklenmesi (minimum 1 yönetici + 5 tekniker), Akdeniz Altyapı İSG kadrosunun güçlendirilmesi (minimum 4 C sınıfı İSG uzmanı), kritik pozisyonlar için vekalet/yedekleme sisteminin kurulması</w:t>
      </w:r>
    </w:p>
    <w:p>
      <w:pPr>
        <w:pStyle w:val="ListBullet"/>
        <w:spacing w:before="40" w:after="40"/>
      </w:pPr>
      <w:r>
        <w:rPr>
          <w:color w:val="444444"/>
          <w:sz w:val="20"/>
        </w:rPr>
        <w:t>İş durdurma kararlarının fiziksel bariyerlerle desteklenmesi (1 ay): Kazı alanı kapatma, erişim engelleme, uyarı levhaları gibi fiziksel bariyerlerin uygulanması, sözlü kararların yazılı olarak iletilmesi ve fiziksel teyit prosedürünün oluşturulması</w:t>
      </w:r>
    </w:p>
    <w:p>
      <w:pPr>
        <w:pStyle w:val="ListBullet"/>
        <w:spacing w:before="40" w:after="40"/>
      </w:pPr>
      <w:r>
        <w:rPr>
          <w:color w:val="444444"/>
          <w:sz w:val="20"/>
        </w:rPr>
        <w:t>Kazı güvenliği zorunlu eğitim programının başlatılması (1 ay): Zemin stabilitesi, göçük riski, şev/iksa uygulamaları, majör çevresel değişim koşulları konularında tüm kazı çalışanlarına eğitim verilmesi ve değerlendirme yapılması</w:t>
      </w:r>
    </w:p>
    <w:p/>
    <w:p>
      <w:pPr>
        <w:spacing w:before="200" w:after="80"/>
      </w:pPr>
      <w:r>
        <w:rPr>
          <w:b/>
          <w:color w:val="2E6DA4"/>
          <w:sz w:val="22"/>
        </w:rPr>
        <w:t>10.3 Uzun Vadeli İyileştirmeler (3-12 Ay)</w:t>
      </w:r>
    </w:p>
    <w:p>
      <w:pPr>
        <w:pStyle w:val="ListBullet"/>
        <w:spacing w:before="40" w:after="40"/>
      </w:pPr>
      <w:r>
        <w:rPr>
          <w:color w:val="444444"/>
          <w:sz w:val="20"/>
        </w:rPr>
        <w:t>Güvenlik kültürü dönüşüm programı (3-12 ay): Yönetim taahhüdünün görünür hale getirilmesi, çalışan katılımının teşvik edilmesi, sapma raporlamanın ödüllendirilmesi, 'iş durdurma yetkisi'nin tüm çalışanlara verilmesi ve güvenlik liderliği eğitimlerinin düzenlenmesi</w:t>
      </w:r>
    </w:p>
    <w:p>
      <w:pPr>
        <w:pStyle w:val="ListBullet"/>
        <w:spacing w:before="40" w:after="40"/>
      </w:pPr>
      <w:r>
        <w:rPr>
          <w:color w:val="444444"/>
          <w:sz w:val="20"/>
        </w:rPr>
        <w:t>PTW sisteminin yeniden tasarımı ve etkinleştirilmesi (3-6 ay): Otomatik iptal tetikleyicileri, fiziksel bariyerler, günlük gözden geçirme, REC İSG onay zorunluluğu, yeniden risk değerlendirmesi mekanizmalarının entegrasyonu ve PTW sisteminin gerçek bir güvenlik bariyeri olarak işletilmesi</w:t>
      </w:r>
    </w:p>
    <w:p>
      <w:pPr>
        <w:pStyle w:val="ListBullet"/>
        <w:spacing w:before="40" w:after="40"/>
      </w:pPr>
      <w:r>
        <w:rPr>
          <w:color w:val="444444"/>
          <w:sz w:val="20"/>
        </w:rPr>
        <w:t>Prosedür uyum izleme ve iyileştirme sistemi (3-12 ay): Haftalık saha denetimleri, şev/iksa özel kontrol listeleri, aylık performans raporlaması, düzeltici aksiyon takip sistemi ve prosedür uyum oranının ≥95% seviyesine çıkarılması</w:t>
      </w:r>
    </w:p>
    <w:p>
      <w:pPr>
        <w:pStyle w:val="ListBullet"/>
        <w:spacing w:before="40" w:after="40"/>
      </w:pPr>
      <w:r>
        <w:rPr>
          <w:color w:val="444444"/>
          <w:sz w:val="20"/>
        </w:rPr>
        <w:t>Zemin stabilitesi izleme ve erken uyarı sistemleri (6-12 ay): Çatlak dedektörleri, nem sensörleri, günlük zemin kontrolleri, yapay zeka destekli göçük risk tahmin sistemlerinin kurulması ve proaktif risk yönetiminin sağlanması</w:t>
      </w:r>
    </w:p>
    <w:p>
      <w:pPr>
        <w:pStyle w:val="ListBullet"/>
        <w:spacing w:before="40" w:after="40"/>
      </w:pPr>
      <w:r>
        <w:rPr>
          <w:color w:val="444444"/>
          <w:sz w:val="20"/>
        </w:rPr>
        <w:t>Organizasyonel öğrenme ve sürekli iyileştirme mekanizması (6-12 ay): Kaza ve ramak kala analizlerinin sistematik yapılması, öğrenilen derslerin tüm projelere yayılması, güvenlik performans göstergelerinin düzenli izlenmesi ve yönetim gözden geçirmelerinin etkinleştirilmesi</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 (LTI, ölümlü kaza potansiyeli)</w:t>
            </w:r>
          </w:p>
        </w:tc>
        <w:tc>
          <w:tcPr>
            <w:tcW w:type="dxa" w:w="3120"/>
            <w:shd w:val="clear" w:color="auto" w:fill="27AE60"/>
            <w:tcMar>
              <w:top w:w="80" w:type="dxa"/>
              <w:bottom w:w="80" w:type="dxa"/>
              <w:left w:w="120" w:type="dxa"/>
              <w:right w:w="120" w:type="dxa"/>
            </w:tcMar>
          </w:tcPr>
          <w:p>
            <w:r>
              <w:rPr>
                <w:b w:val="0"/>
                <w:color w:val="FFFFFF"/>
                <w:sz w:val="20"/>
              </w:rPr>
              <w:t>Düşük (ramak kala bile yok)</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%78 (Q4 2025, düşüş trendi)</w:t>
            </w:r>
          </w:p>
        </w:tc>
        <w:tc>
          <w:tcPr>
            <w:tcW w:type="dxa" w:w="3120"/>
            <w:shd w:val="clear" w:color="auto" w:fill="27AE60"/>
            <w:tcMar>
              <w:top w:w="80" w:type="dxa"/>
              <w:bottom w:w="80" w:type="dxa"/>
              <w:left w:w="120" w:type="dxa"/>
              <w:right w:w="120" w:type="dxa"/>
            </w:tcMar>
          </w:tcPr>
          <w:p>
            <w:r>
              <w:rPr>
                <w:b w:val="0"/>
                <w:color w:val="FFFFFF"/>
                <w:sz w:val="20"/>
              </w:rPr>
              <w:t>≥%95 (sürekli iyileşme)</w:t>
            </w:r>
          </w:p>
        </w:tc>
      </w:tr>
      <w:tr>
        <w:tc>
          <w:tcPr>
            <w:tcW w:type="dxa" w:w="3120"/>
            <w:shd w:val="clear" w:color="auto" w:fill="D6E4F0"/>
            <w:tcMar>
              <w:top w:w="80" w:type="dxa"/>
              <w:bottom w:w="80" w:type="dxa"/>
              <w:left w:w="120" w:type="dxa"/>
              <w:right w:w="120" w:type="dxa"/>
            </w:tcMar>
          </w:tcPr>
          <w:p>
            <w:r>
              <w:rPr>
                <w:b/>
                <w:color w:val="1B3A5C"/>
                <w:sz w:val="20"/>
              </w:rPr>
              <w:t>Şev/İksa Uygulaması</w:t>
            </w:r>
          </w:p>
        </w:tc>
        <w:tc>
          <w:tcPr>
            <w:tcW w:type="dxa" w:w="3120"/>
            <w:shd w:val="clear" w:color="auto" w:fill="F5F5F5"/>
            <w:tcMar>
              <w:top w:w="80" w:type="dxa"/>
              <w:bottom w:w="80" w:type="dxa"/>
              <w:left w:w="120" w:type="dxa"/>
              <w:right w:w="120" w:type="dxa"/>
            </w:tcMar>
          </w:tcPr>
          <w:p>
            <w:r>
              <w:rPr>
                <w:b w:val="0"/>
                <w:color w:val="C0392B"/>
                <w:sz w:val="20"/>
              </w:rPr>
              <w:t>Sistematik uyumsuzluk, %0 (kaza lokasyonu)</w:t>
            </w:r>
          </w:p>
        </w:tc>
        <w:tc>
          <w:tcPr>
            <w:tcW w:type="dxa" w:w="3120"/>
            <w:shd w:val="clear" w:color="auto" w:fill="27AE60"/>
            <w:tcMar>
              <w:top w:w="80" w:type="dxa"/>
              <w:bottom w:w="80" w:type="dxa"/>
              <w:left w:w="120" w:type="dxa"/>
              <w:right w:w="120" w:type="dxa"/>
            </w:tcMar>
          </w:tcPr>
          <w:p>
            <w:r>
              <w:rPr>
                <w:b w:val="0"/>
                <w:color w:val="FFFFFF"/>
                <w:sz w:val="20"/>
              </w:rPr>
              <w:t>%100 (1,50 m'den derin tüm kazılar)</w:t>
            </w:r>
          </w:p>
        </w:tc>
      </w:tr>
      <w:tr>
        <w:tc>
          <w:tcPr>
            <w:tcW w:type="dxa" w:w="3120"/>
            <w:shd w:val="clear" w:color="auto" w:fill="D6E4F0"/>
            <w:tcMar>
              <w:top w:w="80" w:type="dxa"/>
              <w:bottom w:w="80" w:type="dxa"/>
              <w:left w:w="120" w:type="dxa"/>
              <w:right w:w="120" w:type="dxa"/>
            </w:tcMar>
          </w:tcPr>
          <w:p>
            <w:r>
              <w:rPr>
                <w:b/>
                <w:color w:val="1B3A5C"/>
                <w:sz w:val="20"/>
              </w:rPr>
              <w:t>PTW Etkinliği</w:t>
            </w:r>
          </w:p>
        </w:tc>
        <w:tc>
          <w:tcPr>
            <w:tcW w:type="dxa" w:w="3120"/>
            <w:shd w:val="clear" w:color="auto" w:fill="F5F5F5"/>
            <w:tcMar>
              <w:top w:w="80" w:type="dxa"/>
              <w:bottom w:w="80" w:type="dxa"/>
              <w:left w:w="120" w:type="dxa"/>
              <w:right w:w="120" w:type="dxa"/>
            </w:tcMar>
          </w:tcPr>
          <w:p>
            <w:r>
              <w:rPr>
                <w:b w:val="0"/>
                <w:color w:val="C0392B"/>
                <w:sz w:val="20"/>
              </w:rPr>
              <w:t>Prosedürel formalite, otomatik iptal işlemedi</w:t>
            </w:r>
          </w:p>
        </w:tc>
        <w:tc>
          <w:tcPr>
            <w:tcW w:type="dxa" w:w="3120"/>
            <w:shd w:val="clear" w:color="auto" w:fill="27AE60"/>
            <w:tcMar>
              <w:top w:w="80" w:type="dxa"/>
              <w:bottom w:w="80" w:type="dxa"/>
              <w:left w:w="120" w:type="dxa"/>
              <w:right w:w="120" w:type="dxa"/>
            </w:tcMar>
          </w:tcPr>
          <w:p>
            <w:r>
              <w:rPr>
                <w:b w:val="0"/>
                <w:color w:val="FFFFFF"/>
                <w:sz w:val="20"/>
              </w:rPr>
              <w:t>Etkin güvenlik bariyeri, otomatik iptal %100</w:t>
            </w:r>
          </w:p>
        </w:tc>
      </w:tr>
      <w:tr>
        <w:tc>
          <w:tcPr>
            <w:tcW w:type="dxa" w:w="3120"/>
            <w:shd w:val="clear" w:color="auto" w:fill="D6E4F0"/>
            <w:tcMar>
              <w:top w:w="80" w:type="dxa"/>
              <w:bottom w:w="80" w:type="dxa"/>
              <w:left w:w="120" w:type="dxa"/>
              <w:right w:w="120" w:type="dxa"/>
            </w:tcMar>
          </w:tcPr>
          <w:p>
            <w:r>
              <w:rPr>
                <w:b/>
                <w:color w:val="1B3A5C"/>
                <w:sz w:val="20"/>
              </w:rPr>
              <w:t>Denetim Kapasitesi</w:t>
            </w:r>
          </w:p>
        </w:tc>
        <w:tc>
          <w:tcPr>
            <w:tcW w:type="dxa" w:w="3120"/>
            <w:shd w:val="clear" w:color="auto" w:fill="F5F5F5"/>
            <w:tcMar>
              <w:top w:w="80" w:type="dxa"/>
              <w:bottom w:w="80" w:type="dxa"/>
              <w:left w:w="120" w:type="dxa"/>
              <w:right w:w="120" w:type="dxa"/>
            </w:tcMar>
          </w:tcPr>
          <w:p>
            <w:r>
              <w:rPr>
                <w:b w:val="0"/>
                <w:color w:val="C0392B"/>
                <w:sz w:val="20"/>
              </w:rPr>
              <w:t>3 kişi/7 lokasyon (yetersiz)</w:t>
            </w:r>
          </w:p>
        </w:tc>
        <w:tc>
          <w:tcPr>
            <w:tcW w:type="dxa" w:w="3120"/>
            <w:shd w:val="clear" w:color="auto" w:fill="27AE60"/>
            <w:tcMar>
              <w:top w:w="80" w:type="dxa"/>
              <w:bottom w:w="80" w:type="dxa"/>
              <w:left w:w="120" w:type="dxa"/>
              <w:right w:w="120" w:type="dxa"/>
            </w:tcMar>
          </w:tcPr>
          <w:p>
            <w:r>
              <w:rPr>
                <w:b w:val="0"/>
                <w:color w:val="FFFFFF"/>
                <w:sz w:val="20"/>
              </w:rPr>
              <w:t>Minimum 6 kişi/7 lokasyon (1:1 oran)</w:t>
            </w:r>
          </w:p>
        </w:tc>
      </w:tr>
      <w:tr>
        <w:tc>
          <w:tcPr>
            <w:tcW w:type="dxa" w:w="3120"/>
            <w:shd w:val="clear" w:color="auto" w:fill="D6E4F0"/>
            <w:tcMar>
              <w:top w:w="80" w:type="dxa"/>
              <w:bottom w:w="80" w:type="dxa"/>
              <w:left w:w="120" w:type="dxa"/>
              <w:right w:w="120" w:type="dxa"/>
            </w:tcMar>
          </w:tcPr>
          <w:p>
            <w:r>
              <w:rPr>
                <w:b/>
                <w:color w:val="1B3A5C"/>
                <w:sz w:val="20"/>
              </w:rPr>
              <w:t>Gözetim Sürekliliği</w:t>
            </w:r>
          </w:p>
        </w:tc>
        <w:tc>
          <w:tcPr>
            <w:tcW w:type="dxa" w:w="3120"/>
            <w:shd w:val="clear" w:color="auto" w:fill="F5F5F5"/>
            <w:tcMar>
              <w:top w:w="80" w:type="dxa"/>
              <w:bottom w:w="80" w:type="dxa"/>
              <w:left w:w="120" w:type="dxa"/>
              <w:right w:w="120" w:type="dxa"/>
            </w:tcMar>
          </w:tcPr>
          <w:p>
            <w:r>
              <w:rPr>
                <w:b w:val="0"/>
                <w:color w:val="C0392B"/>
                <w:sz w:val="20"/>
              </w:rPr>
              <w:t>Vekil yok, denetim boşluğu var</w:t>
            </w:r>
          </w:p>
        </w:tc>
        <w:tc>
          <w:tcPr>
            <w:tcW w:type="dxa" w:w="3120"/>
            <w:shd w:val="clear" w:color="auto" w:fill="27AE60"/>
            <w:tcMar>
              <w:top w:w="80" w:type="dxa"/>
              <w:bottom w:w="80" w:type="dxa"/>
              <w:left w:w="120" w:type="dxa"/>
              <w:right w:w="120" w:type="dxa"/>
            </w:tcMar>
          </w:tcPr>
          <w:p>
            <w:r>
              <w:rPr>
                <w:b w:val="0"/>
                <w:color w:val="FFFFFF"/>
                <w:sz w:val="20"/>
              </w:rPr>
              <w:t>Vekalet sistemi %100, sürekli gözetim</w:t>
            </w:r>
          </w:p>
        </w:tc>
      </w:tr>
      <w:tr>
        <w:tc>
          <w:tcPr>
            <w:tcW w:type="dxa" w:w="3120"/>
            <w:shd w:val="clear" w:color="auto" w:fill="D6E4F0"/>
            <w:tcMar>
              <w:top w:w="80" w:type="dxa"/>
              <w:bottom w:w="80" w:type="dxa"/>
              <w:left w:w="120" w:type="dxa"/>
              <w:right w:w="120" w:type="dxa"/>
            </w:tcMar>
          </w:tcPr>
          <w:p>
            <w:r>
              <w:rPr>
                <w:b/>
                <w:color w:val="1B3A5C"/>
                <w:sz w:val="20"/>
              </w:rPr>
              <w:t>Eğitim Kalitesi</w:t>
            </w:r>
          </w:p>
        </w:tc>
        <w:tc>
          <w:tcPr>
            <w:tcW w:type="dxa" w:w="3120"/>
            <w:shd w:val="clear" w:color="auto" w:fill="F5F5F5"/>
            <w:tcMar>
              <w:top w:w="80" w:type="dxa"/>
              <w:bottom w:w="80" w:type="dxa"/>
              <w:left w:w="120" w:type="dxa"/>
              <w:right w:w="120" w:type="dxa"/>
            </w:tcMar>
          </w:tcPr>
          <w:p>
            <w:r>
              <w:rPr>
                <w:b w:val="0"/>
                <w:color w:val="C0392B"/>
                <w:sz w:val="20"/>
              </w:rPr>
              <w:t>TRIC uyumsuz, TBT yok, teorik</w:t>
            </w:r>
          </w:p>
        </w:tc>
        <w:tc>
          <w:tcPr>
            <w:tcW w:type="dxa" w:w="3120"/>
            <w:shd w:val="clear" w:color="auto" w:fill="27AE60"/>
            <w:tcMar>
              <w:top w:w="80" w:type="dxa"/>
              <w:bottom w:w="80" w:type="dxa"/>
              <w:left w:w="120" w:type="dxa"/>
              <w:right w:w="120" w:type="dxa"/>
            </w:tcMar>
          </w:tcPr>
          <w:p>
            <w:r>
              <w:rPr>
                <w:b w:val="0"/>
                <w:color w:val="FFFFFF"/>
                <w:sz w:val="20"/>
              </w:rPr>
              <w:t>İş kapsamıyla uyumlu, TBT zorunlu, uygulamalı</w:t>
            </w:r>
          </w:p>
        </w:tc>
      </w:tr>
      <w:tr>
        <w:tc>
          <w:tcPr>
            <w:tcW w:type="dxa" w:w="3120"/>
            <w:shd w:val="clear" w:color="auto" w:fill="D6E4F0"/>
            <w:tcMar>
              <w:top w:w="80" w:type="dxa"/>
              <w:bottom w:w="80" w:type="dxa"/>
              <w:left w:w="120" w:type="dxa"/>
              <w:right w:w="120" w:type="dxa"/>
            </w:tcMar>
          </w:tcPr>
          <w:p>
            <w:r>
              <w:rPr>
                <w:b/>
                <w:color w:val="1B3A5C"/>
                <w:sz w:val="20"/>
              </w:rPr>
              <w:t>Yönetim Müdahalesi</w:t>
            </w:r>
          </w:p>
        </w:tc>
        <w:tc>
          <w:tcPr>
            <w:tcW w:type="dxa" w:w="3120"/>
            <w:shd w:val="clear" w:color="auto" w:fill="F5F5F5"/>
            <w:tcMar>
              <w:top w:w="80" w:type="dxa"/>
              <w:bottom w:w="80" w:type="dxa"/>
              <w:left w:w="120" w:type="dxa"/>
              <w:right w:w="120" w:type="dxa"/>
            </w:tcMar>
          </w:tcPr>
          <w:p>
            <w:r>
              <w:rPr>
                <w:b w:val="0"/>
                <w:color w:val="C0392B"/>
                <w:sz w:val="20"/>
              </w:rPr>
              <w:t>777 uygunsuzluğa tolerans, aksiyon yok</w:t>
            </w:r>
          </w:p>
        </w:tc>
        <w:tc>
          <w:tcPr>
            <w:tcW w:type="dxa" w:w="3120"/>
            <w:shd w:val="clear" w:color="auto" w:fill="27AE60"/>
            <w:tcMar>
              <w:top w:w="80" w:type="dxa"/>
              <w:bottom w:w="80" w:type="dxa"/>
              <w:left w:w="120" w:type="dxa"/>
              <w:right w:w="120" w:type="dxa"/>
            </w:tcMar>
          </w:tcPr>
          <w:p>
            <w:r>
              <w:rPr>
                <w:b w:val="0"/>
                <w:color w:val="FFFFFF"/>
                <w:sz w:val="20"/>
              </w:rPr>
              <w:t>Sıfır tolerans, derhal düzeltici aksiyon</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Sapma normalleşmesi, üretim öncelikli</w:t>
            </w:r>
          </w:p>
        </w:tc>
        <w:tc>
          <w:tcPr>
            <w:tcW w:type="dxa" w:w="3120"/>
            <w:shd w:val="clear" w:color="auto" w:fill="27AE60"/>
            <w:tcMar>
              <w:top w:w="80" w:type="dxa"/>
              <w:bottom w:w="80" w:type="dxa"/>
              <w:left w:w="120" w:type="dxa"/>
              <w:right w:w="120" w:type="dxa"/>
            </w:tcMar>
          </w:tcPr>
          <w:p>
            <w:r>
              <w:rPr>
                <w:b w:val="0"/>
                <w:color w:val="FFFFFF"/>
                <w:sz w:val="20"/>
              </w:rPr>
              <w:t>Güvenlik öncelikli, 'iş durdurma yetkisi' aktif</w:t>
            </w:r>
          </w:p>
        </w:tc>
      </w:tr>
      <w:tr>
        <w:tc>
          <w:tcPr>
            <w:tcW w:type="dxa" w:w="3120"/>
            <w:shd w:val="clear" w:color="auto" w:fill="D6E4F0"/>
            <w:tcMar>
              <w:top w:w="80" w:type="dxa"/>
              <w:bottom w:w="80" w:type="dxa"/>
              <w:left w:w="120" w:type="dxa"/>
              <w:right w:w="120" w:type="dxa"/>
            </w:tcMar>
          </w:tcPr>
          <w:p>
            <w:r>
              <w:rPr>
                <w:b/>
                <w:color w:val="1B3A5C"/>
                <w:sz w:val="20"/>
              </w:rPr>
              <w:t>Zemin İzleme</w:t>
            </w:r>
          </w:p>
        </w:tc>
        <w:tc>
          <w:tcPr>
            <w:tcW w:type="dxa" w:w="3120"/>
            <w:shd w:val="clear" w:color="auto" w:fill="F5F5F5"/>
            <w:tcMar>
              <w:top w:w="80" w:type="dxa"/>
              <w:bottom w:w="80" w:type="dxa"/>
              <w:left w:w="120" w:type="dxa"/>
              <w:right w:w="120" w:type="dxa"/>
            </w:tcMar>
          </w:tcPr>
          <w:p>
            <w:r>
              <w:rPr>
                <w:b w:val="0"/>
                <w:color w:val="C0392B"/>
                <w:sz w:val="20"/>
              </w:rPr>
              <w:t>Yok, reaktif yaklaşım</w:t>
            </w:r>
          </w:p>
        </w:tc>
        <w:tc>
          <w:tcPr>
            <w:tcW w:type="dxa" w:w="3120"/>
            <w:shd w:val="clear" w:color="auto" w:fill="27AE60"/>
            <w:tcMar>
              <w:top w:w="80" w:type="dxa"/>
              <w:bottom w:w="80" w:type="dxa"/>
              <w:left w:w="120" w:type="dxa"/>
              <w:right w:w="120" w:type="dxa"/>
            </w:tcMar>
          </w:tcPr>
          <w:p>
            <w:r>
              <w:rPr>
                <w:b w:val="0"/>
                <w:color w:val="FFFFFF"/>
                <w:sz w:val="20"/>
              </w:rPr>
              <w:t>Sensör tabanlı, proaktif erken uyarı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