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KÖK NEDEN ANALİZİ RAPORU</w:t>
      </w:r>
    </w:p>
    <w:p/>
    <w:p>
      <w:pPr>
        <w:jc w:val="center"/>
      </w:pPr>
      <w:r>
        <w:rPr>
          <w:i/>
          <w:color w:val="2E6DA4"/>
          <w:sz w:val="28"/>
        </w:rPr>
        <w:t>HSG245 Metodolojisi ile Hazırlanmıştır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2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2"/>
        </w:rPr>
        <w:t>1.3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2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2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3.1 5-Why Tekniği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3.2 Kod Sistemi</w:t>
      </w:r>
    </w:p>
    <w:p/>
    <w:p>
      <w:pPr>
        <w:spacing w:before="200" w:after="80"/>
      </w:pPr>
      <w:r>
        <w:rPr>
          <w:b/>
          <w:color w:val="2E6DA4"/>
          <w:sz w:val="22"/>
        </w:rPr>
        <w:t>3.3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6. KATKIDA BULUNAN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8.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2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2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