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color w:val="6B7280"/>
          <w:sz w:val="20"/>
          <w:szCs w:val="20"/>
        </w:rPr>
        <w:t xml:space="preserve">TASLAK  ·  v0.1  ·  23 Ekim 2026</w:t>
      </w:r>
    </w:p>
    <w:p>
      <w:pPr>
        <w:spacing w:after="80"/>
      </w:pPr>
      <w:r>
        <w:rPr>
          <w:rFonts w:ascii="Calibri" w:cs="Calibri" w:eastAsia="Calibri" w:hAnsi="Calibri"/>
          <w:b/>
          <w:bCs/>
          <w:color w:val="1F5F8B"/>
          <w:sz w:val="48"/>
          <w:szCs w:val="48"/>
        </w:rPr>
        <w:t xml:space="preserve">FAO-56 Crop Water Requirement Mapper</w:t>
      </w:r>
    </w:p>
    <w:p>
      <w:pPr>
        <w:spacing w:after="200"/>
      </w:pPr>
      <w:r>
        <w:rPr>
          <w:rFonts w:ascii="Calibri" w:cs="Calibri" w:eastAsia="Calibri" w:hAnsi="Calibri"/>
          <w:color w:val="2B2B2B"/>
          <w:sz w:val="28"/>
          <w:szCs w:val="28"/>
        </w:rPr>
        <w:t xml:space="preserve">QGIS eklentisi için kapsam, girdi/çıktı ve yol haritası taslağı</w:t>
      </w:r>
    </w:p>
    <w:p>
      <w:pPr>
        <w:spacing w:after="120" w:line="276"/>
      </w:pPr>
      <w:r>
        <w:rPr>
          <w:rFonts w:ascii="Calibri" w:cs="Calibri" w:eastAsia="Calibri" w:hAnsi="Calibri"/>
          <w:b/>
          <w:bCs/>
          <w:sz w:val="22"/>
          <w:szCs w:val="22"/>
        </w:rPr>
        <w:t xml:space="preserve">Hazırlayan: </w:t>
      </w:r>
      <w:r>
        <w:rPr>
          <w:rFonts w:ascii="Calibri" w:cs="Calibri" w:eastAsia="Calibri" w:hAnsi="Calibri"/>
          <w:sz w:val="22"/>
          <w:szCs w:val="22"/>
        </w:rPr>
        <w:t xml:space="preserve">Prof. Dr. Selçuk Albut — Tekirdağ Namık Kemal Üniversitesi, Ziraat Fakültesi, Biyosistem Mühendisliği Bölümü</w:t>
      </w:r>
    </w:p>
    <w:p>
      <w:pPr>
        <w:spacing w:after="120" w:line="276"/>
      </w:pPr>
      <w:r>
        <w:rPr>
          <w:rFonts w:ascii="Calibri" w:cs="Calibri" w:eastAsia="Calibri" w:hAnsi="Calibri"/>
          <w:b/>
          <w:bCs/>
          <w:sz w:val="22"/>
          <w:szCs w:val="22"/>
        </w:rPr>
        <w:t xml:space="preserve">Durum: </w:t>
      </w:r>
      <w:r>
        <w:rPr>
          <w:rFonts w:ascii="Calibri" w:cs="Calibri" w:eastAsia="Calibri" w:hAnsi="Calibri"/>
          <w:sz w:val="22"/>
          <w:szCs w:val="22"/>
        </w:rPr>
        <w:t xml:space="preserve">Planlama taslağı. Kod yazılmadı; bu belgedeki sayısal değerler ve API ayrıntıları uygulama başlangıcında birincil kaynaktan yeniden doğrulanacaktır (bkz. Bölüm 9).</w:t>
      </w:r>
    </w:p>
    <w:p>
      <w:pPr>
        <w:pStyle w:val="Heading1"/>
        <w:spacing w:after="120" w:before="360"/>
      </w:pPr>
      <w:r>
        <w:rPr>
          <w:rFonts w:ascii="Calibri" w:cs="Calibri" w:eastAsia="Calibri" w:hAnsi="Calibri"/>
          <w:b/>
          <w:bCs/>
          <w:color w:val="1F5F8B"/>
          <w:sz w:val="30"/>
          <w:szCs w:val="30"/>
        </w:rPr>
        <w:t xml:space="preserve">1. Özet ve gerekçe</w:t>
      </w:r>
    </w:p>
    <w:p>
      <w:pPr>
        <w:spacing w:after="120" w:line="276"/>
      </w:pPr>
      <w:r>
        <w:rPr>
          <w:rFonts w:ascii="Calibri" w:cs="Calibri" w:eastAsia="Calibri" w:hAnsi="Calibri"/>
          <w:sz w:val="22"/>
          <w:szCs w:val="22"/>
        </w:rPr>
        <w:t xml:space="preserve">Thiessen Irrigation Weighting eklentisi yayımlandıktan sonra 278 indirmeye ulaştı. Ülke dağılımı (ilk beş: ABD 49, Singapur 10, Almanya 8, Fransa 7, Brezilya 6) kullanıcı kitlesinin büyük çoğunlukla Türkiye dışında ve uluslararası olduğunu gösteriyor. Bu nedenle bir sonraki eklenti de İngilizce arayüzlü ve küresel veriyle çalışacak şekilde tasarlanmalıdır.</w:t>
      </w:r>
    </w:p>
    <w:p>
      <w:pPr>
        <w:spacing w:after="120" w:line="276"/>
      </w:pPr>
      <w:r>
        <w:rPr>
          <w:rFonts w:ascii="Calibri" w:cs="Calibri" w:eastAsia="Calibri" w:hAnsi="Calibri"/>
          <w:sz w:val="22"/>
          <w:szCs w:val="22"/>
        </w:rPr>
        <w:t xml:space="preserve">Önerilen eklenti, bir tarım parseli (veya nokta) için FAO-56 Penman-Monteith referans evapotranspirasyonundan (ETo) başlayıp bitki katsayısıyla bitki su tüketimini (ETc), etkili yağışı düşerek net sulama suyu ihtiyacını mm ve m³ cinsinden hesaplar ve sonucu harita katmanı olarak üretir.</w:t>
      </w:r>
    </w:p>
    <w:p>
      <w:pPr>
        <w:pStyle w:val="Heading2"/>
        <w:spacing w:after="80" w:before="240"/>
      </w:pPr>
      <w:r>
        <w:rPr>
          <w:rFonts w:ascii="Calibri" w:cs="Calibri" w:eastAsia="Calibri" w:hAnsi="Calibri"/>
          <w:b/>
          <w:bCs/>
          <w:color w:val="2B2B2B"/>
          <w:sz w:val="25"/>
          <w:szCs w:val="25"/>
        </w:rPr>
        <w:t xml:space="preserve">1.1 Neden bu eklenti?</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Uzmanlık uyumu: </w:t>
      </w:r>
      <w:r>
        <w:rPr>
          <w:rFonts w:ascii="Calibri" w:cs="Calibri" w:eastAsia="Calibri" w:hAnsi="Calibri"/>
          <w:sz w:val="22"/>
          <w:szCs w:val="22"/>
        </w:rPr>
        <w:t xml:space="preserve">Sulama programlama, ETo/ETc ve CBS bir arada; kitap bölümü, web uygulaması ve Thiessen eklentisiyle tutarlı bir ürün ailesi oluşturur.</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Boşluk: </w:t>
      </w:r>
      <w:r>
        <w:rPr>
          <w:rFonts w:ascii="Calibri" w:cs="Calibri" w:eastAsia="Calibri" w:hAnsi="Calibri"/>
          <w:sz w:val="22"/>
          <w:szCs w:val="22"/>
        </w:rPr>
        <w:t xml:space="preserve">plugins.qgis.org taramasında FAO-56 tam zincirini (ETo → Kc → ETc → net sulama) parsel düzeyinde haritalayan, küresel iklim verisini kendisi çeken bir eklenti bulunmadı. Yakın rakip hargreaves_et yalnızca Hargreaves yöntemine dayanıyor.</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Mevcut varlıklar: </w:t>
      </w:r>
      <w:r>
        <w:rPr>
          <w:rFonts w:ascii="Calibri" w:cs="Calibri" w:eastAsia="Calibri" w:hAnsi="Calibri"/>
          <w:sz w:val="22"/>
          <w:szCs w:val="22"/>
        </w:rPr>
        <w:t xml:space="preserve">Thiessen çekirdeği (istasyon ağırlıklandırma), web uygulamasındaki hesap mantığı ve doğrulama deneyimi yeniden kullanılabilir.</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Görünürlük: </w:t>
      </w:r>
      <w:r>
        <w:rPr>
          <w:rFonts w:ascii="Calibri" w:cs="Calibri" w:eastAsia="Calibri" w:hAnsi="Calibri"/>
          <w:sz w:val="22"/>
          <w:szCs w:val="22"/>
        </w:rPr>
        <w:t xml:space="preserve">Kısa bir etiket kümesiyle (evapotranspiration, irrigation, FAO-56, crop water) arama sonuçlarında öne çıkma potansiyeli.</w:t>
      </w:r>
    </w:p>
    <w:p>
      <w:pPr>
        <w:pStyle w:val="Heading2"/>
        <w:spacing w:after="80" w:before="240"/>
      </w:pPr>
      <w:r>
        <w:rPr>
          <w:rFonts w:ascii="Calibri" w:cs="Calibri" w:eastAsia="Calibri" w:hAnsi="Calibri"/>
          <w:b/>
          <w:bCs/>
          <w:color w:val="2B2B2B"/>
          <w:sz w:val="25"/>
          <w:szCs w:val="25"/>
        </w:rPr>
        <w:t xml:space="preserve">1.2 Web uygulaması ile farkı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
            </w:r>
          </w:p>
        </w:tc>
        <w:tc>
          <w:tcPr>
            <w:tcW w:type="dxa" w:w="358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Web uygulaması (Sulama Programlama)</w:t>
            </w:r>
          </w:p>
        </w:tc>
        <w:tc>
          <w:tcPr>
            <w:tcW w:type="dxa" w:w="358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QGIS eklentisi (bu taslak)</w:t>
            </w:r>
          </w:p>
        </w:tc>
      </w:tr>
      <w:tr>
        <w:tc>
          <w:tcPr>
            <w:tcW w:type="dxa" w:w="22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Kapsam</w:t>
            </w:r>
          </w:p>
        </w:tc>
        <w:tc>
          <w:tcPr>
            <w:tcW w:type="dxa" w:w="35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Türkiye; TAGEM/DSİ 2017 resmi istasyon verisi (259 istasyon, 29 iklim bölgesi) veya NASA POWER</w:t>
            </w:r>
          </w:p>
        </w:tc>
        <w:tc>
          <w:tcPr>
            <w:tcW w:type="dxa" w:w="35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Küresel; NASA POWER ve ERA5 tabanlı Open-Meteo, isteğe bağlı kullanıcı istasyon verisi</w:t>
            </w:r>
          </w:p>
        </w:tc>
      </w:tr>
      <w:tr>
        <w:tc>
          <w:tcPr>
            <w:tcW w:type="dxa" w:w="22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Birim</w:t>
            </w:r>
          </w:p>
        </w:tc>
        <w:tc>
          <w:tcPr>
            <w:tcW w:type="dxa" w:w="35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Tek nokta / tek bitki</w:t>
            </w:r>
          </w:p>
        </w:tc>
        <w:tc>
          <w:tcPr>
            <w:tcW w:type="dxa" w:w="35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Çok parsel, toplu işlem, harita çıktısı</w:t>
            </w:r>
          </w:p>
        </w:tc>
      </w:tr>
      <w:tr>
        <w:tc>
          <w:tcPr>
            <w:tcW w:type="dxa" w:w="22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Çıktı</w:t>
            </w:r>
          </w:p>
        </w:tc>
        <w:tc>
          <w:tcPr>
            <w:tcW w:type="dxa" w:w="35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Ekranda tablo ve grafik</w:t>
            </w:r>
          </w:p>
        </w:tc>
        <w:tc>
          <w:tcPr>
            <w:tcW w:type="dxa" w:w="35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Vektör katman + CSV + stil + isteğe bağlı rapor</w:t>
            </w:r>
          </w:p>
        </w:tc>
      </w:tr>
      <w:tr>
        <w:tc>
          <w:tcPr>
            <w:tcW w:type="dxa" w:w="22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Otomasyon</w:t>
            </w:r>
          </w:p>
        </w:tc>
        <w:tc>
          <w:tcPr>
            <w:tcW w:type="dxa" w:w="35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Yok</w:t>
            </w:r>
          </w:p>
        </w:tc>
        <w:tc>
          <w:tcPr>
            <w:tcW w:type="dxa" w:w="35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QGIS Processing: Graphical Modeler ve Python betikleriyle toplu çalıştırma</w:t>
            </w:r>
          </w:p>
        </w:tc>
      </w:tr>
    </w:tbl>
    <w:p>
      <w:pPr>
        <w:spacing w:after="80"/>
      </w:pPr>
    </w:p>
    <w:p>
      <w:pPr>
        <w:pStyle w:val="Heading1"/>
        <w:spacing w:after="120" w:before="360"/>
      </w:pPr>
      <w:r>
        <w:rPr>
          <w:rFonts w:ascii="Calibri" w:cs="Calibri" w:eastAsia="Calibri" w:hAnsi="Calibri"/>
          <w:b/>
          <w:bCs/>
          <w:color w:val="1F5F8B"/>
          <w:sz w:val="30"/>
          <w:szCs w:val="30"/>
        </w:rPr>
        <w:t xml:space="preserve">2. Kapsam</w:t>
      </w:r>
    </w:p>
    <w:p>
      <w:pPr>
        <w:pStyle w:val="Heading2"/>
        <w:spacing w:after="80" w:before="240"/>
      </w:pPr>
      <w:r>
        <w:rPr>
          <w:rFonts w:ascii="Calibri" w:cs="Calibri" w:eastAsia="Calibri" w:hAnsi="Calibri"/>
          <w:b/>
          <w:bCs/>
          <w:color w:val="2B2B2B"/>
          <w:sz w:val="25"/>
          <w:szCs w:val="25"/>
        </w:rPr>
        <w:t xml:space="preserve">2.1 Kapsam içi (v1.0 hedefi)</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FAO-56 Penman-Monteith günlük ETo (veri kaynağı günlük meteoroloji sağlıyorsa hesap eklentide yapılır; kaynak doğrudan ET0 veriyorsa karşılaştırma için ayrı alanda tutulur).</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Tek-Kc yaklaşımıyla ETc = Kc × ETo; dört büyüme evresi (başlangıç, gelişme, orta sezon, son sezon) ve düzenlenebilir bitki tablosu.</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Etkili yağış yöntem seçimi: sabit oran (ör. %80), USDA SCS (aylık), kullanıcı tanımlı oran.</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Net sulama suyu ihtiyacı (mm, m³, m³/da, m³/ha), günlük/dekadlık/aylık/sezonluk özetler.</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Girdi geometrisi: parsel poligonları (ağırlık merkezinden iklim sorgusu) ve nokta katmanı.</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İklim verisi: NASA POWER günlük, Open-Meteo (ERA5 tabanlı geçmiş veri) ve kullanıcının kendi istasyon tablosu (CSV / nokta katmanı).</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Birden çok istasyon varsa Thiessen alan ağırlığıyla parsele iklim atama (mevcut eklenti çekirdeği).</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QGIS Processing sağlayıcısı olarak kayıt (toplu çalıştırma, model oluşturucuda kullanım) ve basit bir diyalog arayüzü.</w:t>
      </w:r>
    </w:p>
    <w:p>
      <w:pPr>
        <w:pStyle w:val="Heading2"/>
        <w:spacing w:after="80" w:before="240"/>
      </w:pPr>
      <w:r>
        <w:rPr>
          <w:rFonts w:ascii="Calibri" w:cs="Calibri" w:eastAsia="Calibri" w:hAnsi="Calibri"/>
          <w:b/>
          <w:bCs/>
          <w:color w:val="2B2B2B"/>
          <w:sz w:val="25"/>
          <w:szCs w:val="25"/>
        </w:rPr>
        <w:t xml:space="preserve">2.2 Kapsam dışı (şimdilik)</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Uydu görüntüsünden ETc (SEBAL/METRIC, Sentinel-2 NDVI→Kc): ayrı ve çok daha büyük bir proje; v2.0 fikri olarak not edildi.</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Ülkeye özgü resmi veri setlerinin (ör. TAGEM/DSİ tabloları) eklentiye gömülmesi: küresel kitle için FAO-56 varsayılanları kullanılır; Türkiye tabloları kullanıcı tarafından CSV olarak yüklenebilir.</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Sulama sistemi tasarımı, hidrolik hesap, ekonomik analiz.</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Çift-Kc ve toprak su dengesi: v0.3'te ele alınır, v0.1–v0.2 kapsamında değildir.</w:t>
      </w:r>
    </w:p>
    <w:p>
      <w:pPr>
        <w:pStyle w:val="Heading2"/>
        <w:spacing w:after="80" w:before="240"/>
      </w:pPr>
      <w:r>
        <w:rPr>
          <w:rFonts w:ascii="Calibri" w:cs="Calibri" w:eastAsia="Calibri" w:hAnsi="Calibri"/>
          <w:b/>
          <w:bCs/>
          <w:color w:val="2B2B2B"/>
          <w:sz w:val="25"/>
          <w:szCs w:val="25"/>
        </w:rPr>
        <w:t xml:space="preserve">2.3 Hedef kullanıcılar</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Sulama birlikleri ve su yönetimi uzmanları: sezonluk su talebini parsel/ünite bazında haritalamak.</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Akademisyenler ve öğrenciler: tez çalışmalarında tekrarlanabilir ETo/ETc iş akışı (bu belgedeki tez kılavuzlarıyla uyumlu).</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Danışmanlar ve çiftçi örgütleri: planlama aşamasında hızlı su ihtiyacı tahmini.</w:t>
      </w:r>
    </w:p>
    <w:p>
      <w:pPr>
        <w:pStyle w:val="Heading1"/>
        <w:spacing w:after="120" w:before="360"/>
      </w:pPr>
      <w:r>
        <w:rPr>
          <w:rFonts w:ascii="Calibri" w:cs="Calibri" w:eastAsia="Calibri" w:hAnsi="Calibri"/>
          <w:b/>
          <w:bCs/>
          <w:color w:val="1F5F8B"/>
          <w:sz w:val="30"/>
          <w:szCs w:val="30"/>
        </w:rPr>
        <w:t xml:space="preserve">3. Girdiler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Girdi</w:t>
            </w:r>
          </w:p>
        </w:tc>
        <w:tc>
          <w:tcPr>
            <w:tcW w:type="dxa" w:w="300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Biçim</w:t>
            </w:r>
          </w:p>
        </w:tc>
        <w:tc>
          <w:tcPr>
            <w:tcW w:type="dxa" w:w="406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Not</w:t>
            </w:r>
          </w:p>
        </w:tc>
      </w:tr>
      <w:tr>
        <w:tc>
          <w:tcPr>
            <w:tcW w:type="dxa" w:w="23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Parsel / alan katmanı</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Poligon vektör katman (GPKG, SHP, vb.)</w:t>
            </w:r>
          </w:p>
        </w:tc>
        <w:tc>
          <w:tcPr>
            <w:tcW w:type="dxa" w:w="40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Zorunlu alanlar: bitki türü; ekim/dikim tarihi. İsteğe bağlı: bitki evre uzunlukları, sulama randımanı.</w:t>
            </w:r>
          </w:p>
        </w:tc>
      </w:tr>
      <w:tr>
        <w:tc>
          <w:tcPr>
            <w:tcW w:type="dxa" w:w="23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Nokta katmanı (alternatif)</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Nokta vektör katman</w:t>
            </w:r>
          </w:p>
        </w:tc>
        <w:tc>
          <w:tcPr>
            <w:tcW w:type="dxa" w:w="40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Parsel yoksa nokta bazlı hesap (web uygulamasına benzer).</w:t>
            </w:r>
          </w:p>
        </w:tc>
      </w:tr>
      <w:tr>
        <w:tc>
          <w:tcPr>
            <w:tcW w:type="dxa" w:w="23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Bitki tablosu (Kc)</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Yerleşik tablo + kullanıcı CSV'si</w:t>
            </w:r>
          </w:p>
        </w:tc>
        <w:tc>
          <w:tcPr>
            <w:tcW w:type="dxa" w:w="40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Kc_ini, Kc_mid, Kc_end ve evre uzunlukları FAO-56 Tablo 11 ve 12'den aktarılacak; değerler tek tek kitapla karşılaştırılacak.</w:t>
            </w:r>
          </w:p>
        </w:tc>
      </w:tr>
      <w:tr>
        <w:tc>
          <w:tcPr>
            <w:tcW w:type="dxa" w:w="23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Dönem</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Başlangıç / bitiş tarihi, ya da ekim tarihi + evre uzunlukları</w:t>
            </w:r>
          </w:p>
        </w:tc>
        <w:tc>
          <w:tcPr>
            <w:tcW w:type="dxa" w:w="40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Gelecek tarihler için veri yoktur; eklenti uyarı verir (web uygulamasında karşılaşılan durum).</w:t>
            </w:r>
          </w:p>
        </w:tc>
      </w:tr>
      <w:tr>
        <w:tc>
          <w:tcPr>
            <w:tcW w:type="dxa" w:w="23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İklim kaynağı</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NASA POWER | Open-Meteo | Kullanıcı istasyon tablosu</w:t>
            </w:r>
          </w:p>
        </w:tc>
        <w:tc>
          <w:tcPr>
            <w:tcW w:type="dxa" w:w="40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Kaynağa göre değişken eşlemesi diyalogda yapılır.</w:t>
            </w:r>
          </w:p>
        </w:tc>
      </w:tr>
      <w:tr>
        <w:tc>
          <w:tcPr>
            <w:tcW w:type="dxa" w:w="23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İstasyon katmanı (isteğe bağlı)</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Nokta katman + günlük CSV</w:t>
            </w:r>
          </w:p>
        </w:tc>
        <w:tc>
          <w:tcPr>
            <w:tcW w:type="dxa" w:w="40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Birden çok istasyon varsa Thiessen alan ağırlığı ile parsele atama.</w:t>
            </w:r>
          </w:p>
        </w:tc>
      </w:tr>
      <w:tr>
        <w:tc>
          <w:tcPr>
            <w:tcW w:type="dxa" w:w="23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Yağış / etkili yağış yöntemi</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Seçim kutusu</w:t>
            </w:r>
          </w:p>
        </w:tc>
        <w:tc>
          <w:tcPr>
            <w:tcW w:type="dxa" w:w="40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Sabit oran (varsayılan öneri %80), SCS, ya da kullanıcı oranı.</w:t>
            </w:r>
          </w:p>
        </w:tc>
      </w:tr>
      <w:tr>
        <w:tc>
          <w:tcPr>
            <w:tcW w:type="dxa" w:w="23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Yükseklik (DEM)</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İsteğe bağlı raster / sabit değer</w:t>
            </w:r>
          </w:p>
        </w:tc>
        <w:tc>
          <w:tcPr>
            <w:tcW w:type="dxa" w:w="40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Atmosfer basıncı için; yoksa kaynağın yüksekliği veya kullanıcı girdisi.</w:t>
            </w:r>
          </w:p>
        </w:tc>
      </w:tr>
    </w:tbl>
    <w:p>
      <w:pPr>
        <w:spacing w:after="80"/>
      </w:pPr>
    </w:p>
    <w:p>
      <w:pPr>
        <w:pStyle w:val="Heading2"/>
        <w:spacing w:after="80" w:before="240"/>
      </w:pPr>
      <w:r>
        <w:rPr>
          <w:rFonts w:ascii="Calibri" w:cs="Calibri" w:eastAsia="Calibri" w:hAnsi="Calibri"/>
          <w:b/>
          <w:bCs/>
          <w:color w:val="2B2B2B"/>
          <w:sz w:val="25"/>
          <w:szCs w:val="25"/>
        </w:rPr>
        <w:t xml:space="preserve">3.1 İklim verisi kaynakları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Kaynak</w:t>
            </w:r>
          </w:p>
        </w:tc>
        <w:tc>
          <w:tcPr>
            <w:tcW w:type="dxa" w:w="368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Artı</w:t>
            </w:r>
          </w:p>
        </w:tc>
        <w:tc>
          <w:tcPr>
            <w:tcW w:type="dxa" w:w="368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Dikkat edilecek</w:t>
            </w:r>
          </w:p>
        </w:tc>
      </w:tr>
      <w:tr>
        <w:tc>
          <w:tcPr>
            <w:tcW w:type="dxa" w:w="20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NASA POWER (günlük)</w:t>
            </w:r>
          </w:p>
        </w:tc>
        <w:tc>
          <w:tcPr>
            <w:tcW w:type="dxa" w:w="36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Anahtarsız, küresel, uzun geçmiş; ETo için gereken değişkenlerin (sıcaklık, bağıl nem/çiy noktası, rüzgâr, güneş radyasyonu) tamamı mevcut.</w:t>
            </w:r>
          </w:p>
        </w:tc>
        <w:tc>
          <w:tcPr>
            <w:tcW w:type="dxa" w:w="36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Kaba çözünürlük (yaklaşık 0,5° mertebesi); parametre adları ve birimler uygulama başında dokümandan doğrulanacak. Rüzgâr yüksekliği dönüşümü (2 m / 10 m) gerekebilir.</w:t>
            </w:r>
          </w:p>
        </w:tc>
      </w:tr>
      <w:tr>
        <w:tc>
          <w:tcPr>
            <w:tcW w:type="dxa" w:w="20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Open-Meteo (ERA5)</w:t>
            </w:r>
          </w:p>
        </w:tc>
        <w:tc>
          <w:tcPr>
            <w:tcW w:type="dxa" w:w="36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Daha ince ızgara seçeneği; hazır FAO-56 ET0 alanı sunuyor.</w:t>
            </w:r>
          </w:p>
        </w:tc>
        <w:tc>
          <w:tcPr>
            <w:tcW w:type="dxa" w:w="36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Ücretsiz katman ticari olmayan kullanımla sınırlı ve istek kotalıdır; lisans/kullanım şartları ve geçmiş ET0 kapsamı uygulama öncesi yeniden okunacak. Veri lisansı CC BY 4.0 – atıf gerekir.</w:t>
            </w:r>
          </w:p>
        </w:tc>
      </w:tr>
      <w:tr>
        <w:tc>
          <w:tcPr>
            <w:tcW w:type="dxa" w:w="20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Kullanıcı istasyonu</w:t>
            </w:r>
          </w:p>
        </w:tc>
        <w:tc>
          <w:tcPr>
            <w:tcW w:type="dxa" w:w="36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En doğru yerel veri; resmi kayıtlarla çalışmayı sağlar.</w:t>
            </w:r>
          </w:p>
        </w:tc>
        <w:tc>
          <w:tcPr>
            <w:tcW w:type="dxa" w:w="368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Eksik veri, birim ve değişken eşleme hataları; veri kalite kontrolü gerekir.</w:t>
            </w:r>
          </w:p>
        </w:tc>
      </w:tr>
    </w:tbl>
    <w:p>
      <w:pPr>
        <w:spacing w:after="80"/>
      </w:pPr>
    </w:p>
    <w:p>
      <w:pPr>
        <w:pStyle w:val="Heading1"/>
        <w:spacing w:after="120" w:before="360"/>
      </w:pPr>
      <w:r>
        <w:rPr>
          <w:rFonts w:ascii="Calibri" w:cs="Calibri" w:eastAsia="Calibri" w:hAnsi="Calibri"/>
          <w:b/>
          <w:bCs/>
          <w:color w:val="1F5F8B"/>
          <w:sz w:val="30"/>
          <w:szCs w:val="30"/>
        </w:rPr>
        <w:t xml:space="preserve">4. Hesaplama yöntemi</w:t>
      </w:r>
    </w:p>
    <w:p>
      <w:pPr>
        <w:pStyle w:val="Heading2"/>
        <w:spacing w:after="80" w:before="240"/>
      </w:pPr>
      <w:r>
        <w:rPr>
          <w:rFonts w:ascii="Calibri" w:cs="Calibri" w:eastAsia="Calibri" w:hAnsi="Calibri"/>
          <w:b/>
          <w:bCs/>
          <w:color w:val="2B2B2B"/>
          <w:sz w:val="25"/>
          <w:szCs w:val="25"/>
        </w:rPr>
        <w:t xml:space="preserve">4.1 Referans evapotranspirasyon (FAO-56 Penman-Monteith)</w:t>
      </w:r>
    </w:p>
    <w:p>
      <w:pPr>
        <w:shd w:fill="F2F4F7" w:val="clear"/>
        <w:spacing w:after="120" w:before="60"/>
        <w:jc w:val="center"/>
      </w:pPr>
      <w:r>
        <w:rPr>
          <w:rFonts w:ascii="Calibri" w:cs="Calibri" w:eastAsia="Calibri" w:hAnsi="Calibri"/>
          <w:i/>
          <w:iCs/>
          <w:sz w:val="22"/>
          <w:szCs w:val="22"/>
        </w:rPr>
        <w:t xml:space="preserve">ETo = [ 0,408 Δ (Rn − G) + γ · 900/(T + 273) · u₂ · (eₛ − eₐ) ] / [ Δ + γ (1 + 0,34 u₂) ]</w:t>
      </w:r>
    </w:p>
    <w:p>
      <w:pPr>
        <w:spacing w:after="120" w:line="276"/>
      </w:pPr>
      <w:r>
        <w:rPr>
          <w:rFonts w:ascii="Calibri" w:cs="Calibri" w:eastAsia="Calibri" w:hAnsi="Calibri"/>
          <w:sz w:val="22"/>
          <w:szCs w:val="22"/>
        </w:rPr>
        <w:t xml:space="preserve">ETo mm/gün; T ortalama hava sıcaklığı (°C), Rn net radyasyon, G toprak ısı akısı (günlük adımda ≈ 0), u₂ 2 m yükseklikteki rüzgâr hızı, eₛ − eₐ buhar basıncı açığı, Δ buhar basıncı eğrisi eğimi, γ psikrometrik sabit. Eklenti, FAO-56 Bölüm 3–4'teki ara büyüklükleri (Ra, Rs, Rso, Rns, Rnl, atmosfer basıncı) ayrı fonksiyonlar olarak uygular; böylece her adım FAO-56 çalışılmış örneklerle tek tek sınanabilir.</w:t>
      </w:r>
    </w:p>
    <w:p>
      <w:pPr>
        <w:pStyle w:val="Heading2"/>
        <w:spacing w:after="80" w:before="240"/>
      </w:pPr>
      <w:r>
        <w:rPr>
          <w:rFonts w:ascii="Calibri" w:cs="Calibri" w:eastAsia="Calibri" w:hAnsi="Calibri"/>
          <w:b/>
          <w:bCs/>
          <w:color w:val="2B2B2B"/>
          <w:sz w:val="25"/>
          <w:szCs w:val="25"/>
        </w:rPr>
        <w:t xml:space="preserve">4.2 Bitki su tüketimi ve net sulama</w:t>
      </w:r>
    </w:p>
    <w:p>
      <w:pPr>
        <w:shd w:fill="F2F4F7" w:val="clear"/>
        <w:spacing w:after="120" w:before="60"/>
        <w:jc w:val="center"/>
      </w:pPr>
      <w:r>
        <w:rPr>
          <w:rFonts w:ascii="Calibri" w:cs="Calibri" w:eastAsia="Calibri" w:hAnsi="Calibri"/>
          <w:i/>
          <w:iCs/>
          <w:sz w:val="22"/>
          <w:szCs w:val="22"/>
        </w:rPr>
        <w:t xml:space="preserve">ETc = Kc × ETo          Net sulama (günlük) = max(0, ETc − Pe)</w:t>
      </w:r>
    </w:p>
    <w:p>
      <w:pPr>
        <w:spacing w:after="120" w:line="276"/>
      </w:pPr>
      <w:r>
        <w:rPr>
          <w:rFonts w:ascii="Calibri" w:cs="Calibri" w:eastAsia="Calibri" w:hAnsi="Calibri"/>
          <w:sz w:val="22"/>
          <w:szCs w:val="22"/>
        </w:rPr>
        <w:t xml:space="preserve">Kc, evreye göre doğrusal geçişle günlük olarak türetilir: başlangıç evresinde sabit Kc_ini, gelişme evresinde Kc_ini → Kc_mid, orta evrede Kc_mid, son evrede Kc_mid → Kc_end. Bu ilk sürümde Kc iklim düzeltmesi (rüzgâr/nem) opsiyonel olarak v0.2'ye bırakılır.</w:t>
      </w:r>
    </w:p>
    <w:p>
      <w:pPr>
        <w:pStyle w:val="Heading2"/>
        <w:spacing w:after="80" w:before="240"/>
      </w:pPr>
      <w:r>
        <w:rPr>
          <w:rFonts w:ascii="Calibri" w:cs="Calibri" w:eastAsia="Calibri" w:hAnsi="Calibri"/>
          <w:b/>
          <w:bCs/>
          <w:color w:val="2B2B2B"/>
          <w:sz w:val="25"/>
          <w:szCs w:val="25"/>
        </w:rPr>
        <w:t xml:space="preserve">4.3 Etkili yağış (Pe)</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Sabit oran: </w:t>
      </w:r>
      <w:r>
        <w:rPr>
          <w:rFonts w:ascii="Calibri" w:cs="Calibri" w:eastAsia="Calibri" w:hAnsi="Calibri"/>
          <w:sz w:val="22"/>
          <w:szCs w:val="22"/>
        </w:rPr>
        <w:t xml:space="preserve">Pe = f × P (ör. f = 0,80; web uygulamasındaki resmi yaklaşıma uyumlu).</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USDA SCS (aylık): </w:t>
      </w:r>
      <w:r>
        <w:rPr>
          <w:rFonts w:ascii="Calibri" w:cs="Calibri" w:eastAsia="Calibri" w:hAnsi="Calibri"/>
          <w:sz w:val="22"/>
          <w:szCs w:val="22"/>
        </w:rPr>
        <w:t xml:space="preserve">P ≤ 250/3 mm için Pe = P (125 − 0,2 P)/125; P &gt; 250/3 mm için Pe = 125/3 + 0,1 P. Formül uygulamadan önce kaynağından yeniden teyit edilecek.</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Kullanıcı tanımlı: </w:t>
      </w:r>
      <w:r>
        <w:rPr>
          <w:rFonts w:ascii="Calibri" w:cs="Calibri" w:eastAsia="Calibri" w:hAnsi="Calibri"/>
          <w:sz w:val="22"/>
          <w:szCs w:val="22"/>
        </w:rPr>
        <w:t xml:space="preserve">Parsele göre farklı oran (alan içinde sütun).</w:t>
      </w:r>
    </w:p>
    <w:p>
      <w:pPr>
        <w:pStyle w:val="Heading2"/>
        <w:spacing w:after="80" w:before="240"/>
      </w:pPr>
      <w:r>
        <w:rPr>
          <w:rFonts w:ascii="Calibri" w:cs="Calibri" w:eastAsia="Calibri" w:hAnsi="Calibri"/>
          <w:b/>
          <w:bCs/>
          <w:color w:val="2B2B2B"/>
          <w:sz w:val="25"/>
          <w:szCs w:val="25"/>
        </w:rPr>
        <w:t xml:space="preserve">4.4 Birimler</w:t>
      </w:r>
    </w:p>
    <w:p>
      <w:pPr>
        <w:spacing w:after="120" w:line="276"/>
      </w:pPr>
      <w:r>
        <w:rPr>
          <w:rFonts w:ascii="Calibri" w:cs="Calibri" w:eastAsia="Calibri" w:hAnsi="Calibri"/>
          <w:sz w:val="22"/>
          <w:szCs w:val="22"/>
        </w:rPr>
        <w:t xml:space="preserve">1 mm su derinliği = 1 L/m² = 1 m³/da = 10 m³/ha. Hacim = derinlik (mm) × alan (da); alan hesabı Thiessen eklentisinde düzeltilen yöntemle, elipsoidal olarak yapılır (düzlemsel alan hesabı kabul edilmez).</w:t>
      </w:r>
    </w:p>
    <w:p>
      <w:pPr>
        <w:pStyle w:val="Heading1"/>
        <w:spacing w:after="120" w:before="360"/>
      </w:pPr>
      <w:r>
        <w:rPr>
          <w:rFonts w:ascii="Calibri" w:cs="Calibri" w:eastAsia="Calibri" w:hAnsi="Calibri"/>
          <w:b/>
          <w:bCs/>
          <w:color w:val="1F5F8B"/>
          <w:sz w:val="30"/>
          <w:szCs w:val="30"/>
        </w:rPr>
        <w:t xml:space="preserve">5. Çıktılar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Çıktı</w:t>
            </w:r>
          </w:p>
        </w:tc>
        <w:tc>
          <w:tcPr>
            <w:tcW w:type="dxa" w:w="676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İçerik</w:t>
            </w:r>
          </w:p>
        </w:tc>
      </w:tr>
      <w:tr>
        <w:tc>
          <w:tcPr>
            <w:tcW w:type="dxa" w:w="26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Sonuç katmanı (GPKG)</w:t>
            </w:r>
          </w:p>
        </w:tc>
        <w:tc>
          <w:tcPr>
            <w:tcW w:type="dxa" w:w="67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Parsel geometrisi + alanlar: ETo_sezon, ETc_sezon, Pe_sezon, NetSulama_mm, NetSulama_m3, NetSulama_m3_da, pik_dekad, veri_kaynağı, eksik_gün_sayısı.</w:t>
            </w:r>
          </w:p>
        </w:tc>
      </w:tr>
      <w:tr>
        <w:tc>
          <w:tcPr>
            <w:tcW w:type="dxa" w:w="26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Zaman serisi tablosu (CSV)</w:t>
            </w:r>
          </w:p>
        </w:tc>
        <w:tc>
          <w:tcPr>
            <w:tcW w:type="dxa" w:w="67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Parsel × gün: tarih, Kc, evre, ETo, ETc, P, Pe, net sulama (mm).</w:t>
            </w:r>
          </w:p>
        </w:tc>
      </w:tr>
      <w:tr>
        <w:tc>
          <w:tcPr>
            <w:tcW w:type="dxa" w:w="26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Aylık/dekadlık özet (CSV)</w:t>
            </w:r>
          </w:p>
        </w:tc>
        <w:tc>
          <w:tcPr>
            <w:tcW w:type="dxa" w:w="67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Parsel × dönem toplamları; sulama programı için temel.</w:t>
            </w:r>
          </w:p>
        </w:tc>
      </w:tr>
      <w:tr>
        <w:tc>
          <w:tcPr>
            <w:tcW w:type="dxa" w:w="26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Stil (QML)</w:t>
            </w:r>
          </w:p>
        </w:tc>
        <w:tc>
          <w:tcPr>
            <w:tcW w:type="dxa" w:w="67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Net sulama için sınıflandırılmış graduated renk skalası; lejant birimli.</w:t>
            </w:r>
          </w:p>
        </w:tc>
      </w:tr>
      <w:tr>
        <w:tc>
          <w:tcPr>
            <w:tcW w:type="dxa" w:w="26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Metin raporu (isteğe bağlı)</w:t>
            </w:r>
          </w:p>
        </w:tc>
        <w:tc>
          <w:tcPr>
            <w:tcW w:type="dxa" w:w="67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Kullanılan yöntem, veri kaynağı, tarih aralığı ve uyarıları içeren özet (tekrarlanabilirlik için).</w:t>
            </w:r>
          </w:p>
        </w:tc>
      </w:tr>
      <w:tr>
        <w:tc>
          <w:tcPr>
            <w:tcW w:type="dxa" w:w="26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Günlük/uyarı penceresi</w:t>
            </w:r>
          </w:p>
        </w:tc>
        <w:tc>
          <w:tcPr>
            <w:tcW w:type="dxa" w:w="67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Eksik veri, gelecek tarih, kota hatası gibi durumlarda anlaşılır İngilizce mesajlar.</w:t>
            </w:r>
          </w:p>
        </w:tc>
      </w:tr>
    </w:tbl>
    <w:p>
      <w:pPr>
        <w:spacing w:after="80"/>
      </w:pPr>
    </w:p>
    <w:p>
      <w:pPr>
        <w:pStyle w:val="Heading1"/>
        <w:spacing w:after="120" w:before="360"/>
      </w:pPr>
      <w:r>
        <w:rPr>
          <w:rFonts w:ascii="Calibri" w:cs="Calibri" w:eastAsia="Calibri" w:hAnsi="Calibri"/>
          <w:b/>
          <w:bCs/>
          <w:color w:val="1F5F8B"/>
          <w:sz w:val="30"/>
          <w:szCs w:val="30"/>
        </w:rPr>
        <w:t xml:space="preserve">6. Mimari önerisi</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Biçim: </w:t>
      </w:r>
      <w:r>
        <w:rPr>
          <w:rFonts w:ascii="Calibri" w:cs="Calibri" w:eastAsia="Calibri" w:hAnsi="Calibri"/>
          <w:sz w:val="22"/>
          <w:szCs w:val="22"/>
        </w:rPr>
        <w:t xml:space="preserve">Processing sağlayıcısı (batch + model oluşturucu desteği) ve üstünde ince bir diyalog. Thiessen eklentisindeki diyalog deneyimi yeniden kullanılır.</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Modüller: </w:t>
      </w:r>
      <w:r>
        <w:rPr>
          <w:rFonts w:ascii="Calibri" w:cs="Calibri" w:eastAsia="Calibri" w:hAnsi="Calibri"/>
          <w:sz w:val="22"/>
          <w:szCs w:val="22"/>
        </w:rPr>
        <w:t xml:space="preserve">climate_sources (POWER, Open-Meteo, CSV), fao56 (ETo ara fonksiyonları), crop_tables (Kc/evre tablosu), water_balance (ETc, Pe, net sulama), thiessen_core (mevcut), exporters (GPKG/CSV/QML/rapor).</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Bağımlılıklar: </w:t>
      </w:r>
      <w:r>
        <w:rPr>
          <w:rFonts w:ascii="Calibri" w:cs="Calibri" w:eastAsia="Calibri" w:hAnsi="Calibri"/>
          <w:sz w:val="22"/>
          <w:szCs w:val="22"/>
        </w:rPr>
        <w:t xml:space="preserve">Yalnızca QGIS'in kendi Python ortamı (urllib / QgsNetworkAccessManager); harici paket kurulumu gerektirmeyecek. Ağ erişimi QGIS ağ yığınıyla yapılırsa vekil sunucu ayarları da çalışır.</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Önbellek: </w:t>
      </w:r>
      <w:r>
        <w:rPr>
          <w:rFonts w:ascii="Calibri" w:cs="Calibri" w:eastAsia="Calibri" w:hAnsi="Calibri"/>
          <w:sz w:val="22"/>
          <w:szCs w:val="22"/>
        </w:rPr>
        <w:t xml:space="preserve">Aynı konum + dönem için indirilen veriyi yerel dosyada saklar; tekrarlı çalıştırmada API'ye yük bindirmez.</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Dil ve lisans: </w:t>
      </w:r>
      <w:r>
        <w:rPr>
          <w:rFonts w:ascii="Calibri" w:cs="Calibri" w:eastAsia="Calibri" w:hAnsi="Calibri"/>
          <w:sz w:val="22"/>
          <w:szCs w:val="22"/>
        </w:rPr>
        <w:t xml:space="preserve">İngilizce arayüz, GPL v2 veya üstü, LICENSE dosyası paket içinde (reddedilme nedenimiz olmuştu).</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Test: </w:t>
      </w:r>
      <w:r>
        <w:rPr>
          <w:rFonts w:ascii="Calibri" w:cs="Calibri" w:eastAsia="Calibri" w:hAnsi="Calibri"/>
          <w:sz w:val="22"/>
          <w:szCs w:val="22"/>
        </w:rPr>
        <w:t xml:space="preserve">Çekirdek hesaplar QGIS'siz saf Python birim testi; entegrasyon testi headless QGIS ile.</w:t>
      </w:r>
    </w:p>
    <w:p>
      <w:pPr>
        <w:pStyle w:val="Heading1"/>
        <w:spacing w:after="120" w:before="360"/>
      </w:pPr>
      <w:r>
        <w:rPr>
          <w:rFonts w:ascii="Calibri" w:cs="Calibri" w:eastAsia="Calibri" w:hAnsi="Calibri"/>
          <w:b/>
          <w:bCs/>
          <w:color w:val="1F5F8B"/>
          <w:sz w:val="30"/>
          <w:szCs w:val="30"/>
        </w:rPr>
        <w:t xml:space="preserve">7. Yol haritası</w:t>
      </w:r>
    </w:p>
    <w:p>
      <w:pPr>
        <w:spacing w:after="120" w:line="276"/>
      </w:pPr>
      <w:r>
        <w:rPr>
          <w:rFonts w:ascii="Calibri" w:cs="Calibri" w:eastAsia="Calibri" w:hAnsi="Calibri"/>
          <w:sz w:val="22"/>
          <w:szCs w:val="22"/>
        </w:rPr>
        <w:t xml:space="preserve">Süreler, Thiessen eklentisindeki geliştirme hızı esas alınarak yapılmış kaba tahminlerdir; bağlayıcı değildir.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300"/>
        <w:gridCol w:w="1860"/>
      </w:tblGrid>
      <w:tr>
        <w:trPr>
          <w:tblHeader/>
        </w:trPr>
        <w:tc>
          <w:tcPr>
            <w:tcW w:type="dxa" w:w="120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Sürüm</w:t>
            </w:r>
          </w:p>
        </w:tc>
        <w:tc>
          <w:tcPr>
            <w:tcW w:type="dxa" w:w="300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İçerik</w:t>
            </w:r>
          </w:p>
        </w:tc>
        <w:tc>
          <w:tcPr>
            <w:tcW w:type="dxa" w:w="330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Kabul ölçütü</w:t>
            </w:r>
          </w:p>
        </w:tc>
        <w:tc>
          <w:tcPr>
            <w:tcW w:type="dxa" w:w="186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Tahmini süre</w:t>
            </w:r>
          </w:p>
        </w:tc>
      </w:tr>
      <w:tr>
        <w:tc>
          <w:tcPr>
            <w:tcW w:type="dxa" w:w="12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v0.1 (MVP)</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Nokta/parsel girdisi; NASA POWER günlük veri; FAO-56 PM ETo; Kc evreleri (yerleşik temel bitki listesi); sabit oranlı etkili yağış; sonuç katmanı + CSV; basit diyalog.</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FAO-56 çalışılmış örnekleriyle ETo adımları eşleşiyor; bir parselde web uygulamasıyla karşılaştırma tablosu hazır.</w:t>
            </w:r>
          </w:p>
        </w:tc>
        <w:tc>
          <w:tcPr>
            <w:tcW w:type="dxa" w:w="18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3–4 hafta</w:t>
            </w:r>
          </w:p>
        </w:tc>
      </w:tr>
      <w:tr>
        <w:tc>
          <w:tcPr>
            <w:tcW w:type="dxa" w:w="12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v0.2</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Open-Meteo/ERA5 kaynağı; SCS ve kullanıcı Pe yöntemleri; kullanıcı istasyon CSV'si; Thiessen ile çok istasyon ağırlıklandırma; Processing sağlayıcısı + toplu çalıştırma; stil ve rapor.</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Aynı parsel için üç kaynak karşılaştırma raporu üretiliyor; Graphical Modeler'da örnek model çalışıyor.</w:t>
            </w:r>
          </w:p>
        </w:tc>
        <w:tc>
          <w:tcPr>
            <w:tcW w:type="dxa" w:w="18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4–6 hafta</w:t>
            </w:r>
          </w:p>
        </w:tc>
      </w:tr>
      <w:tr>
        <w:tc>
          <w:tcPr>
            <w:tcW w:type="dxa" w:w="12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v0.3</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Toprak su dengesi: TAW/RAW, tükenme, sulama zamanı/miktarı önerisi; opsiyonel Kc iklim düzeltmesi; DEM'den basınç.</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FAO-56 toprak su dengesi örnekleriyle uyum; sulama takvimi tablosu.</w:t>
            </w:r>
          </w:p>
        </w:tc>
        <w:tc>
          <w:tcPr>
            <w:tcW w:type="dxa" w:w="18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4–6 hafta</w:t>
            </w:r>
          </w:p>
        </w:tc>
      </w:tr>
      <w:tr>
        <w:tc>
          <w:tcPr>
            <w:tcW w:type="dxa" w:w="12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v1.0</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Doğrulama raporu (FAO-56 örnekleri, CropWat, web uygulaması); tam belge ve örnek veri; deneysel işaretin kaldırılması; yayın duyurusu.</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Bağımsız doğrulama tablosu; kullanıcı kılavuzu; en az bir gerçek vaka çalışması.</w:t>
            </w:r>
          </w:p>
        </w:tc>
        <w:tc>
          <w:tcPr>
            <w:tcW w:type="dxa" w:w="18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2–3 hafta</w:t>
            </w:r>
          </w:p>
        </w:tc>
      </w:tr>
      <w:tr>
        <w:tc>
          <w:tcPr>
            <w:tcW w:type="dxa" w:w="12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v2.0 (fikir)</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Sentinel-2 NDVI tabanlı Kc haritalama; raster çıktı.</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Ayrı proje olarak değerlendirilecek.</w:t>
            </w:r>
          </w:p>
        </w:tc>
        <w:tc>
          <w:tcPr>
            <w:tcW w:type="dxa" w:w="18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w:t>
            </w:r>
          </w:p>
        </w:tc>
      </w:tr>
    </w:tbl>
    <w:p>
      <w:pPr>
        <w:spacing w:after="80"/>
      </w:pPr>
    </w:p>
    <w:p>
      <w:pPr>
        <w:pStyle w:val="Heading1"/>
        <w:spacing w:after="120" w:before="360"/>
      </w:pPr>
      <w:r>
        <w:rPr>
          <w:rFonts w:ascii="Calibri" w:cs="Calibri" w:eastAsia="Calibri" w:hAnsi="Calibri"/>
          <w:b/>
          <w:bCs/>
          <w:color w:val="1F5F8B"/>
          <w:sz w:val="30"/>
          <w:szCs w:val="30"/>
        </w:rPr>
        <w:t xml:space="preserve">8. Doğrulama planı</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Adım adım birim testleri: </w:t>
      </w:r>
      <w:r>
        <w:rPr>
          <w:rFonts w:ascii="Calibri" w:cs="Calibri" w:eastAsia="Calibri" w:hAnsi="Calibri"/>
          <w:sz w:val="22"/>
          <w:szCs w:val="22"/>
        </w:rPr>
        <w:t xml:space="preserve">FAO-56'daki çalışılmış örneklerin girdileri ile ara büyüklükler (Δ, γ, eₛ, eₐ, Ra, Rs, Rnl, ETo) eklenti çıktısıyla tek tek karşılaştırılacak. Örnek verilerinin sayısal değerleri bu aşamada henüz çalıştırılmadı; sonuçlar doğrulama raporuna işlenecek.</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Program karşılaştırması: </w:t>
      </w:r>
      <w:r>
        <w:rPr>
          <w:rFonts w:ascii="Calibri" w:cs="Calibri" w:eastAsia="Calibri" w:hAnsi="Calibri"/>
          <w:sz w:val="22"/>
          <w:szCs w:val="22"/>
        </w:rPr>
        <w:t xml:space="preserve">Aynı konum ve dönem için FAO CropWat ve kendi web uygulamamızla ETo/ETc/net sulama karşılaştırması.</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Kaynak karşılaştırması: </w:t>
      </w:r>
      <w:r>
        <w:rPr>
          <w:rFonts w:ascii="Calibri" w:cs="Calibri" w:eastAsia="Calibri" w:hAnsi="Calibri"/>
          <w:sz w:val="22"/>
          <w:szCs w:val="22"/>
        </w:rPr>
        <w:t xml:space="preserve">POWER ve ERA5 tabanlı sonuçlar, bir yerel istasyon verisi (ör. Tekirdağ) ile kıyaslanacak; yanlılık ve RMSE raporlanacak.</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Alan/birim sınaması: </w:t>
      </w:r>
      <w:r>
        <w:rPr>
          <w:rFonts w:ascii="Calibri" w:cs="Calibri" w:eastAsia="Calibri" w:hAnsi="Calibri"/>
          <w:sz w:val="22"/>
          <w:szCs w:val="22"/>
        </w:rPr>
        <w:t xml:space="preserve">Hacim hesabı bağımsız bir yöntemle (farklı araçla) çapraz kontrol edilecek; Thiessen eklentisinde yaşadığımız elipsoid hatasının tekrarı önlenecek.</w:t>
      </w:r>
    </w:p>
    <w:p>
      <w:pPr>
        <w:spacing w:after="60" w:line="264"/>
        <w:ind w:left="460" w:hanging="260"/>
      </w:pPr>
      <w:r>
        <w:rPr>
          <w:rFonts w:ascii="Calibri" w:cs="Calibri" w:eastAsia="Calibri" w:hAnsi="Calibri"/>
          <w:sz w:val="22"/>
          <w:szCs w:val="22"/>
        </w:rPr>
        <w:t xml:space="preserve">•  </w:t>
      </w:r>
      <w:r>
        <w:rPr>
          <w:rFonts w:ascii="Calibri" w:cs="Calibri" w:eastAsia="Calibri" w:hAnsi="Calibri"/>
          <w:b/>
          <w:bCs/>
          <w:sz w:val="22"/>
          <w:szCs w:val="22"/>
        </w:rPr>
        <w:t xml:space="preserve">Kenar durumlar: </w:t>
      </w:r>
      <w:r>
        <w:rPr>
          <w:rFonts w:ascii="Calibri" w:cs="Calibri" w:eastAsia="Calibri" w:hAnsi="Calibri"/>
          <w:sz w:val="22"/>
          <w:szCs w:val="22"/>
        </w:rPr>
        <w:t xml:space="preserve">Gelecek tarihler, eksik günler, kutup/ekvator konumları, tarih değiştirme çizgisi, çok parsel performansı.</w:t>
      </w:r>
    </w:p>
    <w:p>
      <w:pPr>
        <w:pStyle w:val="Heading1"/>
        <w:spacing w:after="120" w:before="360"/>
      </w:pPr>
      <w:r>
        <w:rPr>
          <w:rFonts w:ascii="Calibri" w:cs="Calibri" w:eastAsia="Calibri" w:hAnsi="Calibri"/>
          <w:b/>
          <w:bCs/>
          <w:color w:val="1F5F8B"/>
          <w:sz w:val="30"/>
          <w:szCs w:val="30"/>
        </w:rPr>
        <w:t xml:space="preserve">9. Riskler ve açık noktalar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5CC" w:sz="4"/>
              <w:left w:val="single" w:color="BFC5CC" w:sz="4"/>
              <w:bottom w:val="single" w:color="BFC5CC" w:sz="4"/>
              <w:right w:val="single" w:color="BFC5CC" w:sz="4"/>
            </w:tcBorders>
            <w:shd w:fill="FFF4D6" w:color="auto" w:val="clear"/>
            <w:tcMar>
              <w:top w:type="dxa" w:w="100"/>
              <w:left w:type="dxa" w:w="160"/>
              <w:bottom w:type="dxa" w:w="100"/>
              <w:right w:type="dxa" w:w="160"/>
            </w:tcMar>
          </w:tcPr>
          <w:p>
            <w:pPr>
              <w:spacing w:after="60"/>
            </w:pPr>
            <w:r>
              <w:rPr>
                <w:rFonts w:ascii="Calibri" w:cs="Calibri" w:eastAsia="Calibri" w:hAnsi="Calibri"/>
                <w:b/>
                <w:bCs/>
                <w:sz w:val="21"/>
                <w:szCs w:val="21"/>
              </w:rPr>
              <w:t xml:space="preserve">Uygulamadan önce birincil kaynaktan doğrulanması gerekenler</w:t>
            </w:r>
          </w:p>
          <w:p>
            <w:pPr>
              <w:spacing w:after="40"/>
            </w:pPr>
            <w:r>
              <w:rPr>
                <w:rFonts w:ascii="Calibri" w:cs="Calibri" w:eastAsia="Calibri" w:hAnsi="Calibri"/>
                <w:sz w:val="20"/>
                <w:szCs w:val="20"/>
              </w:rPr>
              <w:t xml:space="preserve">• NASA POWER günlük API'sinde ETo için kullanılacak parametre adları, birimleri ve rüzgâr ölçüm yüksekliği.</w:t>
            </w:r>
          </w:p>
          <w:p>
            <w:pPr>
              <w:spacing w:after="40"/>
            </w:pPr>
            <w:r>
              <w:rPr>
                <w:rFonts w:ascii="Calibri" w:cs="Calibri" w:eastAsia="Calibri" w:hAnsi="Calibri"/>
                <w:sz w:val="20"/>
                <w:szCs w:val="20"/>
              </w:rPr>
              <w:t xml:space="preserve">• NASA POWER ızgara çözünürlüğü (meteoroloji ve radyasyon için ayrı) ve geçmiş verinin güncellik gecikmesi.</w:t>
            </w:r>
          </w:p>
          <w:p>
            <w:pPr>
              <w:spacing w:after="40"/>
            </w:pPr>
            <w:r>
              <w:rPr>
                <w:rFonts w:ascii="Calibri" w:cs="Calibri" w:eastAsia="Calibri" w:hAnsi="Calibri"/>
                <w:sz w:val="20"/>
                <w:szCs w:val="20"/>
              </w:rPr>
              <w:t xml:space="preserve">• Open-Meteo: geçmiş ET0 alanının kapsamı, ücretsiz katman kotaları ve ticari olmayan kullanım şartı, ERA5/ERA5-Land çözünürlüğü.</w:t>
            </w:r>
          </w:p>
          <w:p>
            <w:pPr>
              <w:spacing w:after="40"/>
            </w:pPr>
            <w:r>
              <w:rPr>
                <w:rFonts w:ascii="Calibri" w:cs="Calibri" w:eastAsia="Calibri" w:hAnsi="Calibri"/>
                <w:sz w:val="20"/>
                <w:szCs w:val="20"/>
              </w:rPr>
              <w:t xml:space="preserve">• FAO-56 Tablo 11/12 değerlerinin eklentiye aktarım doğruluğu (elle yazım hatasına karşı çift kontrol).</w:t>
            </w:r>
          </w:p>
          <w:p>
            <w:pPr>
              <w:spacing w:after="40"/>
            </w:pPr>
            <w:r>
              <w:rPr>
                <w:rFonts w:ascii="Calibri" w:cs="Calibri" w:eastAsia="Calibri" w:hAnsi="Calibri"/>
                <w:sz w:val="20"/>
                <w:szCs w:val="20"/>
              </w:rPr>
              <w:t xml:space="preserve">• SCS etkili yağış formülü eşikleri ve birimleri.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Risk</w:t>
            </w:r>
          </w:p>
        </w:tc>
        <w:tc>
          <w:tcPr>
            <w:tcW w:type="dxa" w:w="333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Etki</w:t>
            </w:r>
          </w:p>
        </w:tc>
        <w:tc>
          <w:tcPr>
            <w:tcW w:type="dxa" w:w="333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Önlem</w:t>
            </w:r>
          </w:p>
        </w:tc>
      </w:tr>
      <w:tr>
        <w:tc>
          <w:tcPr>
            <w:tcW w:type="dxa" w:w="27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Kaba çözünürlüklü iklim verisi</w:t>
            </w:r>
          </w:p>
        </w:tc>
        <w:tc>
          <w:tcPr>
            <w:tcW w:type="dxa" w:w="333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Küçük parsellerde iklim farkı yakalanamaz; sonuç aşırı güvenilir görünebilir.</w:t>
            </w:r>
          </w:p>
        </w:tc>
        <w:tc>
          <w:tcPr>
            <w:tcW w:type="dxa" w:w="333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Rapor ve diyalogda veri çözünürlüğü açıkça belirtilir; yerel istasyon seçeneği öne çıkarılır.</w:t>
            </w:r>
          </w:p>
        </w:tc>
      </w:tr>
      <w:tr>
        <w:tc>
          <w:tcPr>
            <w:tcW w:type="dxa" w:w="27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API değişikliği / kota</w:t>
            </w:r>
          </w:p>
        </w:tc>
        <w:tc>
          <w:tcPr>
            <w:tcW w:type="dxa" w:w="333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Eklenti bir gün çalışmaz hale gelir.</w:t>
            </w:r>
          </w:p>
        </w:tc>
        <w:tc>
          <w:tcPr>
            <w:tcW w:type="dxa" w:w="333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Kaynak katmanı soyut; önbellek; hata mesajları; CSV yedeği.</w:t>
            </w:r>
          </w:p>
        </w:tc>
      </w:tr>
      <w:tr>
        <w:tc>
          <w:tcPr>
            <w:tcW w:type="dxa" w:w="27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Rakip eklentiler</w:t>
            </w:r>
          </w:p>
        </w:tc>
        <w:tc>
          <w:tcPr>
            <w:tcW w:type="dxa" w:w="333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Hargreaves_et gibi eklentiler genişleyebilir.</w:t>
            </w:r>
          </w:p>
        </w:tc>
        <w:tc>
          <w:tcPr>
            <w:tcW w:type="dxa" w:w="333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FAO-56 tam zinciri + Processing + doğrulama raporu ile ayrışma.</w:t>
            </w:r>
          </w:p>
        </w:tc>
      </w:tr>
      <w:tr>
        <w:tc>
          <w:tcPr>
            <w:tcW w:type="dxa" w:w="27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Bilimsel hata</w:t>
            </w:r>
          </w:p>
        </w:tc>
        <w:tc>
          <w:tcPr>
            <w:tcW w:type="dxa" w:w="333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Yanlış sayı kullanıcıyı yanıltır; itibar riski.</w:t>
            </w:r>
          </w:p>
        </w:tc>
        <w:tc>
          <w:tcPr>
            <w:tcW w:type="dxa" w:w="333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Birim testleri, bağımsız doğrulama, sürüm notlarında sınırlılıklar.</w:t>
            </w:r>
          </w:p>
        </w:tc>
      </w:tr>
      <w:tr>
        <w:tc>
          <w:tcPr>
            <w:tcW w:type="dxa" w:w="27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Bakım yükü</w:t>
            </w:r>
          </w:p>
        </w:tc>
        <w:tc>
          <w:tcPr>
            <w:tcW w:type="dxa" w:w="333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Kullanıcı soruları ve hata bildirimleri zaman alır.</w:t>
            </w:r>
          </w:p>
        </w:tc>
        <w:tc>
          <w:tcPr>
            <w:tcW w:type="dxa" w:w="333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Net dokümantasyon, issue şablonları, sürümleri küçük tutma.</w:t>
            </w:r>
          </w:p>
        </w:tc>
      </w:tr>
      <w:tr>
        <w:tc>
          <w:tcPr>
            <w:tcW w:type="dxa" w:w="27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Lisans / atıf</w:t>
            </w:r>
          </w:p>
        </w:tc>
        <w:tc>
          <w:tcPr>
            <w:tcW w:type="dxa" w:w="333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Veri kaynaklarının şartlarına uyulmaması.</w:t>
            </w:r>
          </w:p>
        </w:tc>
        <w:tc>
          <w:tcPr>
            <w:tcW w:type="dxa" w:w="333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NASA POWER ve Open-Meteo atıf metinleri çıktıya ve README'ye eklenir.</w:t>
            </w:r>
          </w:p>
        </w:tc>
      </w:tr>
    </w:tbl>
    <w:p>
      <w:pPr>
        <w:spacing w:after="80"/>
      </w:pPr>
    </w:p>
    <w:p>
      <w:pPr>
        <w:pStyle w:val="Heading1"/>
        <w:spacing w:after="120" w:before="360"/>
      </w:pPr>
      <w:r>
        <w:rPr>
          <w:rFonts w:ascii="Calibri" w:cs="Calibri" w:eastAsia="Calibri" w:hAnsi="Calibri"/>
          <w:b/>
          <w:bCs/>
          <w:color w:val="1F5F8B"/>
          <w:sz w:val="30"/>
          <w:szCs w:val="30"/>
        </w:rPr>
        <w:t xml:space="preserve">10. Yayın ve görünürlük stratejisi</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plugins.qgis.org: İngilizce açıklama, açık etiketler (evapotranspiration, irrigation, FAO-56, crop water, hydrology), örnek veri, ekran görüntüleri ve LICENSE ile ilk yükleme; başlangıçta deneysel işaret.</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Web sitesi: 'QGIS Eklentileri' bölümüne ikinci kart (simge, QR kod, ekran görüntüleri); web uygulaması ile çapraz bağlantı.</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Bilimsel çıktı: Thiessen eklentisi için hazırlanan kitap bölümü yaklaşımı örnek alınarak, doğrulama sonuçlarından kısa bir yazılım/teknik not makalesi planlanabilir.</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Duyuru: LinkedIn (TR+EN tek metin), üniversite kanalları; indirme istatistikleri üç ayda bir izlenir.</w:t>
      </w:r>
    </w:p>
    <w:p>
      <w:pPr>
        <w:spacing w:after="60" w:line="264"/>
        <w:ind w:left="460" w:hanging="260"/>
      </w:pPr>
      <w:r>
        <w:rPr>
          <w:rFonts w:ascii="Calibri" w:cs="Calibri" w:eastAsia="Calibri" w:hAnsi="Calibri"/>
          <w:sz w:val="22"/>
          <w:szCs w:val="22"/>
        </w:rPr>
        <w:t xml:space="preserve">•  </w:t>
      </w:r>
      <w:r>
        <w:rPr>
          <w:rFonts w:ascii="Calibri" w:cs="Calibri" w:eastAsia="Calibri" w:hAnsi="Calibri"/>
          <w:sz w:val="22"/>
          <w:szCs w:val="22"/>
        </w:rPr>
        <w:t xml:space="preserve">Tez bağlantısı: Mevcut iki öğrenci kılavuzuna eklentinin v0.1 sürümü ek araç olarak eklenebilir.</w:t>
      </w:r>
    </w:p>
    <w:p>
      <w:pPr>
        <w:pStyle w:val="Heading1"/>
        <w:spacing w:after="120" w:before="360"/>
      </w:pPr>
      <w:r>
        <w:rPr>
          <w:rFonts w:ascii="Calibri" w:cs="Calibri" w:eastAsia="Calibri" w:hAnsi="Calibri"/>
          <w:b/>
          <w:bCs/>
          <w:color w:val="1F5F8B"/>
          <w:sz w:val="30"/>
          <w:szCs w:val="30"/>
        </w:rPr>
        <w:t xml:space="preserve">11. Karar bekleyen noktalar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w:t>
            </w:r>
          </w:p>
        </w:tc>
        <w:tc>
          <w:tcPr>
            <w:tcW w:type="dxa" w:w="520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Karar</w:t>
            </w:r>
          </w:p>
        </w:tc>
        <w:tc>
          <w:tcPr>
            <w:tcW w:type="dxa" w:w="3560"/>
            <w:tcBorders>
              <w:top w:val="single" w:color="BFC5CC" w:sz="4"/>
              <w:left w:val="single" w:color="BFC5CC" w:sz="4"/>
              <w:bottom w:val="single" w:color="BFC5CC" w:sz="4"/>
              <w:right w:val="single" w:color="BFC5CC" w:sz="4"/>
            </w:tcBorders>
            <w:shd w:fill="1F5F8B"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Önerim</w:t>
            </w:r>
          </w:p>
        </w:tc>
      </w:tr>
      <w:tr>
        <w:tc>
          <w:tcPr>
            <w:tcW w:type="dxa" w:w="6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1</w:t>
            </w:r>
          </w:p>
        </w:tc>
        <w:tc>
          <w:tcPr>
            <w:tcW w:type="dxa" w:w="5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Eklenti adı ve klasör adı</w:t>
            </w:r>
          </w:p>
        </w:tc>
        <w:tc>
          <w:tcPr>
            <w:tcW w:type="dxa" w:w="35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FAO-56 Crop Water Requirement Mapper / fao56_cwr_mapper</w:t>
            </w:r>
          </w:p>
        </w:tc>
      </w:tr>
      <w:tr>
        <w:tc>
          <w:tcPr>
            <w:tcW w:type="dxa" w:w="6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2</w:t>
            </w:r>
          </w:p>
        </w:tc>
        <w:tc>
          <w:tcPr>
            <w:tcW w:type="dxa" w:w="5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v0.1 için ana veri kaynağı</w:t>
            </w:r>
          </w:p>
        </w:tc>
        <w:tc>
          <w:tcPr>
            <w:tcW w:type="dxa" w:w="35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NASA POWER (anahtarsız, tam değişken seti); Open-Meteo v0.2</w:t>
            </w:r>
          </w:p>
        </w:tc>
      </w:tr>
      <w:tr>
        <w:tc>
          <w:tcPr>
            <w:tcW w:type="dxa" w:w="6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3</w:t>
            </w:r>
          </w:p>
        </w:tc>
        <w:tc>
          <w:tcPr>
            <w:tcW w:type="dxa" w:w="5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Arayüz biçimi</w:t>
            </w:r>
          </w:p>
        </w:tc>
        <w:tc>
          <w:tcPr>
            <w:tcW w:type="dxa" w:w="35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Processing sağlayıcısı + basit diyalog (Thiessen diyalog altyapısı yeniden kullanılır)</w:t>
            </w:r>
          </w:p>
        </w:tc>
      </w:tr>
      <w:tr>
        <w:tc>
          <w:tcPr>
            <w:tcW w:type="dxa" w:w="6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4</w:t>
            </w:r>
          </w:p>
        </w:tc>
        <w:tc>
          <w:tcPr>
            <w:tcW w:type="dxa" w:w="5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Türkiye'ye özgü veri</w:t>
            </w:r>
          </w:p>
        </w:tc>
        <w:tc>
          <w:tcPr>
            <w:tcW w:type="dxa" w:w="35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Gömülü değil; CSV içe aktarma ile kullanılabilir</w:t>
            </w:r>
          </w:p>
        </w:tc>
      </w:tr>
      <w:tr>
        <w:tc>
          <w:tcPr>
            <w:tcW w:type="dxa" w:w="6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5</w:t>
            </w:r>
          </w:p>
        </w:tc>
        <w:tc>
          <w:tcPr>
            <w:tcW w:type="dxa" w:w="5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Makale / kitap bölümü planı</w:t>
            </w:r>
          </w:p>
        </w:tc>
        <w:tc>
          <w:tcPr>
            <w:tcW w:type="dxa" w:w="35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v1.0 doğrulama sonuçları çıktıktan sonra karar verilsin</w:t>
            </w:r>
          </w:p>
        </w:tc>
      </w:tr>
      <w:tr>
        <w:tc>
          <w:tcPr>
            <w:tcW w:type="dxa" w:w="600"/>
            <w:tcBorders>
              <w:top w:val="single" w:color="BFC5CC" w:sz="4"/>
              <w:left w:val="single" w:color="BFC5CC" w:sz="4"/>
              <w:bottom w:val="single" w:color="BFC5CC" w:sz="4"/>
              <w:right w:val="single" w:color="BFC5CC" w:sz="4"/>
            </w:tcBorders>
            <w:shd w:fill="F2F4F7" w:color="auto" w:val="clear"/>
            <w:tcMar>
              <w:top w:type="dxa" w:w="70"/>
              <w:left w:type="dxa" w:w="100"/>
              <w:bottom w:type="dxa" w:w="70"/>
              <w:right w:type="dxa" w:w="100"/>
            </w:tcMar>
          </w:tcPr>
          <w:p>
            <w:pPr>
              <w:spacing w:after="40"/>
            </w:pPr>
            <w:r>
              <w:rPr>
                <w:rFonts w:ascii="Calibri" w:cs="Calibri" w:eastAsia="Calibri" w:hAnsi="Calibri"/>
                <w:sz w:val="20"/>
                <w:szCs w:val="20"/>
              </w:rPr>
              <w:t xml:space="preserve">6</w:t>
            </w:r>
          </w:p>
        </w:tc>
        <w:tc>
          <w:tcPr>
            <w:tcW w:type="dxa" w:w="5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Geliştirme sırası</w:t>
            </w:r>
          </w:p>
        </w:tc>
        <w:tc>
          <w:tcPr>
            <w:tcW w:type="dxa" w:w="356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40"/>
            </w:pPr>
            <w:r>
              <w:rPr>
                <w:rFonts w:ascii="Calibri" w:cs="Calibri" w:eastAsia="Calibri" w:hAnsi="Calibri"/>
                <w:sz w:val="20"/>
                <w:szCs w:val="20"/>
              </w:rPr>
              <w:t xml:space="preserve">Önce ETo çekirdeği + birim testleri, sonra veri kaynakları, en son arayüz</w:t>
            </w:r>
          </w:p>
        </w:tc>
      </w:tr>
    </w:tbl>
    <w:p>
      <w:pPr>
        <w:spacing w:after="80"/>
      </w:pPr>
    </w:p>
    <w:p>
      <w:pPr>
        <w:spacing w:after="120" w:line="276"/>
      </w:pPr>
      <w:r>
        <w:rPr>
          <w:rFonts w:ascii="Calibri" w:cs="Calibri" w:eastAsia="Calibri" w:hAnsi="Calibri"/>
          <w:b/>
          <w:bCs/>
          <w:sz w:val="22"/>
          <w:szCs w:val="22"/>
        </w:rPr>
        <w:t xml:space="preserve">Sonraki adım önerisi: </w:t>
      </w:r>
      <w:r>
        <w:rPr>
          <w:rFonts w:ascii="Calibri" w:cs="Calibri" w:eastAsia="Calibri" w:hAnsi="Calibri"/>
          <w:sz w:val="22"/>
          <w:szCs w:val="22"/>
        </w:rPr>
        <w:t xml:space="preserve">Karar noktaları onaylandıktan sonra v0.1 için depo iskeleti (metadata, LICENSE, README, birim test düzeni) ve FAO-56 çalışılmış örneklerine dayalı ETo çekirdeği ile başlanabilir.</w:t>
      </w:r>
    </w:p>
    <w:sectPr>
      <w:footerReference w:type="default" r:id="rId6"/>
      <w:pgSz w:w="11906" w:h="16838" w:orient="portrait"/>
      <w:pgMar w:top="1300" w:right="1273" w:bottom="13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FAO-56 CWR Mapper taslağı  ·  Sayfa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FAO-56 Crop Water Requirement Mapper — Taslak</dc:title>
  <dc:creator>Selçuk Albut</dc:creator>
  <cp:lastModifiedBy>Un-named</cp:lastModifiedBy>
  <cp:revision>1</cp:revision>
  <dcterms:created xsi:type="dcterms:W3CDTF">2026-10-23T08:04:15.001Z</dcterms:created>
  <dcterms:modified xsi:type="dcterms:W3CDTF">2026-10-23T08:04:15.008Z</dcterms:modified>
</cp:coreProperties>
</file>

<file path=docProps/custom.xml><?xml version="1.0" encoding="utf-8"?>
<Properties xmlns="http://schemas.openxmlformats.org/officeDocument/2006/custom-properties" xmlns:vt="http://schemas.openxmlformats.org/officeDocument/2006/docPropsVTypes"/>
</file>