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material</w:t>
      </w:r>
    </w:p>
    <w:p>
      <w:pPr>
        <w:spacing w:after="30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Prioritising insider threats at nuclear facilities with a case-grounded picture fuzzy TOPSIS framework: an intelligence-fusion-inspired coding architecture and a statistical robustness analysis of seven documented incidents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S1. Supplementary tables for the method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S1.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Insider power multipliers (adapted from IAEA Nuclear Security Series No. 8-G (Rev. 1))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7"/>
        <w:gridCol w:w="2943"/>
        <w:gridCol w:w="2355"/>
        <w:gridCol w:w="2551"/>
      </w:tblGrid>
      <w:tr>
        <w:trPr>
          <w:cantSplit/>
          <w:tblHeader/>
        </w:trPr>
        <w:tc>
          <w:tcPr>
            <w:tcW w:type="dxa" w:w="117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Multiplier</w:t>
            </w:r>
          </w:p>
        </w:tc>
        <w:tc>
          <w:tcPr>
            <w:tcW w:type="dxa" w:w="294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5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Risk effect</w:t>
            </w:r>
          </w:p>
        </w:tc>
        <w:tc>
          <w:tcPr>
            <w:tcW w:type="dxa" w:w="255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Example indicator</w:t>
            </w:r>
          </w:p>
        </w:tc>
      </w:tr>
      <w:tr>
        <w:trPr>
          <w:cantSplit/>
        </w:trPr>
        <w:tc>
          <w:tcPr>
            <w:tcW w:type="dxa" w:w="1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Access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Entry to critical areas, systems and nuclear material</w:t>
            </w:r>
          </w:p>
        </w:tc>
        <w:tc>
          <w:tcPr>
            <w:tcW w:type="dxa" w:w="2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Raises threat capacity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Controlled-area entry authorisation</w:t>
            </w:r>
          </w:p>
        </w:tc>
      </w:tr>
      <w:tr>
        <w:trPr>
          <w:cantSplit/>
        </w:trPr>
        <w:tc>
          <w:tcPr>
            <w:tcW w:type="dxa" w:w="1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Authority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Influence over personnel and procedures</w:t>
            </w:r>
          </w:p>
        </w:tc>
        <w:tc>
          <w:tcPr>
            <w:tcW w:type="dxa" w:w="2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Raises concealment and redirection capacity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Security supervisor, shift lead</w:t>
            </w:r>
          </w:p>
        </w:tc>
      </w:tr>
      <w:tr>
        <w:trPr>
          <w:cantSplit/>
        </w:trPr>
        <w:tc>
          <w:tcPr>
            <w:tcW w:type="dxa" w:w="117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Knowledge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Detailed information on the facility, its vulnerabilities and operations</w:t>
            </w:r>
          </w:p>
        </w:tc>
        <w:tc>
          <w:tcPr>
            <w:tcW w:type="dxa" w:w="235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Raises sabotage success probability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Knowledge of security systems and procedures</w:t>
            </w:r>
          </w:p>
        </w:tc>
      </w:tr>
    </w:tbl>
    <w:p>
      <w:pPr>
        <w:spacing w:after="160"/>
      </w:pP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S2.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Mapping of the information-processing stages of the Intelligence Operatives Optimization (IOA) metaheuristic to the documentary fusion layer, and of its search operators to the supplementary benchmark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7"/>
        <w:gridCol w:w="2667"/>
        <w:gridCol w:w="4103"/>
      </w:tblGrid>
      <w:tr>
        <w:trPr>
          <w:cantSplit/>
          <w:tblHeader/>
        </w:trPr>
        <w:tc>
          <w:tcPr>
            <w:tcW w:type="dxa" w:w="22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IOA component</w:t>
            </w:r>
          </w:p>
        </w:tc>
        <w:tc>
          <w:tcPr>
            <w:tcW w:type="dxa" w:w="26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Function in IOA</w:t>
            </w:r>
          </w:p>
        </w:tc>
        <w:tc>
          <w:tcPr>
            <w:tcW w:type="dxa" w:w="410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Counterpart in this study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Multi-channel intelligence collection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Several channels of differing reliability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Three documentary channels S1 (official/technical), S2 (academic), S3 (journalistic)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Source-reliability assessment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Weighting of sources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Source triangulation; recorded divergences (Table 5 of the main text)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Multi-source intelligence fusion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Fusion of credible information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PFWA fusion of the three channel codings (Eq. 4)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Operative / cell structure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Candidate solution / sub-populations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Candidate weight vector; K = 5 static cells (benchmark only)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Covert and overt channels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Intra- and inter-cell information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Attraction to the cell best and the global best (benchmark only)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Reliability assessment of candidates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Acceptance of better information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Greedy (1+1) acceptance (benchmark only)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Misinformation filtering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Elimination of outliers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Random immigrants replacing the worst 10% each sweep (benchmark only)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Counter-intelligence perturbation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Escape from deception</w:t>
            </w:r>
          </w:p>
        </w:tc>
        <w:tc>
          <w:tcPr>
            <w:tcW w:type="dxa" w:w="410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Gaussian perturbation with linearly decaying scale (benchmark only)</w:t>
            </w:r>
          </w:p>
        </w:tc>
      </w:tr>
    </w:tbl>
    <w:p>
      <w:pPr>
        <w:spacing w:after="200"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Stripped of its vocabulary, the search algorithm is a cellular particle-swarm-like scheme without velocity memory; the metaphor is used for the fusion architecture only.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S3.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Sources consulted per documentary channel and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5"/>
        <w:gridCol w:w="2850"/>
        <w:gridCol w:w="2470"/>
        <w:gridCol w:w="2470"/>
      </w:tblGrid>
      <w:tr>
        <w:trPr>
          <w:cantSplit/>
          <w:tblHeader/>
        </w:trPr>
        <w:tc>
          <w:tcPr>
            <w:tcW w:type="dxa" w:w="12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S1 official / regulatory / technical</w:t>
            </w:r>
          </w:p>
        </w:tc>
        <w:tc>
          <w:tcPr>
            <w:tcW w:type="dxa" w:w="24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S2 academic</w:t>
            </w:r>
          </w:p>
        </w:tc>
        <w:tc>
          <w:tcPr>
            <w:tcW w:type="dxa" w:w="24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S3 journalism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A1 Gundremmingen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S1 source used for the recorded A1–C10 code (H)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academic case analysis (base channel)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Steitz &amp; Auchard (2016), Reuters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A2 Luch/Podolsk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Pope &amp; Hobbs (2015), LANL case compendium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Bunn &amp; Sagan (2014, 2016)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PBS Frontline (1996) interview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A3 Doel-4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FANC / prosecutor statement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Bunn (2023); Bunn &amp; Sagan (2016)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press report used for the recorded A3–C4 code (VH) to be added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A4 Koeberg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official record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Bunn &amp; Sagan (2014)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press report used for the recorded A4–C2 code (M) to be added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A5 San Onofre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NRC event notification / investigation outcome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Bunn &amp; Sagan (2014)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of OC (2012)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A6 Pelindaba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Necsa / parliamentary record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Bunn (2023); Bunn &amp; Sagan (2016)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Birch &amp; Smith (2015), Center for Public Integrity</w:t>
            </w:r>
          </w:p>
        </w:tc>
      </w:tr>
      <w:tr>
        <w:trPr>
          <w:cantSplit/>
        </w:trPr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A7 Ignalina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Pope &amp; Hobbs (2015); RISI database entry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academic case analysis (base channel) to be added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  <w:t xml:space="preserve">press report used for the recorded A7–C4 code (CI) to be added</w:t>
            </w:r>
          </w:p>
        </w:tc>
      </w:tr>
    </w:tbl>
    <w:p>
      <w:pPr>
        <w:spacing w:after="200"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Highlighted entries must be completed by the authors before submission; where a channel is listed as missing, the base (S2) code was retained and the cell counts as agreement by construction (Section 3.5 of the main text).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Aggregated picture fuzzy decision matrix (selected criteria; μ, η, ν, 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9"/>
        <w:gridCol w:w="1671"/>
        <w:gridCol w:w="1671"/>
        <w:gridCol w:w="1671"/>
        <w:gridCol w:w="1671"/>
        <w:gridCol w:w="1671"/>
      </w:tblGrid>
      <w:tr>
        <w:trPr>
          <w:cantSplit/>
          <w:tblHeader/>
        </w:trPr>
        <w:tc>
          <w:tcPr>
            <w:tcW w:type="dxa" w:w="66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16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C1 Access</w:t>
            </w:r>
          </w:p>
        </w:tc>
        <w:tc>
          <w:tcPr>
            <w:tcW w:type="dxa" w:w="16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C3 Knowledge</w:t>
            </w:r>
          </w:p>
        </w:tc>
        <w:tc>
          <w:tcPr>
            <w:tcW w:type="dxa" w:w="16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C4 Intent</w:t>
            </w:r>
          </w:p>
        </w:tc>
        <w:tc>
          <w:tcPr>
            <w:tcW w:type="dxa" w:w="16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C6 Violence</w:t>
            </w:r>
          </w:p>
        </w:tc>
        <w:tc>
          <w:tcPr>
            <w:tcW w:type="dxa" w:w="16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C11 Harm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A1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(0.50, 0.20, 0.20, 0.10)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(0.50, 0.20, 0.20, 0.10)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(0.00, 0.00, 0.90, 0.10)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(0.00, 0.00, 0.90, 0.10)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(0.50, 0.20, 0.20, 0.10)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A2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(0.00, 0.00, 0.90, 0.10)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A3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(0.82, 0.10, 0.04, 0.04)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(0.10, 0.10, 0.70, 0.10)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A4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A5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(0.65, 0.15, 0.10, 0.10)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(0.65, 0.15, 0.10, 0.10)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(0.37, 0.32, 0.20, 0.11)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(0.10, 0.10, 0.70, 0.10)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(0.65, 0.15, 0.10, 0.10)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A6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(0.90, 0.05, 0.02, 0.03)</w:t>
            </w:r>
          </w:p>
        </w:tc>
      </w:tr>
      <w:tr>
        <w:trPr>
          <w:cantSplit/>
        </w:trPr>
        <w:tc>
          <w:tcPr>
            <w:tcW w:type="dxa" w:w="66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A7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(0.50, 0.20, 0.20, 0.10)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(0.75, 0.15, 0.05, 0.05)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(0.37, 0.32, 0.20, 0.11)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(0.00, 0.00, 0.90, 0.10)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(0.65, 0.15, 0.10, 0.10)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S2. Supplementary benchmark of search procedures for the most-discriminating weights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constrained problem of Eq. (7) is smooth and eleven-dimensional and is solved in the main text by multi-start sequential least-squares programming (SLSQP). To check that the solution does not depend on the search procedure, we also ran four population-based methods and random search on the penalised form g(w) = σ(CC(w)) − 10·max(0, TV(w, w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− δ) with δ = 0.1: the IOA search of Table S2 (N = 30, K = 5, 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cov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0.5, 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ov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0.3, 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0.05 with linear decay, 10% random immigrants per sweep), particle swarm optimisation (N = 30, inertia 0.72, 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1.49, velocity clip 0.1, velocity corrected after repair), differential evolution (N = 30, rand/1/bin, F = 0.6, CR = 0.9), a real-coded genetic algorithm (N = 30, tournament size 2, BLX-0.5 crossover, Gaussian mutation with probability 0.2 and scale 0.03, two elites) and uniform random search, all with the same lower bound (0.01), the same clip-and-renormalise repair, random initialisation, a budget cap of 6,000 objective evaluations and 30 seeds each. The SLSQP reference value is g = 0.14560. Final values were compared with the Kruskal–Wallis test and pairwise Mann–Whitney tests with Holm's correction on independent runs, with Vargha–Delaney A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effect size; success is counted at three tolerances.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S5.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Final objective values over 30 seeds and tests (equal budgets)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"/>
        <w:gridCol w:w="1301"/>
        <w:gridCol w:w="813"/>
        <w:gridCol w:w="1301"/>
        <w:gridCol w:w="813"/>
        <w:gridCol w:w="813"/>
        <w:gridCol w:w="813"/>
        <w:gridCol w:w="894"/>
        <w:gridCol w:w="1057"/>
      </w:tblGrid>
      <w:tr>
        <w:trPr>
          <w:cantSplit/>
          <w:tblHeader/>
        </w:trPr>
        <w:tc>
          <w:tcPr>
            <w:tcW w:type="dxa" w:w="12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30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g (SD)</w:t>
            </w:r>
          </w:p>
        </w:tc>
        <w:tc>
          <w:tcPr>
            <w:tcW w:type="dxa" w:w="8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Median g</w:t>
            </w:r>
          </w:p>
        </w:tc>
        <w:tc>
          <w:tcPr>
            <w:tcW w:type="dxa" w:w="130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Min–max g</w:t>
            </w:r>
          </w:p>
        </w:tc>
        <w:tc>
          <w:tcPr>
            <w:tcW w:type="dxa" w:w="8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Success ≤ 2×10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8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≤ 5×10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81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≤ 10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89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P(MD ranking)</w:t>
            </w:r>
          </w:p>
        </w:tc>
        <w:tc>
          <w:tcPr>
            <w:tcW w:type="dxa" w:w="10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L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distance to SLSQP w</w:t>
            </w:r>
          </w:p>
        </w:tc>
      </w:tr>
      <w:tr>
        <w:trPr>
          <w:cantSplit/>
        </w:trP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IOA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0.14251 (0.00033)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0.14248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0.14180–0.14353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  <w:tc>
          <w:tcPr>
            <w:tcW w:type="dxa" w:w="10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0.143</w:t>
            </w:r>
          </w:p>
        </w:tc>
      </w:tr>
      <w:tr>
        <w:trPr>
          <w:cantSplit/>
        </w:trP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PSO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0.14437 (0.00082)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0.14415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0.14222–0.14552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37%</w:t>
            </w:r>
          </w:p>
        </w:tc>
        <w:tc>
          <w:tcPr>
            <w:tcW w:type="dxa" w:w="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  <w:tc>
          <w:tcPr>
            <w:tcW w:type="dxa" w:w="10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0.093</w:t>
            </w:r>
          </w:p>
        </w:tc>
      </w:tr>
      <w:tr>
        <w:trPr>
          <w:cantSplit/>
        </w:trP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0.14506 (0.00028)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0.14508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0.14407–0.14541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97%</w:t>
            </w:r>
          </w:p>
        </w:tc>
        <w:tc>
          <w:tcPr>
            <w:tcW w:type="dxa" w:w="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  <w:tc>
          <w:tcPr>
            <w:tcW w:type="dxa" w:w="10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0.017</w:t>
            </w:r>
          </w:p>
        </w:tc>
      </w:tr>
      <w:tr>
        <w:trPr>
          <w:cantSplit/>
        </w:trP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0.14082 (0.00079)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0.14094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0.13909–0.14251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  <w:tc>
          <w:tcPr>
            <w:tcW w:type="dxa" w:w="10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0.156</w:t>
            </w:r>
          </w:p>
        </w:tc>
      </w:tr>
      <w:tr>
        <w:trPr>
          <w:cantSplit/>
        </w:trPr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Random search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-0.07249 (0.14277)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-0.05542</w:t>
            </w:r>
          </w:p>
        </w:tc>
        <w:tc>
          <w:tcPr>
            <w:tcW w:type="dxa" w:w="130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-0.37880–0.12658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89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30%</w:t>
            </w:r>
          </w:p>
        </w:tc>
        <w:tc>
          <w:tcPr>
            <w:tcW w:type="dxa" w:w="10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0.359</w:t>
            </w:r>
          </w:p>
        </w:tc>
      </w:tr>
    </w:tbl>
    <w:p>
      <w:pPr>
        <w:spacing w:after="200"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Kruskal–Wallis H = 135.19, p &lt; 0.001. Holm-adjusted Mann–Whitney p-values and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(first method better): IOA vs PSO: p &lt; 0.001, A12 = 0.04; IOA vs DE: p &lt; 0.001, A12 = 0.00; IOA vs GA: p &lt; 0.001, A12 = 0.98; IOA vs RS: p &lt; 0.001, A12 = 1.00; PSO vs DE: p = 0.002, A12 = 0.26; PSO vs GA: p &lt; 0.001, A12 = 1.00; PSO vs RS: p &lt; 0.001, A12 = 1.00; DE vs GA: p &lt; 0.001, A12 = 1.00; DE vs RS: p &lt; 0.001, A12 = 1.00; GA vs RS: p &lt; 0.001, A12 = 1.00.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626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S1.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(a) Gap between the final objective value of each run and the SLSQP optimum (log scale; 30 seeds per method; orange bars mark medians). (b) Mean gap of the best-so-far value against the number of objective evaluations.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Differential evolution reaches the SLSQP solution to within 0.001 in 97% of runs and particle swarm optimisation in 37%; the IOA search and the genetic algorithm stop short of it by about 0.003 and 0.005 in g on average (mean L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distance 0.14 and 0.16 from the SLSQP weights), and random search does not approach it. All four population methods nevertheless produce the most-discriminating ranking of the main text in every run. The ranking therefore does not depend on the search procedure; the exact weights do, modestly, which is why the deterministic multi-start SLSQP solution is used in the main text and the IOA search is not.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S3. Supplementary results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S6.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Divergence and agreement coefficients between the three documentary channels (77 units; descriptive)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38"/>
        <w:gridCol w:w="1747"/>
        <w:gridCol w:w="1941"/>
      </w:tblGrid>
      <w:tr>
        <w:trPr>
          <w:cantSplit/>
          <w:tblHeader/>
        </w:trPr>
        <w:tc>
          <w:tcPr>
            <w:tcW w:type="dxa" w:w="533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Statistic</w:t>
            </w:r>
          </w:p>
        </w:tc>
        <w:tc>
          <w:tcPr>
            <w:tcW w:type="dxa" w:w="17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19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Bootstrap 95% percentile interval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Units coded identically by all channels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 / 77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Units with a recorded divergence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Units differing: S1–S2 / S1–S3 / S2–S3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/ 9 / 4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Krippendorff's α, nominal (8 labels)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0.907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0.844–0.959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Krippendorff's α, ordinal (CI missing; 68 units)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0.982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0.955–0.998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Krippendorff's α, ordinal (CI between ML and M)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0.983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Fleiss' κ, nominal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0.907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Cohen's κ: S1–S2 / S1–S3 / S2–S3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0.923 / 0.860 / 0.938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Quadratic-weighted κ (ordinal): S1–S2 / S1–S3 / S2–S3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0.987 / 0.983 / 0.996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Divergent units by criterion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C2: 2; C4: 3; C7: 1; C9: 2; C10: 1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 codes (of 231) / units with any CI</w:t>
            </w:r>
          </w:p>
        </w:tc>
        <w:tc>
          <w:tcPr>
            <w:tcW w:type="dxa" w:w="17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 / 9</w:t>
            </w:r>
          </w:p>
        </w:tc>
        <w:tc>
          <w:tcPr>
            <w:tcW w:type="dxa" w:w="19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200"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S1 and S3 were coded by the authors against the S2 base; the coefficients describe recorded divergence between source types and are not reliability estimates.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S7.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Most-discriminating weights along the total-variation path (lower bound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1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735"/>
        <w:gridCol w:w="1471"/>
      </w:tblGrid>
      <w:tr>
        <w:trPr>
          <w:cantSplit/>
          <w:tblHeader/>
        </w:trPr>
        <w:tc>
          <w:tcPr>
            <w:tcW w:type="dxa" w:w="55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C6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C7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C8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C9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C10</w:t>
            </w:r>
          </w:p>
        </w:tc>
        <w:tc>
          <w:tcPr>
            <w:tcW w:type="dxa" w:w="5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C11</w:t>
            </w:r>
          </w:p>
        </w:tc>
        <w:tc>
          <w:tcPr>
            <w:tcW w:type="dxa" w:w="7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σ(CC)</w:t>
            </w:r>
          </w:p>
        </w:tc>
        <w:tc>
          <w:tcPr>
            <w:tcW w:type="dxa" w:w="14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Ranks A1…A7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(prior)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0.080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0.115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7 3 4 2 5 1 6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0.05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0.080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0.131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7 4 3 2 5 1 6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0.080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0.030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0.146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7 4 3 2 5 1 6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0.250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0.080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0.040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0.158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7 5 3 1 4 2 6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0.080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0.170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7 5 3 1 4 2 6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0.070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0.193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7 5 3 1 4 2 6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0.040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0.242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7 5 3 1 4 2 6</w:t>
            </w:r>
          </w:p>
        </w:tc>
      </w:tr>
      <w:tr>
        <w:trPr>
          <w:cantSplit/>
        </w:trPr>
        <w:tc>
          <w:tcPr>
            <w:tcW w:type="dxa" w:w="55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0.900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0.010</w:t>
            </w:r>
          </w:p>
        </w:tc>
        <w:tc>
          <w:tcPr>
            <w:tcW w:type="dxa" w:w="7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0.299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7 5 4 1 3 2 6</w:t>
            </w:r>
          </w:p>
        </w:tc>
      </w:tr>
    </w:tbl>
    <w:p>
      <w:pPr>
        <w:spacing w:after="160"/>
      </w:pP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S8.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earlier (v1) formulation compared with the present one under the prior weights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8"/>
        <w:gridCol w:w="3159"/>
        <w:gridCol w:w="3159"/>
      </w:tblGrid>
      <w:tr>
        <w:trPr>
          <w:cantSplit/>
          <w:tblHeader/>
        </w:trPr>
        <w:tc>
          <w:tcPr>
            <w:tcW w:type="dxa" w:w="27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31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v1: exponent weighting, set-relative ideals</w:t>
            </w:r>
          </w:p>
        </w:tc>
        <w:tc>
          <w:tcPr>
            <w:tcW w:type="dxa" w:w="31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v3: weighted distances, fixed ideals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Closeness coefficients A1…A7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0.097, 0.671, 0.596, 0.707, 0.590, 0.793, 0.395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0.406, 0.680, 0.667, 0.730, 0.647, 0.776, 0.547</w:t>
            </w:r>
          </w:p>
        </w:tc>
      </w:tr>
      <w:tr>
        <w:trPr>
          <w:cantSplit/>
        </w:trPr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Ranks A1…A7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7 3 4 2 5 1 6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7 3 4 2 5 1 6</w:t>
            </w:r>
          </w:p>
        </w:tc>
      </w:tr>
      <w:tr>
        <w:trPr>
          <w:cantSplit/>
        </w:trPr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Weighted cells violating μ + η + ν ≤ 1 at the v1 weights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 of 77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(weights act on distances)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Leave-one-case-out rank reversal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none observed, but possible in principle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impossible by construction</w:t>
            </w:r>
          </w:p>
        </w:tc>
      </w:tr>
    </w:tbl>
    <w:p>
      <w:pPr>
        <w:spacing w:after="200"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The v1 operation λ ⊗ ã = (1 − (1 − μ)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λ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η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λ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ν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λ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) with λ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= n·w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does not preserve the picture fuzzy constraint when λ &lt; 1.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S9.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Unresolved attribution: closeness coefficients and ranks when the insider-specific attributes (C1, C2, C3, C7, C8) of unresolved cases are set to CI (prior weights)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8"/>
        <w:gridCol w:w="752"/>
        <w:gridCol w:w="752"/>
        <w:gridCol w:w="752"/>
        <w:gridCol w:w="752"/>
        <w:gridCol w:w="752"/>
        <w:gridCol w:w="752"/>
        <w:gridCol w:w="752"/>
        <w:gridCol w:w="1692"/>
      </w:tblGrid>
      <w:tr>
        <w:trPr>
          <w:cantSplit/>
          <w:tblHeader/>
        </w:trPr>
        <w:tc>
          <w:tcPr>
            <w:tcW w:type="dxa" w:w="206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Hedged case(s)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169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Ranks A1…A7</w:t>
            </w:r>
          </w:p>
        </w:tc>
      </w:tr>
      <w:tr>
        <w:trPr>
          <w:cantSplit/>
        </w:trPr>
        <w:tc>
          <w:tcPr>
            <w:tcW w:type="dxa" w:w="2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None (baseline)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0.680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0.667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0.730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0.776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0.547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7 3 4 2 5 1 6</w:t>
            </w:r>
          </w:p>
        </w:tc>
      </w:tr>
      <w:tr>
        <w:trPr>
          <w:cantSplit/>
        </w:trPr>
        <w:tc>
          <w:tcPr>
            <w:tcW w:type="dxa" w:w="2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A3 Doel-4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0.680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0.578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0.730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0.776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0.547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7 3 5 2 4 1 6</w:t>
            </w:r>
          </w:p>
        </w:tc>
      </w:tr>
      <w:tr>
        <w:trPr>
          <w:cantSplit/>
        </w:trPr>
        <w:tc>
          <w:tcPr>
            <w:tcW w:type="dxa" w:w="2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A5 San Onofre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0.680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0.667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0.730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0.548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0.776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0.547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7 3 4 2 5 1 6</w:t>
            </w:r>
          </w:p>
        </w:tc>
      </w:tr>
      <w:tr>
        <w:trPr>
          <w:cantSplit/>
        </w:trPr>
        <w:tc>
          <w:tcPr>
            <w:tcW w:type="dxa" w:w="2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A6 Pelindaba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0.680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0.667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0.730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0.547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7 2 3 1 5 4 6</w:t>
            </w:r>
          </w:p>
        </w:tc>
      </w:tr>
      <w:tr>
        <w:trPr>
          <w:cantSplit/>
        </w:trPr>
        <w:tc>
          <w:tcPr>
            <w:tcW w:type="dxa" w:w="20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A3+A5+A6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0.406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0.680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0.578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0.730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0.548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0.647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0.547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7 2 4 1 5 3 6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a9a7894f07fb930e5d336fbc2d97fdf58350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2026-10-17T14:20:18.812Z</dcterms:created>
  <dcterms:modified xsi:type="dcterms:W3CDTF">2026-10-17T14:20:18.812Z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