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8955" w14:textId="31DA72FD" w:rsidR="00FC128D" w:rsidRDefault="00FC128D" w:rsidP="00FC128D">
      <w:r>
        <w:t>Dear editor and reviewers,</w:t>
      </w:r>
    </w:p>
    <w:p w14:paraId="7DFD9322" w14:textId="2F8EAE35" w:rsidR="00FC128D" w:rsidRDefault="00FC128D" w:rsidP="00FC128D">
      <w:r>
        <w:t>Thank you very much for your time and efforts reviewing our manuscript, your comments and suggestions are valuable.</w:t>
      </w:r>
    </w:p>
    <w:p w14:paraId="05787E41" w14:textId="77777777" w:rsidR="00707904" w:rsidRDefault="00707904" w:rsidP="00FC128D"/>
    <w:p w14:paraId="06E0DE96" w14:textId="77777777" w:rsidR="00707904" w:rsidRDefault="00707904" w:rsidP="00FC128D"/>
    <w:p w14:paraId="594F4D32" w14:textId="7A9024CE" w:rsidR="00FC128D" w:rsidRDefault="00FC128D" w:rsidP="00FC128D">
      <w:r>
        <w:t>Please see below to find point-to-point responses for all comments</w:t>
      </w:r>
      <w:r w:rsidR="00707904">
        <w:t>.</w:t>
      </w:r>
    </w:p>
    <w:p w14:paraId="2F8C549A" w14:textId="77777777" w:rsidR="00FC128D" w:rsidRPr="00FC128D" w:rsidRDefault="00FC128D" w:rsidP="00FC128D">
      <w:pPr>
        <w:rPr>
          <w:b/>
          <w:bCs/>
        </w:rPr>
      </w:pPr>
      <w:r w:rsidRPr="00FC128D">
        <w:rPr>
          <w:b/>
          <w:bCs/>
        </w:rPr>
        <w:t>Reviewer 1</w:t>
      </w:r>
    </w:p>
    <w:p w14:paraId="35965FCD" w14:textId="77777777" w:rsidR="00FC128D" w:rsidRPr="00FC128D" w:rsidRDefault="00FC128D" w:rsidP="00FC128D"/>
    <w:p w14:paraId="64E61CBA" w14:textId="77777777" w:rsidR="00FC128D" w:rsidRPr="00FC128D" w:rsidRDefault="00FC128D" w:rsidP="00FC128D">
      <w:r w:rsidRPr="00FC128D">
        <w:t xml:space="preserve">The authors proposed GANomics, a CycleGAN-based framework for bidirectional translation between microarray and RNA-seq data. The key innovation is the introduction of </w:t>
      </w:r>
      <w:proofErr w:type="gramStart"/>
      <w:r w:rsidRPr="00FC128D">
        <w:t>a pair</w:t>
      </w:r>
      <w:proofErr w:type="gramEnd"/>
      <w:r w:rsidRPr="00FC128D">
        <w:t>-aware feedback loss, which leverages paired samples to improve translation fidelity. The framework is evaluated on multiple datasets, demonstrating advantages in preserving biological signal and supporting downstream predictive tasks. The work addresses an important problem in transcriptomic data integration and presents a promising generative AI solution. However, several methodological and experimental concerns must be addressed to substantiate the claims and ensure reproducibility.</w:t>
      </w:r>
    </w:p>
    <w:p w14:paraId="6AE902EE" w14:textId="77777777" w:rsidR="00FC128D" w:rsidRPr="00FC128D" w:rsidRDefault="00FC128D" w:rsidP="00FC128D"/>
    <w:p w14:paraId="08224BDE" w14:textId="77777777" w:rsidR="00FC128D" w:rsidRPr="00FC128D" w:rsidRDefault="00FC128D" w:rsidP="00FC128D">
      <w:r w:rsidRPr="00FC128D">
        <w:t>Major Concerns</w:t>
      </w:r>
    </w:p>
    <w:p w14:paraId="26C52A3D" w14:textId="77777777" w:rsidR="00FC128D" w:rsidRPr="00FC128D" w:rsidRDefault="00FC128D" w:rsidP="00FC128D">
      <w:r w:rsidRPr="00FC128D">
        <w:t>(1) Hyperparameter sensitivity and justification (</w:t>
      </w:r>
      <w:r w:rsidRPr="00FC128D">
        <w:rPr>
          <w:rFonts w:ascii="Calibri" w:hAnsi="Calibri" w:cs="Calibri"/>
        </w:rPr>
        <w:t>β</w:t>
      </w:r>
      <w:r w:rsidRPr="00FC128D">
        <w:t xml:space="preserve">, </w:t>
      </w:r>
      <w:r w:rsidRPr="00FC128D">
        <w:rPr>
          <w:rFonts w:ascii="Calibri" w:hAnsi="Calibri" w:cs="Calibri"/>
        </w:rPr>
        <w:t>λ</w:t>
      </w:r>
      <w:r w:rsidRPr="00FC128D">
        <w:t>):</w:t>
      </w:r>
    </w:p>
    <w:p w14:paraId="74F22E8A" w14:textId="77777777" w:rsidR="00FC128D" w:rsidRPr="00FC128D" w:rsidRDefault="00FC128D" w:rsidP="00FC128D">
      <w:r w:rsidRPr="00FC128D">
        <w:t xml:space="preserve">The feedback loss weight </w:t>
      </w:r>
      <w:r w:rsidRPr="00FC128D">
        <w:rPr>
          <w:rFonts w:ascii="Calibri" w:hAnsi="Calibri" w:cs="Calibri"/>
        </w:rPr>
        <w:t>β</w:t>
      </w:r>
      <w:r w:rsidRPr="00FC128D">
        <w:t xml:space="preserve"> is fixed at 10.0 throughout all experiments, regardless of the size of the paired dataset P. Since the contribution of </w:t>
      </w:r>
      <w:proofErr w:type="gramStart"/>
      <w:r w:rsidRPr="00FC128D">
        <w:t>the feedback</w:t>
      </w:r>
      <w:proofErr w:type="gramEnd"/>
      <w:r w:rsidRPr="00FC128D">
        <w:t xml:space="preserve"> loss relative to the cycle-consistency and adversarial losses is likely to depend on the availability and size of paired samples, a sensitivity analysis of </w:t>
      </w:r>
      <w:r w:rsidRPr="00FC128D">
        <w:rPr>
          <w:rFonts w:ascii="Calibri" w:hAnsi="Calibri" w:cs="Calibri"/>
        </w:rPr>
        <w:t>β</w:t>
      </w:r>
      <w:r w:rsidRPr="00FC128D">
        <w:t xml:space="preserve"> is necessary. Similarly, the cycle-consistency weight </w:t>
      </w:r>
      <w:r w:rsidRPr="00FC128D">
        <w:rPr>
          <w:rFonts w:ascii="Calibri" w:hAnsi="Calibri" w:cs="Calibri"/>
        </w:rPr>
        <w:t>λ</w:t>
      </w:r>
      <w:r w:rsidRPr="00FC128D">
        <w:t xml:space="preserve"> (fixed at 10.0, following CycleGAN defaults) may interact with the feedback term; its sensitivity should also be examined. The authors should either justify the chosen values empirically or provide ablation studies showing the impact of varying these hyperparameters on translation quality and convergence.</w:t>
      </w:r>
    </w:p>
    <w:p w14:paraId="09F04FCF" w14:textId="77777777" w:rsidR="00FC128D" w:rsidRPr="00FC128D" w:rsidRDefault="00FC128D" w:rsidP="00FC128D"/>
    <w:p w14:paraId="63326C6C" w14:textId="77777777" w:rsidR="00FC128D" w:rsidRPr="00FC128D" w:rsidRDefault="00FC128D" w:rsidP="00FC128D">
      <w:r w:rsidRPr="00FC128D">
        <w:t>(2) Insufficient comparison with CycleGAN for larger paired sample sizes:</w:t>
      </w:r>
    </w:p>
    <w:p w14:paraId="20765C3A" w14:textId="77777777" w:rsidR="00FC128D" w:rsidRPr="00FC128D" w:rsidRDefault="00FC128D" w:rsidP="00FC128D">
      <w:r w:rsidRPr="00FC128D">
        <w:t xml:space="preserve">While Figure 4 demonstrates that GANomics outperforms CycleGAN when training samples are limited (&lt;50 pairs), the comparison for N </w:t>
      </w:r>
      <w:r w:rsidRPr="00FC128D">
        <w:rPr>
          <w:rFonts w:ascii="Cambria Math" w:hAnsi="Cambria Math" w:cs="Cambria Math"/>
        </w:rPr>
        <w:t>≥</w:t>
      </w:r>
      <w:r w:rsidRPr="00FC128D">
        <w:t xml:space="preserve"> 50 is not rigorously quantified. The current </w:t>
      </w:r>
      <w:r w:rsidRPr="00FC128D">
        <w:lastRenderedPageBreak/>
        <w:t>presentation (e.g., GANomics-50 vs. CycleGAN-50) is limited to a single illustrative run and lacks statistical testing. The authors should conduct multiple independent trials (e.g., 5</w:t>
      </w:r>
      <w:r w:rsidRPr="00FC128D">
        <w:rPr>
          <w:rFonts w:ascii="Aptos" w:hAnsi="Aptos" w:cs="Aptos"/>
        </w:rPr>
        <w:t>–</w:t>
      </w:r>
      <w:r w:rsidRPr="00FC128D">
        <w:t xml:space="preserve">10 random splits) and apply paired statistical tests (e.g., paired t-test or Wilcoxon) on key metrics (correlation, L1 distance) to determine whether the improvement is significant. This is essential to justify the continued use of GANomics over the simpler CycleGAN baseline when paired data </w:t>
      </w:r>
      <w:proofErr w:type="gramStart"/>
      <w:r w:rsidRPr="00FC128D">
        <w:t>are</w:t>
      </w:r>
      <w:proofErr w:type="gramEnd"/>
      <w:r w:rsidRPr="00FC128D">
        <w:t xml:space="preserve"> more abundant.</w:t>
      </w:r>
    </w:p>
    <w:p w14:paraId="77BCF39C" w14:textId="77777777" w:rsidR="00FC128D" w:rsidRPr="00FC128D" w:rsidRDefault="00FC128D" w:rsidP="00FC128D"/>
    <w:p w14:paraId="26DAA002" w14:textId="77777777" w:rsidR="00FC128D" w:rsidRPr="00FC128D" w:rsidRDefault="00FC128D" w:rsidP="00FC128D">
      <w:r w:rsidRPr="00FC128D">
        <w:t>(3) Unclear practical advantage when paired samples are sufficient:</w:t>
      </w:r>
    </w:p>
    <w:p w14:paraId="2C393BC7" w14:textId="77777777" w:rsidR="00FC128D" w:rsidRPr="00FC128D" w:rsidRDefault="00FC128D" w:rsidP="00FC128D">
      <w:r w:rsidRPr="00FC128D">
        <w:t xml:space="preserve">Related to point (2), if the performance gap between GANomics and CycleGAN diminishes or becomes non-significant when N </w:t>
      </w:r>
      <w:r w:rsidRPr="00FC128D">
        <w:rPr>
          <w:rFonts w:ascii="Cambria Math" w:hAnsi="Cambria Math" w:cs="Cambria Math"/>
        </w:rPr>
        <w:t>≥</w:t>
      </w:r>
      <w:r w:rsidRPr="00FC128D">
        <w:t xml:space="preserve"> 50, the practical rationale for adopting the more complex GANomics framework needs clarification. The authors should explicitly discuss the trade-off between model complexity, data efficiency, and performance gain, and provide guidance on when GANomics is preferable to CycleGAN in real-world scenarios.</w:t>
      </w:r>
    </w:p>
    <w:p w14:paraId="2AB70CF9" w14:textId="77777777" w:rsidR="00FC128D" w:rsidRPr="00FC128D" w:rsidRDefault="00FC128D" w:rsidP="00FC128D"/>
    <w:p w14:paraId="4B797177" w14:textId="77777777" w:rsidR="00FC128D" w:rsidRPr="00FC128D" w:rsidRDefault="00FC128D" w:rsidP="00FC128D">
      <w:r w:rsidRPr="00FC128D">
        <w:t>(4) Missing one-directional GAN baselines with feedback loss:</w:t>
      </w:r>
    </w:p>
    <w:p w14:paraId="0D02C73D" w14:textId="77777777" w:rsidR="00FC128D" w:rsidRPr="00FC128D" w:rsidRDefault="00FC128D" w:rsidP="00FC128D">
      <w:r w:rsidRPr="00FC128D">
        <w:t>The current comparison focuses on bidirectional frameworks. To isolate the contribution of the feedback loss itself, the authors should include two additional one-directional baselines: (1) a GAN for MA</w:t>
      </w:r>
      <w:r w:rsidRPr="00FC128D">
        <w:rPr>
          <w:rFonts w:ascii="Arial" w:hAnsi="Arial" w:cs="Arial"/>
        </w:rPr>
        <w:t>→</w:t>
      </w:r>
      <w:r w:rsidRPr="00FC128D">
        <w:t xml:space="preserve">RS trained with feedback loss </w:t>
      </w:r>
      <w:proofErr w:type="spellStart"/>
      <w:r w:rsidRPr="00FC128D">
        <w:t>L_fb</w:t>
      </w:r>
      <w:proofErr w:type="spellEnd"/>
      <w:r w:rsidRPr="00FC128D">
        <w:t>(G</w:t>
      </w:r>
      <w:proofErr w:type="gramStart"/>
      <w:r w:rsidRPr="00FC128D">
        <w:t>1,P</w:t>
      </w:r>
      <w:proofErr w:type="gramEnd"/>
      <w:r w:rsidRPr="00FC128D">
        <w:t>) only, and (2) a GAN for RS</w:t>
      </w:r>
      <w:r w:rsidRPr="00FC128D">
        <w:rPr>
          <w:rFonts w:ascii="Arial" w:hAnsi="Arial" w:cs="Arial"/>
        </w:rPr>
        <w:t>→</w:t>
      </w:r>
      <w:r w:rsidRPr="00FC128D">
        <w:t xml:space="preserve">MA trained with </w:t>
      </w:r>
      <w:proofErr w:type="spellStart"/>
      <w:r w:rsidRPr="00FC128D">
        <w:t>Lfb</w:t>
      </w:r>
      <w:proofErr w:type="spellEnd"/>
      <w:r w:rsidRPr="00FC128D">
        <w:t xml:space="preserve">(G2,P) only. This would help disentangle the benefits of bidirectional training from the benefits of the feedback </w:t>
      </w:r>
      <w:proofErr w:type="gramStart"/>
      <w:r w:rsidRPr="00FC128D">
        <w:t>loss, and</w:t>
      </w:r>
      <w:proofErr w:type="gramEnd"/>
      <w:r w:rsidRPr="00FC128D">
        <w:t xml:space="preserve"> clarify whether the cycle-consistency mechanism is necessary when paired data are available.</w:t>
      </w:r>
    </w:p>
    <w:p w14:paraId="3EA21CF1" w14:textId="77777777" w:rsidR="00FC128D" w:rsidRPr="00FC128D" w:rsidRDefault="00FC128D" w:rsidP="00FC128D"/>
    <w:p w14:paraId="6C3D22B7" w14:textId="77777777" w:rsidR="00FC128D" w:rsidRPr="00FC128D" w:rsidRDefault="00FC128D" w:rsidP="00FC128D">
      <w:r w:rsidRPr="00FC128D">
        <w:t>(5) Lack of comparative baselines in biological signal preservation analysis:</w:t>
      </w:r>
    </w:p>
    <w:p w14:paraId="0069A62B" w14:textId="77777777" w:rsidR="00FC128D" w:rsidRPr="00FC128D" w:rsidRDefault="00FC128D" w:rsidP="00FC128D">
      <w:r w:rsidRPr="00FC128D">
        <w:t>In Figures 9, the authors assess DEG overlap and pathway enrichment for GANomics-generated profiles, but do not compare these results against those obtained from other translation methods (e.g., TDM, ComBat, CuBlock, or CycleGAN). Without such comparisons, it is difficult to determine whether the observed biological fidelity is unique to GANomics or can also be achieved by simpler harmonization techniques. The authors should include at least one representative baseline (e.g., CycleGAN-50 or ComBat) in the DEG and pathway enrichment analyses to contextualize the results.</w:t>
      </w:r>
    </w:p>
    <w:p w14:paraId="70187172" w14:textId="77777777" w:rsidR="00FC128D" w:rsidRPr="00FC128D" w:rsidRDefault="00FC128D" w:rsidP="00FC128D"/>
    <w:p w14:paraId="74C51A99" w14:textId="77777777" w:rsidR="00FC128D" w:rsidRPr="00FC128D" w:rsidRDefault="00FC128D" w:rsidP="00FC128D">
      <w:r w:rsidRPr="00FC128D">
        <w:t>(6) Figure 1 (schematic) lacks clarity and detail:</w:t>
      </w:r>
    </w:p>
    <w:p w14:paraId="489A554B" w14:textId="77777777" w:rsidR="00FC128D" w:rsidRPr="00FC128D" w:rsidRDefault="00FC128D" w:rsidP="00FC128D">
      <w:r w:rsidRPr="00FC128D">
        <w:lastRenderedPageBreak/>
        <w:t xml:space="preserve">The current diagram is conceptually informative but visually unclear and insufficiently annotated. It does not clearly illustrate the flow of paired vs. unpaired data, the role of each loss component, or the distinction between training and inference phases. A revised figure should: </w:t>
      </w:r>
      <w:proofErr w:type="gramStart"/>
      <w:r w:rsidRPr="00FC128D">
        <w:t>1)Clearly</w:t>
      </w:r>
      <w:proofErr w:type="gramEnd"/>
      <w:r w:rsidRPr="00FC128D">
        <w:t xml:space="preserve"> distinguish paired and unpaired data paths.</w:t>
      </w:r>
    </w:p>
    <w:p w14:paraId="63C705DF" w14:textId="77777777" w:rsidR="00FC128D" w:rsidRPr="00FC128D" w:rsidRDefault="00FC128D" w:rsidP="00FC128D">
      <w:r w:rsidRPr="00FC128D">
        <w:t>2) Indicate where each loss (L_</w:t>
      </w:r>
      <w:proofErr w:type="gramStart"/>
      <w:r w:rsidRPr="00FC128D">
        <w:t>GAN,L</w:t>
      </w:r>
      <w:proofErr w:type="gramEnd"/>
      <w:r w:rsidRPr="00FC128D">
        <w:t>_CYC,L_FB</w:t>
      </w:r>
      <w:r w:rsidRPr="00FC128D">
        <w:rPr>
          <w:rFonts w:ascii="Arial" w:hAnsi="Arial" w:cs="Arial"/>
        </w:rPr>
        <w:t>​</w:t>
      </w:r>
      <w:r w:rsidRPr="00FC128D">
        <w:t>) is applied.</w:t>
      </w:r>
    </w:p>
    <w:p w14:paraId="65391DDE" w14:textId="77777777" w:rsidR="00FC128D" w:rsidRPr="00FC128D" w:rsidRDefault="00FC128D" w:rsidP="00FC128D">
      <w:r w:rsidRPr="00FC128D">
        <w:t>3) Separate the training (feedback-driven) and testing (feed-</w:t>
      </w:r>
      <w:proofErr w:type="gramStart"/>
      <w:r w:rsidRPr="00FC128D">
        <w:t>forward only</w:t>
      </w:r>
      <w:proofErr w:type="gramEnd"/>
      <w:r w:rsidRPr="00FC128D">
        <w:t>) workflows.</w:t>
      </w:r>
    </w:p>
    <w:p w14:paraId="5B3BB007" w14:textId="77777777" w:rsidR="00FC128D" w:rsidRPr="00FC128D" w:rsidRDefault="00FC128D" w:rsidP="00FC128D">
      <w:r w:rsidRPr="00FC128D">
        <w:t>4) Use consistent terminology and improved typography for readability.</w:t>
      </w:r>
    </w:p>
    <w:p w14:paraId="1BDCE957" w14:textId="77777777" w:rsidR="00FC128D" w:rsidRPr="00FC128D" w:rsidRDefault="00FC128D" w:rsidP="00FC128D"/>
    <w:p w14:paraId="04F07E8F" w14:textId="77777777" w:rsidR="00FC128D" w:rsidRPr="00FC128D" w:rsidRDefault="00FC128D" w:rsidP="00FC128D">
      <w:r w:rsidRPr="00FC128D">
        <w:t>(8) Code and reproducibility:</w:t>
      </w:r>
    </w:p>
    <w:p w14:paraId="1933E029" w14:textId="77777777" w:rsidR="00FC128D" w:rsidRPr="00FC128D" w:rsidRDefault="00FC128D" w:rsidP="00FC128D">
      <w:r w:rsidRPr="00FC128D">
        <w:t>The manuscript does not provide a link to the source code. Given the complexity of the model and the importance of reproducibility in AI-driven biomedical research, the authors must make the code publicly available (e.g., via GitHub or a similar repository) upon submission, including training scripts, model definitions, and instructions for reproducing the key experiments and figures.</w:t>
      </w:r>
    </w:p>
    <w:p w14:paraId="762B3ED0" w14:textId="77777777" w:rsidR="00FC128D" w:rsidRPr="00FC128D" w:rsidRDefault="00FC128D" w:rsidP="00FC128D"/>
    <w:p w14:paraId="74159B0F" w14:textId="77777777" w:rsidR="00FC128D" w:rsidRPr="00FC128D" w:rsidRDefault="00FC128D" w:rsidP="00FC128D">
      <w:r w:rsidRPr="00FC128D">
        <w:t>Minor Concerns</w:t>
      </w:r>
      <w:r w:rsidRPr="00FC128D">
        <w:rPr>
          <w:rFonts w:ascii="MS Gothic" w:eastAsia="MS Gothic" w:hAnsi="MS Gothic" w:cs="MS Gothic" w:hint="eastAsia"/>
        </w:rPr>
        <w:t>：</w:t>
      </w:r>
    </w:p>
    <w:p w14:paraId="7BEA850F" w14:textId="77777777" w:rsidR="00FC128D" w:rsidRPr="00FC128D" w:rsidRDefault="00FC128D" w:rsidP="00FC128D">
      <w:r w:rsidRPr="00FC128D">
        <w:t>1</w:t>
      </w:r>
      <w:r w:rsidRPr="00FC128D">
        <w:rPr>
          <w:rFonts w:ascii="MS Gothic" w:eastAsia="MS Gothic" w:hAnsi="MS Gothic" w:cs="MS Gothic" w:hint="eastAsia"/>
        </w:rPr>
        <w:t>、</w:t>
      </w:r>
      <w:r w:rsidRPr="00FC128D">
        <w:t>Incomplete reference:</w:t>
      </w:r>
    </w:p>
    <w:p w14:paraId="6EFF7EF7" w14:textId="77777777" w:rsidR="00FC128D" w:rsidRPr="00FC128D" w:rsidRDefault="00FC128D" w:rsidP="00FC128D">
      <w:r w:rsidRPr="00FC128D">
        <w:t xml:space="preserve">Reference 30 (Zhu et al., CycleGAN paper) </w:t>
      </w:r>
      <w:proofErr w:type="gramStart"/>
      <w:r w:rsidRPr="00FC128D">
        <w:t>is missing</w:t>
      </w:r>
      <w:proofErr w:type="gramEnd"/>
      <w:r w:rsidRPr="00FC128D">
        <w:t xml:space="preserve"> the article title.</w:t>
      </w:r>
    </w:p>
    <w:p w14:paraId="5AB6C6EF" w14:textId="77777777" w:rsidR="00FC128D" w:rsidRPr="00FC128D" w:rsidRDefault="00FC128D" w:rsidP="00FC128D">
      <w:r w:rsidRPr="00FC128D">
        <w:t>2</w:t>
      </w:r>
      <w:r w:rsidRPr="00FC128D">
        <w:rPr>
          <w:rFonts w:ascii="MS Gothic" w:eastAsia="MS Gothic" w:hAnsi="MS Gothic" w:cs="MS Gothic" w:hint="eastAsia"/>
        </w:rPr>
        <w:t>、</w:t>
      </w:r>
      <w:r w:rsidRPr="00FC128D">
        <w:t>Figure readability:</w:t>
      </w:r>
    </w:p>
    <w:p w14:paraId="30FAACBF" w14:textId="77777777" w:rsidR="00FC128D" w:rsidRPr="00FC128D" w:rsidRDefault="00FC128D" w:rsidP="00FC128D">
      <w:r w:rsidRPr="00FC128D">
        <w:t>The font size in several figures (e.</w:t>
      </w:r>
      <w:proofErr w:type="gramStart"/>
      <w:r w:rsidRPr="00FC128D">
        <w:t>g.,</w:t>
      </w:r>
      <w:proofErr w:type="gramEnd"/>
      <w:r w:rsidRPr="00FC128D">
        <w:t xml:space="preserve"> Figures 4, 5, 7, 8) is too small and becomes illegible when printed or viewed at standard resolution. The authors should increase font sizes for axis labels, legends, and annotations to meet publication standards.</w:t>
      </w:r>
    </w:p>
    <w:p w14:paraId="1BC1E0C6" w14:textId="77777777" w:rsidR="00FC128D" w:rsidRPr="00FC128D" w:rsidRDefault="00FC128D" w:rsidP="00FC128D">
      <w:r w:rsidRPr="00FC128D">
        <w:t>3</w:t>
      </w:r>
      <w:r w:rsidRPr="00FC128D">
        <w:rPr>
          <w:rFonts w:ascii="MS Gothic" w:eastAsia="MS Gothic" w:hAnsi="MS Gothic" w:cs="MS Gothic" w:hint="eastAsia"/>
        </w:rPr>
        <w:t>、</w:t>
      </w:r>
      <w:r w:rsidRPr="00FC128D">
        <w:t>Terminology inconsistency:</w:t>
      </w:r>
    </w:p>
    <w:p w14:paraId="77D8C70C" w14:textId="77777777" w:rsidR="00FC128D" w:rsidRPr="00FC128D" w:rsidRDefault="00FC128D" w:rsidP="00FC128D">
      <w:r w:rsidRPr="00FC128D">
        <w:t xml:space="preserve">The terms "matched/unmatched" and "paired/unpaired" are used interchangeably throughout the manuscript. This is potentially confusing. The authors should standardize the </w:t>
      </w:r>
      <w:proofErr w:type="gramStart"/>
      <w:r w:rsidRPr="00FC128D">
        <w:t>terminology—"</w:t>
      </w:r>
      <w:proofErr w:type="gramEnd"/>
      <w:r w:rsidRPr="00FC128D">
        <w:t>paired" and "unpaired" are recommended as they align with the formal definition in the feedback loss and are more commonly used in generative modeling literature.</w:t>
      </w:r>
    </w:p>
    <w:p w14:paraId="5258FD43" w14:textId="77777777" w:rsidR="00FC128D" w:rsidRPr="00FC128D" w:rsidRDefault="00FC128D" w:rsidP="00FC128D"/>
    <w:p w14:paraId="3AF8CE61" w14:textId="77777777" w:rsidR="00FC128D" w:rsidRPr="00FC128D" w:rsidRDefault="00FC128D" w:rsidP="00FC128D"/>
    <w:p w14:paraId="76122D50" w14:textId="77777777" w:rsidR="00FC128D" w:rsidRPr="00FC128D" w:rsidRDefault="00FC128D" w:rsidP="00FC128D">
      <w:r w:rsidRPr="00FC128D">
        <w:t>Reviewer 2</w:t>
      </w:r>
    </w:p>
    <w:p w14:paraId="32613A3E" w14:textId="77777777" w:rsidR="00FC128D" w:rsidRPr="00FC128D" w:rsidRDefault="00FC128D" w:rsidP="00FC128D"/>
    <w:p w14:paraId="570430D1" w14:textId="77777777" w:rsidR="00FC128D" w:rsidRPr="00FC128D" w:rsidRDefault="00FC128D" w:rsidP="00FC128D">
      <w:r w:rsidRPr="00FC128D">
        <w:t>The authors present GANomics, a generative adversarial network (GAN) designed to integrate transcriptomic data from microarray and RNA-seq platforms. The model is trained and evaluated on nine datasets, each comprising between 60 and 588 samples, including both paired and unpaired data. This diversity of datasets strengthens the robustness of the proposed framework.</w:t>
      </w:r>
    </w:p>
    <w:p w14:paraId="56D1A907" w14:textId="77777777" w:rsidR="00FC128D" w:rsidRPr="00FC128D" w:rsidRDefault="00FC128D" w:rsidP="00FC128D"/>
    <w:p w14:paraId="444E48FC" w14:textId="77777777" w:rsidR="00FC128D" w:rsidRPr="00FC128D" w:rsidRDefault="00FC128D" w:rsidP="00FC128D"/>
    <w:p w14:paraId="0A52C46A" w14:textId="77777777" w:rsidR="00FC128D" w:rsidRPr="00FC128D" w:rsidRDefault="00FC128D" w:rsidP="00FC128D">
      <w:r w:rsidRPr="00FC128D">
        <w:t>The performance of GANomics is assessed across multiple tasks and benchmarked against five established normalization/integration methods (TDM, QN, ComBat, YuGene, and CuBlock), as well as against CycleGAN, a prior GAN-based approach. A central focus of the evaluation is the ability of GANomics to preserve biological variation across platforms. In this regard, the authors provide convincing evidence that their method maintains biologically meaningful signals while enabling cross-platform integration.</w:t>
      </w:r>
    </w:p>
    <w:p w14:paraId="2445DA52" w14:textId="77777777" w:rsidR="00FC128D" w:rsidRPr="00FC128D" w:rsidRDefault="00FC128D" w:rsidP="00FC128D">
      <w:r w:rsidRPr="00FC128D">
        <w:t>An interesting feature of GANomics is that it generates “synthetic profiles,” which the authors leverage in a downstream application: training predictive classifiers for diagnosis and prognosis. This use case highlights the potential practical utility of the method beyond data harmonization.</w:t>
      </w:r>
    </w:p>
    <w:p w14:paraId="26D53E07" w14:textId="77777777" w:rsidR="00FC128D" w:rsidRPr="00FC128D" w:rsidRDefault="00FC128D" w:rsidP="00FC128D"/>
    <w:p w14:paraId="5DB95BE5" w14:textId="77777777" w:rsidR="00FC128D" w:rsidRPr="00FC128D" w:rsidRDefault="00FC128D" w:rsidP="00FC128D">
      <w:r w:rsidRPr="00FC128D">
        <w:t>Overall, the manuscript makes a strong case for the performance and applicability of GANomics in integrating microarray and RNA-seq data. However, there are two main points that require clarification or further development.</w:t>
      </w:r>
    </w:p>
    <w:p w14:paraId="2B0759BA" w14:textId="77777777" w:rsidR="00FC128D" w:rsidRPr="00FC128D" w:rsidRDefault="00FC128D" w:rsidP="00FC128D"/>
    <w:p w14:paraId="5409FFDF" w14:textId="77777777" w:rsidR="00FC128D" w:rsidRPr="00FC128D" w:rsidRDefault="00FC128D" w:rsidP="00FC128D">
      <w:r w:rsidRPr="00FC128D">
        <w:t>First, while substantial effort is devoted to demonstrating biological signal preservation, this aspect is not comprehensively benchmarked against all competing methods, particularly approaches such as ComBat. Expanding the evaluation to include additional metrics specifically targeting biological conservation (beyond Pearson correlation) would provide a more complete and rigorous comparison.</w:t>
      </w:r>
    </w:p>
    <w:p w14:paraId="1EA9FCE8" w14:textId="77777777" w:rsidR="00FC128D" w:rsidRPr="00FC128D" w:rsidRDefault="00FC128D" w:rsidP="00FC128D"/>
    <w:p w14:paraId="7A582386" w14:textId="77777777" w:rsidR="00FC128D" w:rsidRPr="00FC128D" w:rsidRDefault="00FC128D" w:rsidP="00FC128D">
      <w:r w:rsidRPr="00FC128D">
        <w:t xml:space="preserve">Second, in the section “GANomics enables cross-platform predictive classifiers,” the experimental setup is not entirely clear. In particular, it is ambiguous whether the (C1) </w:t>
      </w:r>
      <w:proofErr w:type="spellStart"/>
      <w:r w:rsidRPr="00FC128D">
        <w:t>Real</w:t>
      </w:r>
      <w:r w:rsidRPr="00FC128D">
        <w:rPr>
          <w:rFonts w:ascii="Arial" w:hAnsi="Arial" w:cs="Arial"/>
        </w:rPr>
        <w:t>→</w:t>
      </w:r>
      <w:r w:rsidRPr="00FC128D">
        <w:t>Real</w:t>
      </w:r>
      <w:proofErr w:type="spellEnd"/>
      <w:r w:rsidRPr="00FC128D">
        <w:t xml:space="preserve"> classifier corresponds to a model trained and tested within the same modality (e.g., RNA-seq only) or across </w:t>
      </w:r>
      <w:proofErr w:type="gramStart"/>
      <w:r w:rsidRPr="00FC128D">
        <w:t>platforms(</w:t>
      </w:r>
      <w:proofErr w:type="gramEnd"/>
      <w:r w:rsidRPr="00FC128D">
        <w:t xml:space="preserve">trained on both </w:t>
      </w:r>
      <w:proofErr w:type="spellStart"/>
      <w:r w:rsidRPr="00FC128D">
        <w:t>RNA+microarray</w:t>
      </w:r>
      <w:proofErr w:type="spellEnd"/>
      <w:r w:rsidRPr="00FC128D">
        <w:t xml:space="preserve"> without harmonization). More broadly, a key conceptual question remains insufficiently addressed: does integrating </w:t>
      </w:r>
      <w:r w:rsidRPr="00FC128D">
        <w:lastRenderedPageBreak/>
        <w:t>microarray and RNA-seq data lead to improved predictive performance compared to using a single modality alone? In other words, what is the added value of incorporating legacy microarray data, given its known limitations, when RNA-seq data are available?</w:t>
      </w:r>
    </w:p>
    <w:p w14:paraId="2257C451" w14:textId="77777777" w:rsidR="00FC128D" w:rsidRPr="00FC128D" w:rsidRDefault="00FC128D" w:rsidP="00FC128D"/>
    <w:p w14:paraId="1C131BFD" w14:textId="77777777" w:rsidR="00FC128D" w:rsidRPr="00FC128D" w:rsidRDefault="00FC128D" w:rsidP="00FC128D">
      <w:r w:rsidRPr="00FC128D">
        <w:t>Finally, one minor weakness concerns the claimed advantage of the bidirectional nature of GANomics. While the ability to translate between platforms in both directions is technically appealing, its practical benefit is not clearly demonstrated. It would strengthen the manuscript to provide a concrete or even hypothetical use case where bidirectional translation—particularly converting RNA-seq data into microarray-like profiles—would be advantageous.</w:t>
      </w:r>
    </w:p>
    <w:p w14:paraId="2425741B" w14:textId="77777777" w:rsidR="00FC128D" w:rsidRPr="00FC128D" w:rsidRDefault="00FC128D" w:rsidP="00FC128D"/>
    <w:p w14:paraId="4BE3F651" w14:textId="77777777" w:rsidR="00FC128D" w:rsidRPr="00FC128D" w:rsidRDefault="00FC128D" w:rsidP="00FC128D"/>
    <w:p w14:paraId="036D5859" w14:textId="77777777" w:rsidR="00FC128D" w:rsidRPr="00FC128D" w:rsidRDefault="00FC128D" w:rsidP="00FC128D">
      <w:r w:rsidRPr="00FC128D">
        <w:t xml:space="preserve">Of note, due to some formatting errors I couldn't verify that no </w:t>
      </w:r>
      <w:proofErr w:type="gramStart"/>
      <w:r w:rsidRPr="00FC128D">
        <w:t>error</w:t>
      </w:r>
      <w:proofErr w:type="gramEnd"/>
      <w:r w:rsidRPr="00FC128D">
        <w:t xml:space="preserve"> </w:t>
      </w:r>
      <w:proofErr w:type="gramStart"/>
      <w:r w:rsidRPr="00FC128D">
        <w:t>were</w:t>
      </w:r>
      <w:proofErr w:type="gramEnd"/>
      <w:r w:rsidRPr="00FC128D">
        <w:t xml:space="preserve"> present in the equations about the implementation of the GAN.</w:t>
      </w:r>
    </w:p>
    <w:p w14:paraId="14E2F66C" w14:textId="77777777" w:rsidR="00FC128D" w:rsidRPr="00FC128D" w:rsidRDefault="00FC128D" w:rsidP="00FC128D"/>
    <w:p w14:paraId="62144787" w14:textId="77777777" w:rsidR="00FC128D" w:rsidRPr="00FC128D" w:rsidRDefault="00FC128D" w:rsidP="00FC128D"/>
    <w:p w14:paraId="3F08EC05" w14:textId="77777777" w:rsidR="00FC128D" w:rsidRPr="00FC128D" w:rsidRDefault="00FC128D" w:rsidP="00FC128D">
      <w:r w:rsidRPr="00FC128D">
        <w:t>Reviewer 3</w:t>
      </w:r>
    </w:p>
    <w:p w14:paraId="54535DD2" w14:textId="77777777" w:rsidR="00FC128D" w:rsidRPr="00FC128D" w:rsidRDefault="00FC128D" w:rsidP="00FC128D"/>
    <w:p w14:paraId="1D43319C" w14:textId="77777777" w:rsidR="00FC128D" w:rsidRPr="00FC128D" w:rsidRDefault="00FC128D" w:rsidP="00FC128D">
      <w:r w:rsidRPr="00FC128D">
        <w:t>This manuscript introduces GANomics, a GAN-based framework designed to model the relationship between microarray and RNA-seq gene expression profiles. The key innovation is the incorporation of a feedback loss into the CycleGAN architecture, allowing the model to leverage paired samples to achieve bidirectional, sample-level transcriptomic translation while preserving biological signal. Overall, the manuscript demonstrates that GANomics can generate synthetic expression profiles that closely resemble real samples. However, I have several concerns regarding the practical application, generalizability, and reproducibility of the proposed method.</w:t>
      </w:r>
    </w:p>
    <w:p w14:paraId="35D2EBDD" w14:textId="77777777" w:rsidR="00FC128D" w:rsidRPr="00FC128D" w:rsidRDefault="00FC128D" w:rsidP="00FC128D">
      <w:r w:rsidRPr="00FC128D">
        <w:t>1. The GANomics results show high similarity between the training and testing samples across platforms. However, this similarity could still partially reflect overfitting or dataset-specific learning, as the training and testing samples originate from the same cohort. It therefore remains unclear whether GANomics can generalize across cohorts in realistic scenarios, which is critical because paired microarray and RNA-seq samples may not be available in the same condition cohort for the target analysis.</w:t>
      </w:r>
    </w:p>
    <w:p w14:paraId="77AF4DFB" w14:textId="77777777" w:rsidR="00FC128D" w:rsidRPr="00FC128D" w:rsidRDefault="00FC128D" w:rsidP="00FC128D">
      <w:r w:rsidRPr="00FC128D">
        <w:lastRenderedPageBreak/>
        <w:t>2. The manuscript primarily demonstrates high similarity between the synthetic and real datasets, including concordance in gene expression, DE genes, and pathway results. However, it remains unclear what practical benefits the synthetic data provide in real applications beyond reproducing existing measurements. In particular, the authors do not show whether incorporating synthetic data can improve downstream analyses compared with using only real data.</w:t>
      </w:r>
    </w:p>
    <w:p w14:paraId="1B4F8814" w14:textId="77777777" w:rsidR="00FC128D" w:rsidRPr="00FC128D" w:rsidRDefault="00FC128D" w:rsidP="00FC128D">
      <w:r w:rsidRPr="00FC128D">
        <w:t>3. The manuscript does not provide sufficient details on the model architecture and training parameters, which limits reproducibility and makes it difficult to assess the robustness of the approach.</w:t>
      </w:r>
    </w:p>
    <w:p w14:paraId="55241E56" w14:textId="77777777" w:rsidR="00FC128D" w:rsidRPr="00FC128D" w:rsidRDefault="00FC128D" w:rsidP="00FC128D">
      <w:r w:rsidRPr="00FC128D">
        <w:t>4. The authors should provide a publicly accessible link to the GANomics implementation and the analysis code to ensure that the method is reproducible and can be applied by other researchers. Given the complexity of GAN training and the sensitivity to hyperparameter choices, access to the source code is essential for independent validation and practical use of the proposed framework.</w:t>
      </w:r>
    </w:p>
    <w:p w14:paraId="30379F99" w14:textId="77777777" w:rsidR="00C14434" w:rsidRDefault="00C14434"/>
    <w:sectPr w:rsidR="00C14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14F17"/>
    <w:rsid w:val="00006B31"/>
    <w:rsid w:val="00015270"/>
    <w:rsid w:val="0004157E"/>
    <w:rsid w:val="0017679F"/>
    <w:rsid w:val="002A686F"/>
    <w:rsid w:val="002B7E72"/>
    <w:rsid w:val="002C76F7"/>
    <w:rsid w:val="003C585A"/>
    <w:rsid w:val="0044507A"/>
    <w:rsid w:val="005332D8"/>
    <w:rsid w:val="005E3787"/>
    <w:rsid w:val="00621B1A"/>
    <w:rsid w:val="00627C99"/>
    <w:rsid w:val="00707904"/>
    <w:rsid w:val="00780615"/>
    <w:rsid w:val="007F439A"/>
    <w:rsid w:val="0087719C"/>
    <w:rsid w:val="008A621E"/>
    <w:rsid w:val="008B5759"/>
    <w:rsid w:val="008C5DAD"/>
    <w:rsid w:val="00955686"/>
    <w:rsid w:val="00990632"/>
    <w:rsid w:val="009C607B"/>
    <w:rsid w:val="009D20BE"/>
    <w:rsid w:val="00AA1376"/>
    <w:rsid w:val="00AB213C"/>
    <w:rsid w:val="00AF2FD9"/>
    <w:rsid w:val="00C14434"/>
    <w:rsid w:val="00CA4727"/>
    <w:rsid w:val="00DB098F"/>
    <w:rsid w:val="00E23CC4"/>
    <w:rsid w:val="00E31F87"/>
    <w:rsid w:val="00F02A52"/>
    <w:rsid w:val="00F11CE4"/>
    <w:rsid w:val="00F14F17"/>
    <w:rsid w:val="00F167D2"/>
    <w:rsid w:val="00FA41AA"/>
    <w:rsid w:val="00FC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0036"/>
  <w15:chartTrackingRefBased/>
  <w15:docId w15:val="{A82E3573-0970-4A04-93DE-CB4C3B0B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F17"/>
    <w:rPr>
      <w:rFonts w:eastAsiaTheme="majorEastAsia" w:cstheme="majorBidi"/>
      <w:color w:val="272727" w:themeColor="text1" w:themeTint="D8"/>
    </w:rPr>
  </w:style>
  <w:style w:type="paragraph" w:styleId="Title">
    <w:name w:val="Title"/>
    <w:basedOn w:val="Normal"/>
    <w:next w:val="Normal"/>
    <w:link w:val="TitleChar"/>
    <w:uiPriority w:val="10"/>
    <w:qFormat/>
    <w:rsid w:val="00F1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F17"/>
    <w:pPr>
      <w:spacing w:before="160"/>
      <w:jc w:val="center"/>
    </w:pPr>
    <w:rPr>
      <w:i/>
      <w:iCs/>
      <w:color w:val="404040" w:themeColor="text1" w:themeTint="BF"/>
    </w:rPr>
  </w:style>
  <w:style w:type="character" w:customStyle="1" w:styleId="QuoteChar">
    <w:name w:val="Quote Char"/>
    <w:basedOn w:val="DefaultParagraphFont"/>
    <w:link w:val="Quote"/>
    <w:uiPriority w:val="29"/>
    <w:rsid w:val="00F14F17"/>
    <w:rPr>
      <w:i/>
      <w:iCs/>
      <w:color w:val="404040" w:themeColor="text1" w:themeTint="BF"/>
    </w:rPr>
  </w:style>
  <w:style w:type="paragraph" w:styleId="ListParagraph">
    <w:name w:val="List Paragraph"/>
    <w:basedOn w:val="Normal"/>
    <w:uiPriority w:val="34"/>
    <w:qFormat/>
    <w:rsid w:val="00F14F17"/>
    <w:pPr>
      <w:ind w:left="720"/>
      <w:contextualSpacing/>
    </w:pPr>
  </w:style>
  <w:style w:type="character" w:styleId="IntenseEmphasis">
    <w:name w:val="Intense Emphasis"/>
    <w:basedOn w:val="DefaultParagraphFont"/>
    <w:uiPriority w:val="21"/>
    <w:qFormat/>
    <w:rsid w:val="00F14F17"/>
    <w:rPr>
      <w:i/>
      <w:iCs/>
      <w:color w:val="0F4761" w:themeColor="accent1" w:themeShade="BF"/>
    </w:rPr>
  </w:style>
  <w:style w:type="paragraph" w:styleId="IntenseQuote">
    <w:name w:val="Intense Quote"/>
    <w:basedOn w:val="Normal"/>
    <w:next w:val="Normal"/>
    <w:link w:val="IntenseQuoteChar"/>
    <w:uiPriority w:val="30"/>
    <w:qFormat/>
    <w:rsid w:val="00F14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F17"/>
    <w:rPr>
      <w:i/>
      <w:iCs/>
      <w:color w:val="0F4761" w:themeColor="accent1" w:themeShade="BF"/>
    </w:rPr>
  </w:style>
  <w:style w:type="character" w:styleId="IntenseReference">
    <w:name w:val="Intense Reference"/>
    <w:basedOn w:val="DefaultParagraphFont"/>
    <w:uiPriority w:val="32"/>
    <w:qFormat/>
    <w:rsid w:val="00F14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928787">
      <w:bodyDiv w:val="1"/>
      <w:marLeft w:val="0"/>
      <w:marRight w:val="0"/>
      <w:marTop w:val="0"/>
      <w:marBottom w:val="0"/>
      <w:divBdr>
        <w:top w:val="none" w:sz="0" w:space="0" w:color="auto"/>
        <w:left w:val="none" w:sz="0" w:space="0" w:color="auto"/>
        <w:bottom w:val="none" w:sz="0" w:space="0" w:color="auto"/>
        <w:right w:val="none" w:sz="0" w:space="0" w:color="auto"/>
      </w:divBdr>
    </w:div>
    <w:div w:id="199552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1675</Words>
  <Characters>9551</Characters>
  <Application>Microsoft Office Word</Application>
  <DocSecurity>0</DocSecurity>
  <Lines>79</Lines>
  <Paragraphs>22</Paragraphs>
  <ScaleCrop>false</ScaleCrop>
  <Company>FDA Scientific Computing</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Leihong</dc:creator>
  <cp:keywords/>
  <dc:description/>
  <cp:lastModifiedBy>Wu, Leihong</cp:lastModifiedBy>
  <cp:revision>3</cp:revision>
  <dcterms:created xsi:type="dcterms:W3CDTF">2026-03-06T19:58:00Z</dcterms:created>
  <dcterms:modified xsi:type="dcterms:W3CDTF">2026-03-06T19:59:00Z</dcterms:modified>
</cp:coreProperties>
</file>