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31875" w14:textId="77777777"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2A2E0584" w14:textId="77777777" w:rsidR="00FF70DA" w:rsidRDefault="00FF70DA" w:rsidP="00FF70DA">
      <w:pPr>
        <w:jc w:val="center"/>
        <w:rPr>
          <w:i/>
          <w:iCs/>
        </w:rPr>
      </w:pPr>
    </w:p>
    <w:p w14:paraId="42965798" w14:textId="77777777"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1CAB365E" w14:textId="77777777"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6F5166F2" w14:textId="77777777" w:rsidR="00FF70DA" w:rsidRDefault="00FF70DA" w:rsidP="00FF70DA">
      <w:pPr>
        <w:rPr>
          <w:i/>
          <w:iCs/>
        </w:rPr>
      </w:pPr>
    </w:p>
    <w:p w14:paraId="20E757F7" w14:textId="77777777"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6626508E"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66ED4FC5" w14:textId="77777777" w:rsidR="002559AB" w:rsidRDefault="002559AB" w:rsidP="00FF70DA">
      <w:pPr>
        <w:rPr>
          <w:i/>
          <w:iCs/>
        </w:rPr>
      </w:pPr>
    </w:p>
    <w:p w14:paraId="391A1FE5" w14:textId="77777777"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3A465A2D" w14:textId="77777777" w:rsidR="00FF70DA" w:rsidRDefault="00FF70DA" w:rsidP="00FF70DA">
      <w:pPr>
        <w:rPr>
          <w:i/>
          <w:iCs/>
        </w:rPr>
      </w:pPr>
      <w:r>
        <w:rPr>
          <w:i/>
          <w:iCs/>
        </w:rPr>
        <w:br w:type="page"/>
      </w:r>
    </w:p>
    <w:p w14:paraId="37FE3CDA" w14:textId="77777777" w:rsidR="001A60A2" w:rsidRDefault="001A60A2" w:rsidP="001A60A2">
      <w:pPr>
        <w:pStyle w:val="Heading1"/>
      </w:pPr>
      <w:r>
        <w:lastRenderedPageBreak/>
        <w:t>Abstract</w:t>
      </w:r>
    </w:p>
    <w:p w14:paraId="2F713C21"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261C9C06" w14:textId="77777777"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r w:rsidR="006643C2">
        <w:t xml:space="preserve">expert reference annotations </w:t>
      </w:r>
      <w:r w:rsidR="00216995">
        <w:t xml:space="preserve">for </w:t>
      </w:r>
      <w:r w:rsidR="7A42343D">
        <w:t>829</w:t>
      </w:r>
      <w:r w:rsidR="00204C50">
        <w:t xml:space="preserve"> FDA Adverse Event Reporting System (FAERS) </w:t>
      </w:r>
      <w:r w:rsidR="0258625F">
        <w:t>ICSR</w:t>
      </w:r>
      <w:r w:rsidR="7A42343D">
        <w:t xml:space="preserve"> </w:t>
      </w:r>
      <w:r w:rsidR="00A25D7F" w:rsidRPr="00A25D7F">
        <w:t xml:space="preserve">narratives </w:t>
      </w:r>
      <w:r w:rsidR="09ABBC06">
        <w:t>covering 17 clinical entity types</w:t>
      </w:r>
      <w:r w:rsidR="39C6B57A">
        <w:t>.</w:t>
      </w:r>
      <w:r w:rsidR="375B13F2">
        <w:t xml:space="preserve"> We then</w:t>
      </w:r>
      <w:r w:rsidR="09ABBC06">
        <w:t xml:space="preserve"> </w:t>
      </w:r>
      <w:r w:rsidR="00216995">
        <w:t xml:space="preserve">used this corpus to compare </w:t>
      </w:r>
      <w:r w:rsidR="09ABBC06">
        <w:t xml:space="preserve">three </w:t>
      </w:r>
      <w:r w:rsidR="1BBBF85D">
        <w:t xml:space="preserve">automated </w:t>
      </w:r>
      <w:r w:rsidR="09ABBC06">
        <w:t>annotation strategies: a previously established rule-based system (ETHER), instruction-tuned large language model</w:t>
      </w:r>
      <w:r w:rsidR="009D30CA">
        <w:t>s</w:t>
      </w:r>
      <w:r w:rsidR="09ABBC06">
        <w:t xml:space="preserve"> (LLM), and a fine-tuned BERT named entity recognition model. </w:t>
      </w:r>
    </w:p>
    <w:p w14:paraId="329A6A72" w14:textId="77777777"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 xml:space="preserve">ge. On FAERS narratives, BERT achieved higher overall F1 than the LLM.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r w:rsidR="00335D3C">
        <w:t xml:space="preserve"> Vaccine Adverse Events Reporting System</w:t>
      </w:r>
      <w:r w:rsidR="09ABBC06">
        <w:t xml:space="preserve"> </w:t>
      </w:r>
      <w:r w:rsidR="00335D3C">
        <w:t>(</w:t>
      </w:r>
      <w:r w:rsidR="09ABBC06">
        <w:t>VAERS</w:t>
      </w:r>
      <w:r w:rsidR="00335D3C">
        <w:t>)</w:t>
      </w:r>
      <w:r w:rsidR="09ABBC06">
        <w:t xml:space="preserve"> benchmark corpus, where BERT again outperformed the LLM in overall F1. </w:t>
      </w:r>
    </w:p>
    <w:p w14:paraId="68F27034" w14:textId="77777777"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r w:rsidR="009A6AE6">
        <w:t xml:space="preserve">establish the </w:t>
      </w:r>
      <w:r w:rsidR="09ABBC06">
        <w:t xml:space="preserve">FAERS </w:t>
      </w:r>
      <w:r w:rsidR="00355779">
        <w:t xml:space="preserve">annotations as an expert-curated reference resource </w:t>
      </w:r>
      <w:r w:rsidR="09ABBC06">
        <w:t xml:space="preserve">for </w:t>
      </w:r>
      <w:r w:rsidR="16A80FBA">
        <w:t xml:space="preserve">development and </w:t>
      </w:r>
      <w:r w:rsidR="00285E1F">
        <w:t xml:space="preserve">methodological </w:t>
      </w:r>
      <w:r w:rsidR="09ABBC06">
        <w:t>evaluati</w:t>
      </w:r>
      <w:r w:rsidR="16A80FBA">
        <w:t xml:space="preserve">on of </w:t>
      </w:r>
      <w:r w:rsidR="13D05492">
        <w:t xml:space="preserve">clinical </w:t>
      </w:r>
      <w:r w:rsidR="09ABBC06">
        <w:t xml:space="preserve">concept extraction </w:t>
      </w:r>
      <w:r w:rsidR="00285E1F">
        <w:t>from safety narratives</w:t>
      </w:r>
      <w:r w:rsidR="09ABBC06">
        <w:t>.</w:t>
      </w:r>
    </w:p>
    <w:p w14:paraId="37C75E19" w14:textId="77777777" w:rsidR="00D33BA7" w:rsidRDefault="00D33BA7">
      <w:r>
        <w:br w:type="page"/>
      </w:r>
    </w:p>
    <w:p w14:paraId="7671AB70" w14:textId="77777777" w:rsidR="00F542BE" w:rsidRDefault="00F542BE">
      <w:r w:rsidRPr="00F542BE">
        <w:rPr>
          <w:b/>
          <w:bCs/>
        </w:rPr>
        <w:lastRenderedPageBreak/>
        <w:t>Key</w:t>
      </w:r>
      <w:r w:rsidR="00D13299">
        <w:rPr>
          <w:b/>
          <w:bCs/>
        </w:rPr>
        <w:t xml:space="preserve"> </w:t>
      </w:r>
      <w:r w:rsidRPr="00F542BE">
        <w:rPr>
          <w:b/>
          <w:bCs/>
        </w:rPr>
        <w:t>points</w:t>
      </w:r>
      <w:r>
        <w:t>:</w:t>
      </w:r>
    </w:p>
    <w:p w14:paraId="01CAD709" w14:textId="77777777" w:rsidR="00612D64" w:rsidRPr="00612D64" w:rsidRDefault="00612D64" w:rsidP="00612D64">
      <w:r w:rsidRPr="00612D64">
        <w:t>• We developed an expert-</w:t>
      </w:r>
      <w:r w:rsidR="000F397F">
        <w:t>curated</w:t>
      </w:r>
      <w:r w:rsidRPr="00612D64">
        <w:t xml:space="preserve"> FAERS </w:t>
      </w:r>
      <w:r w:rsidR="000F397F">
        <w:t>reference corpus</w:t>
      </w:r>
      <w:r w:rsidRPr="00612D64">
        <w:t xml:space="preserve"> for clinical concept extraction from safety report narratives, </w:t>
      </w:r>
      <w:r w:rsidR="005550DE">
        <w:t>and characterized its scale, clinical composition, and annotation diversity</w:t>
      </w:r>
      <w:r w:rsidRPr="00612D64">
        <w:t>.</w:t>
      </w:r>
    </w:p>
    <w:p w14:paraId="5DA824BF"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1696A13D" w14:textId="77777777" w:rsidR="00612D64" w:rsidRPr="00612D64" w:rsidRDefault="00612D64" w:rsidP="00612D64">
      <w:r w:rsidRPr="00612D64">
        <w:t xml:space="preserve">• Fine-tuned BERT models </w:t>
      </w:r>
      <w:r w:rsidR="003C6F37">
        <w:t xml:space="preserve">are evaluated using repeated random-seed training and cross-validation to quantify robustness and reduce dependence on a single experiment run. </w:t>
      </w:r>
    </w:p>
    <w:p w14:paraId="2BB45037" w14:textId="77777777" w:rsidR="00C75F64" w:rsidRDefault="00C75F64" w:rsidP="00C75F64"/>
    <w:p w14:paraId="3F762A84" w14:textId="77777777" w:rsidR="00533B1D" w:rsidRPr="00533B1D" w:rsidRDefault="00533B1D" w:rsidP="00533B1D">
      <w:pPr>
        <w:pStyle w:val="Heading1"/>
      </w:pPr>
      <w:r w:rsidRPr="00533B1D">
        <w:t>1. Introduction</w:t>
      </w:r>
    </w:p>
    <w:p w14:paraId="3349F04E" w14:textId="77777777" w:rsidR="00533B1D" w:rsidRPr="00533B1D" w:rsidRDefault="26FC4DB9" w:rsidP="00533B1D">
      <w:r>
        <w:t xml:space="preserve">Post-marketing safety surveillance is essential for ensuring the continued safety of drugs and vaccines after they enter the market. In the United States, the FDA relies heavily on </w:t>
      </w:r>
      <w:r w:rsidR="00E47590">
        <w:t>A</w:t>
      </w:r>
      <w:r w:rsidR="00C84C7C">
        <w:t xml:space="preserve">dverse </w:t>
      </w:r>
      <w:r w:rsidR="00E47590">
        <w:t>E</w:t>
      </w:r>
      <w:r w:rsidR="005D506B">
        <w:t xml:space="preserve">vent </w:t>
      </w:r>
      <w:r w:rsidR="00E068E4">
        <w:t xml:space="preserve">Monitoring </w:t>
      </w:r>
      <w:r w:rsidR="00E47590">
        <w:t>S</w:t>
      </w:r>
      <w:r w:rsidR="00C84C7C">
        <w:t>ystem</w:t>
      </w:r>
      <w:r w:rsidR="00403CE6">
        <w:t>s</w:t>
      </w:r>
      <w:r w:rsidR="00C84C7C">
        <w:t xml:space="preserve"> </w:t>
      </w:r>
      <w:r w:rsidR="00E47590">
        <w:t>(AEMS) including</w:t>
      </w:r>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3694BED2" w14:textId="77777777"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03695A01" w14:textId="77777777"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w:t>
      </w:r>
      <w:r w:rsidR="4AD88ACB">
        <w:lastRenderedPageBreak/>
        <w:t xml:space="preserve">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7BAE986C" w14:textId="77777777"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741A730C" w14:textId="77777777"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35BC9177" w14:textId="77777777"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w:t>
      </w:r>
      <w:r w:rsidR="00357D49">
        <w:t>few</w:t>
      </w:r>
      <w:r w:rsidRPr="00533B1D">
        <w:t xml:space="preserve">-shot, instruction-tuned LLM, and a fine-tuned </w:t>
      </w:r>
      <w:r w:rsidR="003C2DC8">
        <w:t>BERT</w:t>
      </w:r>
      <w:r w:rsidRPr="00533B1D">
        <w:t xml:space="preserve"> NER model trained on human-annotated corpora. </w:t>
      </w:r>
      <w:r w:rsidR="004C663B">
        <w:t xml:space="preserve">For FAERS and VAERS datasets, </w:t>
      </w:r>
      <w:r w:rsidR="00C43059">
        <w:t xml:space="preserve">we </w:t>
      </w:r>
      <w:r w:rsidR="004C663B">
        <w:t xml:space="preserve">performed </w:t>
      </w:r>
      <w:r w:rsidR="00491279">
        <w:t xml:space="preserve">Leave-One-Group-Out or Leave-Many-Out cross validation, to </w:t>
      </w:r>
      <w:r w:rsidR="00C43059">
        <w:t>train</w:t>
      </w:r>
      <w:r w:rsidR="00491279">
        <w:t xml:space="preserve"> and evaluate</w:t>
      </w:r>
      <w:r w:rsidR="00C43059">
        <w:t xml:space="preserve">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1E2550AF" w14:textId="77777777" w:rsidR="00446306" w:rsidRDefault="00446306" w:rsidP="00E36A28">
      <w:pPr>
        <w:pStyle w:val="Heading1"/>
      </w:pPr>
      <w:r w:rsidRPr="00446306">
        <w:lastRenderedPageBreak/>
        <w:t>2. Materials and Methods</w:t>
      </w:r>
    </w:p>
    <w:p w14:paraId="189503DF" w14:textId="77777777" w:rsidR="00182ADC" w:rsidRDefault="00182ADC" w:rsidP="00182ADC">
      <w:pPr>
        <w:pStyle w:val="Heading2"/>
      </w:pPr>
      <w:r w:rsidRPr="00182ADC">
        <w:t>2.1 Datasets</w:t>
      </w:r>
    </w:p>
    <w:p w14:paraId="27C241A1" w14:textId="77777777" w:rsidR="00766689" w:rsidRDefault="00766689" w:rsidP="00514A36">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r w:rsidR="006725BD">
        <w:t>Together, the two corpora comprise 1,829 clinical narrative reports, 854,257 tokens</w:t>
      </w:r>
      <w:r w:rsidR="005E4E72">
        <w:t xml:space="preserve">, and </w:t>
      </w:r>
      <w:r w:rsidR="006725BD">
        <w:t xml:space="preserve">39,809 sentences. </w:t>
      </w:r>
      <w:r w:rsidR="006725BD" w:rsidRPr="00F97A31">
        <w:rPr>
          <w:b/>
          <w:bCs/>
        </w:rPr>
        <w:t>Table 1</w:t>
      </w:r>
      <w:r w:rsidR="006725BD">
        <w:t xml:space="preserve"> </w:t>
      </w:r>
      <w:r w:rsidR="00F97A31">
        <w:t>summarizes</w:t>
      </w:r>
      <w:r w:rsidR="006725BD">
        <w:t xml:space="preserve"> the key corpus statistics</w:t>
      </w:r>
      <w:r w:rsidR="005E4E72">
        <w:t xml:space="preserve">, including </w:t>
      </w:r>
      <w:r w:rsidR="00E04912">
        <w:t>document length, annotation volume, and lexical surface-form diversity</w:t>
      </w:r>
      <w:r w:rsidR="006725BD">
        <w:t>.</w:t>
      </w:r>
    </w:p>
    <w:p w14:paraId="625C7921" w14:textId="77777777" w:rsidR="00C05C07" w:rsidRDefault="00C05C07" w:rsidP="00514A36"/>
    <w:p w14:paraId="109FD74F" w14:textId="77777777" w:rsidR="00960837" w:rsidRDefault="00960837" w:rsidP="00514A36">
      <w:r w:rsidRPr="005064A1">
        <w:rPr>
          <w:b/>
          <w:bCs/>
        </w:rPr>
        <w:t>Table 1.</w:t>
      </w:r>
      <w:r w:rsidRPr="00960837">
        <w:t xml:space="preserve"> Descriptive statistics of the annotated corpora.</w:t>
      </w:r>
    </w:p>
    <w:tbl>
      <w:tblPr>
        <w:tblStyle w:val="PlainTable2"/>
        <w:tblW w:w="0" w:type="auto"/>
        <w:tblLook w:val="04A0" w:firstRow="1" w:lastRow="0" w:firstColumn="1" w:lastColumn="0" w:noHBand="0" w:noVBand="1"/>
      </w:tblPr>
      <w:tblGrid>
        <w:gridCol w:w="3223"/>
        <w:gridCol w:w="2276"/>
        <w:gridCol w:w="2835"/>
      </w:tblGrid>
      <w:tr w:rsidR="00960837" w:rsidRPr="00960837" w14:paraId="22526A7A" w14:textId="77777777" w:rsidTr="0050465D">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5F13AFE3" w14:textId="77777777" w:rsidR="00960837" w:rsidRPr="00960837" w:rsidRDefault="00960837" w:rsidP="00960837">
            <w:pPr>
              <w:spacing w:after="160" w:line="278" w:lineRule="auto"/>
            </w:pPr>
            <w:r w:rsidRPr="00960837">
              <w:t>Statistic</w:t>
            </w:r>
          </w:p>
        </w:tc>
        <w:tc>
          <w:tcPr>
            <w:tcW w:w="2276" w:type="dxa"/>
            <w:hideMark/>
          </w:tcPr>
          <w:p w14:paraId="114F8E8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FAERS D1</w:t>
            </w:r>
          </w:p>
        </w:tc>
        <w:tc>
          <w:tcPr>
            <w:tcW w:w="2835" w:type="dxa"/>
            <w:hideMark/>
          </w:tcPr>
          <w:p w14:paraId="341B9C92"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pPr>
            <w:r w:rsidRPr="00960837">
              <w:t>VAERS</w:t>
            </w:r>
          </w:p>
        </w:tc>
      </w:tr>
      <w:tr w:rsidR="00960837" w:rsidRPr="00960837" w14:paraId="6FC73519"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ECB9134" w14:textId="77777777" w:rsidR="00960837" w:rsidRPr="00960837" w:rsidRDefault="00AA0747" w:rsidP="00960837">
            <w:pPr>
              <w:spacing w:after="160" w:line="278" w:lineRule="auto"/>
            </w:pPr>
            <w:r>
              <w:t>#R</w:t>
            </w:r>
            <w:r w:rsidR="00960837" w:rsidRPr="00960837">
              <w:t>eports</w:t>
            </w:r>
          </w:p>
        </w:tc>
        <w:tc>
          <w:tcPr>
            <w:tcW w:w="2276" w:type="dxa"/>
            <w:hideMark/>
          </w:tcPr>
          <w:p w14:paraId="728E4B48"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829</w:t>
            </w:r>
          </w:p>
        </w:tc>
        <w:tc>
          <w:tcPr>
            <w:tcW w:w="2835" w:type="dxa"/>
            <w:hideMark/>
          </w:tcPr>
          <w:p w14:paraId="57EB0FB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1,000</w:t>
            </w:r>
          </w:p>
        </w:tc>
      </w:tr>
      <w:tr w:rsidR="00960837" w:rsidRPr="00960837" w14:paraId="7BDC3A01"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84CFAD0" w14:textId="77777777" w:rsidR="00960837" w:rsidRPr="00960837" w:rsidRDefault="00960837" w:rsidP="00960837">
            <w:pPr>
              <w:spacing w:after="160" w:line="278" w:lineRule="auto"/>
            </w:pPr>
            <w:r w:rsidRPr="00960837">
              <w:t>Total tokens</w:t>
            </w:r>
          </w:p>
        </w:tc>
        <w:tc>
          <w:tcPr>
            <w:tcW w:w="2276" w:type="dxa"/>
            <w:hideMark/>
          </w:tcPr>
          <w:p w14:paraId="4C3EEBC8"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414,576</w:t>
            </w:r>
          </w:p>
        </w:tc>
        <w:tc>
          <w:tcPr>
            <w:tcW w:w="2835" w:type="dxa"/>
            <w:hideMark/>
          </w:tcPr>
          <w:p w14:paraId="24E838EA"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439,681</w:t>
            </w:r>
          </w:p>
        </w:tc>
      </w:tr>
      <w:tr w:rsidR="00960837" w:rsidRPr="00960837" w14:paraId="6F88EB77"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AAA1FC4" w14:textId="77777777" w:rsidR="00960837" w:rsidRPr="00960837" w:rsidRDefault="00960837" w:rsidP="00960837">
            <w:pPr>
              <w:spacing w:after="160" w:line="278" w:lineRule="auto"/>
            </w:pPr>
            <w:r w:rsidRPr="00960837">
              <w:t>Total sentences</w:t>
            </w:r>
          </w:p>
        </w:tc>
        <w:tc>
          <w:tcPr>
            <w:tcW w:w="2276" w:type="dxa"/>
            <w:hideMark/>
          </w:tcPr>
          <w:p w14:paraId="7B916F27"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17,766</w:t>
            </w:r>
          </w:p>
        </w:tc>
        <w:tc>
          <w:tcPr>
            <w:tcW w:w="2835" w:type="dxa"/>
            <w:hideMark/>
          </w:tcPr>
          <w:p w14:paraId="156219E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22,043</w:t>
            </w:r>
          </w:p>
        </w:tc>
      </w:tr>
      <w:tr w:rsidR="00960837" w:rsidRPr="00960837" w14:paraId="5F685D25"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72BE1CAE" w14:textId="77777777" w:rsidR="00960837" w:rsidRPr="00960837" w:rsidRDefault="00960837" w:rsidP="00960837">
            <w:pPr>
              <w:spacing w:after="160" w:line="278" w:lineRule="auto"/>
            </w:pPr>
            <w:r w:rsidRPr="00960837">
              <w:t xml:space="preserve">Avg tokens per </w:t>
            </w:r>
            <w:r w:rsidR="002C6301">
              <w:t>report</w:t>
            </w:r>
            <w:r w:rsidRPr="00960837">
              <w:t xml:space="preserve"> </w:t>
            </w:r>
          </w:p>
        </w:tc>
        <w:tc>
          <w:tcPr>
            <w:tcW w:w="2276" w:type="dxa"/>
            <w:hideMark/>
          </w:tcPr>
          <w:p w14:paraId="025F2125"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500.1 ± 254.6</w:t>
            </w:r>
          </w:p>
        </w:tc>
        <w:tc>
          <w:tcPr>
            <w:tcW w:w="2835" w:type="dxa"/>
            <w:hideMark/>
          </w:tcPr>
          <w:p w14:paraId="16874B81"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pPr>
            <w:r w:rsidRPr="00960837">
              <w:t>439.7 ± 143.0</w:t>
            </w:r>
          </w:p>
        </w:tc>
      </w:tr>
      <w:tr w:rsidR="00960837" w:rsidRPr="00960837" w14:paraId="34E38C5A"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hideMark/>
          </w:tcPr>
          <w:p w14:paraId="41CA37A6" w14:textId="77777777" w:rsidR="00960837" w:rsidRPr="00960837" w:rsidRDefault="00960837" w:rsidP="00960837">
            <w:pPr>
              <w:spacing w:after="160" w:line="278" w:lineRule="auto"/>
            </w:pPr>
            <w:r w:rsidRPr="00960837">
              <w:t xml:space="preserve">Median tokens per </w:t>
            </w:r>
            <w:r w:rsidR="002C6301">
              <w:t>report</w:t>
            </w:r>
          </w:p>
        </w:tc>
        <w:tc>
          <w:tcPr>
            <w:tcW w:w="2276" w:type="dxa"/>
            <w:hideMark/>
          </w:tcPr>
          <w:p w14:paraId="05C5A1A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476</w:t>
            </w:r>
          </w:p>
        </w:tc>
        <w:tc>
          <w:tcPr>
            <w:tcW w:w="2835" w:type="dxa"/>
            <w:hideMark/>
          </w:tcPr>
          <w:p w14:paraId="09D7BFBE"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pPr>
            <w:r w:rsidRPr="00960837">
              <w:t>395</w:t>
            </w:r>
          </w:p>
        </w:tc>
      </w:tr>
      <w:tr w:rsidR="00C1414F" w:rsidRPr="00960837" w14:paraId="7675A0B2"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188C389B" w14:textId="77777777" w:rsidR="00C1414F" w:rsidRPr="00960837" w:rsidRDefault="00C1414F" w:rsidP="00C1414F">
            <w:r>
              <w:t>SME</w:t>
            </w:r>
            <w:r w:rsidRPr="00FF17F1">
              <w:t xml:space="preserve"> annotations</w:t>
            </w:r>
          </w:p>
        </w:tc>
        <w:tc>
          <w:tcPr>
            <w:tcW w:w="2276" w:type="dxa"/>
          </w:tcPr>
          <w:p w14:paraId="566458F7" w14:textId="77777777" w:rsidR="00C1414F" w:rsidRPr="009353BE" w:rsidRDefault="009353BE" w:rsidP="00C1414F">
            <w:pPr>
              <w:cnfStyle w:val="000000000000" w:firstRow="0" w:lastRow="0" w:firstColumn="0" w:lastColumn="0" w:oddVBand="0" w:evenVBand="0" w:oddHBand="0" w:evenHBand="0" w:firstRowFirstColumn="0" w:firstRowLastColumn="0" w:lastRowFirstColumn="0" w:lastRowLastColumn="0"/>
            </w:pPr>
            <w:r w:rsidRPr="009353BE">
              <w:t>30,163</w:t>
            </w:r>
          </w:p>
        </w:tc>
        <w:tc>
          <w:tcPr>
            <w:tcW w:w="2835" w:type="dxa"/>
          </w:tcPr>
          <w:p w14:paraId="62B5E095" w14:textId="77777777"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pPr>
            <w:r w:rsidRPr="00FF17F1">
              <w:t>40,711</w:t>
            </w:r>
          </w:p>
        </w:tc>
      </w:tr>
      <w:tr w:rsidR="0050465D" w:rsidRPr="00960837" w14:paraId="167E506B" w14:textId="77777777" w:rsidTr="0050465D">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tcPr>
          <w:p w14:paraId="19A2D470" w14:textId="77777777" w:rsidR="0050465D" w:rsidRPr="00960837" w:rsidRDefault="0050465D" w:rsidP="0050465D">
            <w:r>
              <w:t>Unique AE terms</w:t>
            </w:r>
          </w:p>
        </w:tc>
        <w:tc>
          <w:tcPr>
            <w:tcW w:w="2276" w:type="dxa"/>
          </w:tcPr>
          <w:p w14:paraId="16BC8543"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3,991</w:t>
            </w:r>
          </w:p>
        </w:tc>
        <w:tc>
          <w:tcPr>
            <w:tcW w:w="2835" w:type="dxa"/>
          </w:tcPr>
          <w:p w14:paraId="59511422" w14:textId="77777777"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pPr>
            <w:r w:rsidRPr="00925563">
              <w:t>13,819</w:t>
            </w:r>
          </w:p>
        </w:tc>
      </w:tr>
      <w:tr w:rsidR="0050465D" w:rsidRPr="00960837" w14:paraId="4BB2B6DA" w14:textId="77777777" w:rsidTr="0050465D">
        <w:trPr>
          <w:trHeight w:val="432"/>
        </w:trPr>
        <w:tc>
          <w:tcPr>
            <w:cnfStyle w:val="001000000000" w:firstRow="0" w:lastRow="0" w:firstColumn="1" w:lastColumn="0" w:oddVBand="0" w:evenVBand="0" w:oddHBand="0" w:evenHBand="0" w:firstRowFirstColumn="0" w:firstRowLastColumn="0" w:lastRowFirstColumn="0" w:lastRowLastColumn="0"/>
            <w:tcW w:w="0" w:type="auto"/>
          </w:tcPr>
          <w:p w14:paraId="06DFDA36" w14:textId="77777777" w:rsidR="0050465D" w:rsidRPr="00960837" w:rsidRDefault="0050465D" w:rsidP="0050465D">
            <w:r>
              <w:t>Unique Drug</w:t>
            </w:r>
            <w:r w:rsidR="0080492C">
              <w:t xml:space="preserve">/Vaccine </w:t>
            </w:r>
            <w:r>
              <w:t>terms</w:t>
            </w:r>
          </w:p>
        </w:tc>
        <w:tc>
          <w:tcPr>
            <w:tcW w:w="2276" w:type="dxa"/>
          </w:tcPr>
          <w:p w14:paraId="54C30C14"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2,085</w:t>
            </w:r>
          </w:p>
        </w:tc>
        <w:tc>
          <w:tcPr>
            <w:tcW w:w="2835" w:type="dxa"/>
          </w:tcPr>
          <w:p w14:paraId="59B33986" w14:textId="7777777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pPr>
            <w:r w:rsidRPr="00925563">
              <w:t>863</w:t>
            </w:r>
          </w:p>
        </w:tc>
      </w:tr>
    </w:tbl>
    <w:p w14:paraId="221D95A0" w14:textId="77777777" w:rsidR="00960837" w:rsidRPr="00766689" w:rsidRDefault="00960837" w:rsidP="00514A36"/>
    <w:p w14:paraId="6401D917" w14:textId="77777777"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r w:rsidR="00827CB2">
        <w:t>ICSRs</w:t>
      </w:r>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r w:rsidR="00AF5C88">
        <w:t xml:space="preserve">These </w:t>
      </w:r>
      <w:r w:rsidR="00827CB2">
        <w:t xml:space="preserve">829 ICSRs </w:t>
      </w:r>
      <w:r w:rsidR="00827CB2" w:rsidRPr="00182ADC">
        <w:t>involv</w:t>
      </w:r>
      <w:r w:rsidR="00827CB2">
        <w:t>ed</w:t>
      </w:r>
      <w:r w:rsidR="00827CB2" w:rsidRPr="00182ADC">
        <w:t xml:space="preserve"> four drug–adverse event pairs: Azacitidine–QT prolongation, Tramadol–hypoglycemia, Baricitinib–hypersensitivity, and </w:t>
      </w:r>
      <w:proofErr w:type="spellStart"/>
      <w:r w:rsidR="00827CB2" w:rsidRPr="00182ADC">
        <w:t>Erenumab</w:t>
      </w:r>
      <w:proofErr w:type="spellEnd"/>
      <w:r w:rsidR="00827CB2" w:rsidRPr="00182ADC">
        <w:t>–stroke.</w:t>
      </w:r>
      <w:r w:rsidR="00827CB2">
        <w:t xml:space="preserve"> </w:t>
      </w:r>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 (see </w:t>
      </w:r>
      <w:r w:rsidR="00625D39">
        <w:t>2.2</w:t>
      </w:r>
      <w:r w:rsidR="00EF4E51">
        <w:t>)</w:t>
      </w:r>
      <w:r w:rsidR="00722EAA">
        <w:t xml:space="preserve">. </w:t>
      </w:r>
      <w:r w:rsidR="00722EAA" w:rsidRPr="00722EAA">
        <w:t>Across the FAERS corpus, the expert reference set contained 3</w:t>
      </w:r>
      <w:r w:rsidR="00967C76">
        <w:t>0</w:t>
      </w:r>
      <w:r w:rsidR="00722EAA" w:rsidRPr="00722EAA">
        <w:t>,</w:t>
      </w:r>
      <w:r w:rsidR="00967C76">
        <w:t>163</w:t>
      </w:r>
      <w:r w:rsidR="00722EAA" w:rsidRPr="00722EAA">
        <w:t xml:space="preserve"> annotations, including 3,991 unique AE/symptom </w:t>
      </w:r>
      <w:r w:rsidR="000F1436">
        <w:t>terms</w:t>
      </w:r>
      <w:r w:rsidR="00722EAA" w:rsidRPr="00722EAA">
        <w:t xml:space="preserve"> and 2,085 unique drug </w:t>
      </w:r>
      <w:r w:rsidR="000F1436">
        <w:t>terms</w:t>
      </w:r>
      <w:r w:rsidR="00722EAA" w:rsidRPr="00722EAA">
        <w:t xml:space="preserve"> under exact string matching.</w:t>
      </w:r>
      <w:r w:rsidR="00722EAA">
        <w:t xml:space="preserve"> </w:t>
      </w:r>
    </w:p>
    <w:p w14:paraId="35F22983" w14:textId="77777777"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 xml:space="preserve">standard annotated reference to support </w:t>
      </w:r>
      <w:r w:rsidRPr="00C31354">
        <w:lastRenderedPageBreak/>
        <w:t>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r w:rsidR="009637C0">
        <w:t xml:space="preserve"> </w:t>
      </w:r>
      <w:r w:rsidR="009637C0" w:rsidRPr="009637C0">
        <w:t>The corpus contains 40,711 reference annotations</w:t>
      </w:r>
      <w:r w:rsidR="00CC4DBB">
        <w:t xml:space="preserve">, with </w:t>
      </w:r>
      <w:r w:rsidR="006B74B5">
        <w:t>863</w:t>
      </w:r>
      <w:r w:rsidR="00CC4DBB">
        <w:t xml:space="preserve"> unique Drug/Vaccine terms </w:t>
      </w:r>
      <w:r w:rsidR="009637C0" w:rsidRPr="009637C0">
        <w:t xml:space="preserve">and 13,819 unique </w:t>
      </w:r>
      <w:r w:rsidR="009637C0">
        <w:t>AE/</w:t>
      </w:r>
      <w:r w:rsidR="009637C0" w:rsidRPr="009637C0">
        <w:t xml:space="preserve">symptom </w:t>
      </w:r>
      <w:r w:rsidR="009637C0">
        <w:t>terms</w:t>
      </w:r>
      <w:r w:rsidR="009637C0" w:rsidRPr="009637C0">
        <w:t xml:space="preserve"> under exact string matching.</w:t>
      </w:r>
    </w:p>
    <w:p w14:paraId="262F5E7C" w14:textId="77777777" w:rsidR="0010317B" w:rsidRPr="00C31354" w:rsidRDefault="0010317B" w:rsidP="009C1AEA"/>
    <w:p w14:paraId="02487100" w14:textId="77777777" w:rsidR="00182ADC" w:rsidRPr="00182ADC" w:rsidRDefault="00182ADC" w:rsidP="00182ADC">
      <w:pPr>
        <w:pStyle w:val="Heading2"/>
      </w:pPr>
      <w:r w:rsidRPr="00182ADC">
        <w:t>2.2 Human Annotation Protocol</w:t>
      </w:r>
    </w:p>
    <w:p w14:paraId="3023B816" w14:textId="77777777"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6559E87A" w14:textId="77777777"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453881E9" w14:textId="77777777"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w:t>
      </w:r>
      <w:r w:rsidRPr="00736E23">
        <w:lastRenderedPageBreak/>
        <w:t xml:space="preserve">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23DCAF92" w14:textId="77777777" w:rsidR="00415620" w:rsidRDefault="00415620" w:rsidP="00415620"/>
    <w:p w14:paraId="64484B67" w14:textId="77777777"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4481A6AE" w14:textId="77777777" w:rsidR="00182ADC" w:rsidRPr="005064A1" w:rsidRDefault="00F81AD3" w:rsidP="00DD7F1F">
      <w:pPr>
        <w:spacing w:line="240" w:lineRule="auto"/>
        <w:rPr>
          <w:sz w:val="20"/>
          <w:szCs w:val="20"/>
        </w:rPr>
      </w:pPr>
      <w:r w:rsidRPr="005064A1">
        <w:rPr>
          <w:b/>
          <w:bCs/>
          <w:sz w:val="20"/>
          <w:szCs w:val="20"/>
        </w:rPr>
        <w:t>Figure 1. In-house annotation platform and workflow.</w:t>
      </w:r>
      <w:r w:rsidR="0009328A">
        <w:rPr>
          <w:sz w:val="20"/>
          <w:szCs w:val="20"/>
        </w:rPr>
        <w:t xml:space="preserve"> </w:t>
      </w:r>
      <w:r w:rsidRPr="005064A1">
        <w:rPr>
          <w:sz w:val="20"/>
          <w:szCs w:val="20"/>
        </w:rPr>
        <w:t>(</w:t>
      </w:r>
      <w:r w:rsidR="00380B65" w:rsidRPr="005064A1">
        <w:rPr>
          <w:sz w:val="20"/>
          <w:szCs w:val="20"/>
        </w:rPr>
        <w:t>a</w:t>
      </w:r>
      <w:r w:rsidRPr="005064A1">
        <w:rPr>
          <w:sz w:val="20"/>
          <w:szCs w:val="20"/>
        </w:rPr>
        <w:t>) Annotation workflow illustrating guideline-driven labeling and version-controlled updates for reproducibility.</w:t>
      </w:r>
      <w:r w:rsidR="00380B65" w:rsidRPr="005064A1">
        <w:rPr>
          <w:sz w:val="20"/>
          <w:szCs w:val="20"/>
        </w:rPr>
        <w:t xml:space="preserve"> (b) Annotation interface for span labeling using predefined clinical entity types. </w:t>
      </w:r>
      <w:r w:rsidRPr="005064A1">
        <w:rPr>
          <w:sz w:val="20"/>
          <w:szCs w:val="20"/>
        </w:rPr>
        <w:t>(c) Adjudication and quality control process for resolving ambiguous cases and refining annotation consistency.</w:t>
      </w:r>
    </w:p>
    <w:p w14:paraId="3CE42925" w14:textId="77777777" w:rsidR="00F81AD3" w:rsidRPr="00182ADC" w:rsidRDefault="00F81AD3" w:rsidP="00182ADC"/>
    <w:p w14:paraId="180B324E" w14:textId="77777777" w:rsidR="00182ADC" w:rsidRDefault="00182ADC" w:rsidP="00182ADC">
      <w:pPr>
        <w:pStyle w:val="Heading2"/>
      </w:pPr>
      <w:r w:rsidRPr="00182ADC">
        <w:t xml:space="preserve">2.3 </w:t>
      </w:r>
      <w:r w:rsidR="00CE0AC4">
        <w:t xml:space="preserve">Automated </w:t>
      </w:r>
      <w:r w:rsidRPr="00182ADC">
        <w:t>Annotation Approaches</w:t>
      </w:r>
    </w:p>
    <w:p w14:paraId="0095A737" w14:textId="77777777"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083CAA66" w14:textId="77777777" w:rsidR="00182ADC" w:rsidRDefault="00C77958" w:rsidP="00754828">
      <w:r>
        <w:lastRenderedPageBreak/>
        <w:t xml:space="preserve">Second, </w:t>
      </w:r>
      <w:r w:rsidR="00962A8D">
        <w:t>w</w:t>
      </w:r>
      <w:r w:rsidR="00182ADC" w:rsidRPr="00182ADC">
        <w:t xml:space="preserve">e used an instruction-tuned </w:t>
      </w:r>
      <w:r>
        <w:t>LLM</w:t>
      </w:r>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w:t>
      </w:r>
      <w:r w:rsidR="00155B9B">
        <w:t xml:space="preserve">In this study, two LLMs were applied with the same prompts. </w:t>
      </w:r>
      <w:r w:rsidR="00155B9B" w:rsidRPr="002E2FF1">
        <w:rPr>
          <w:lang w:val="it-IT"/>
        </w:rPr>
        <w:t xml:space="preserve">Llama 4 (Llama-4-Maverick-17B-128E-Instruct-FP8, </w:t>
      </w:r>
      <w:r w:rsidR="00155B9B">
        <w:fldChar w:fldCharType="begin"/>
      </w:r>
      <w:r w:rsidR="00155B9B" w:rsidRPr="002E2FF1">
        <w:rPr>
          <w:lang w:val="it-IT"/>
        </w:rPr>
        <w:instrText>HYPERLINK "https://huggingface.co/collections/meta-llama/llama-4" \h</w:instrText>
      </w:r>
      <w:r w:rsidR="00155B9B">
        <w:fldChar w:fldCharType="separate"/>
      </w:r>
      <w:r w:rsidR="00155B9B" w:rsidRPr="002E2FF1">
        <w:rPr>
          <w:rStyle w:val="Hyperlink"/>
          <w:lang w:val="it-IT"/>
        </w:rPr>
        <w:t>https://huggingface.co/collections/meta-llama/llama-4</w:t>
      </w:r>
      <w:r w:rsidR="00155B9B">
        <w:fldChar w:fldCharType="end"/>
      </w:r>
      <w:r w:rsidR="00155B9B" w:rsidRPr="002E2FF1">
        <w:rPr>
          <w:lang w:val="it-IT"/>
        </w:rPr>
        <w:t xml:space="preserve">) and Claude 4.6 Sonnet (via FDA Elsa API). </w:t>
      </w:r>
      <w:r w:rsidR="00182ADC" w:rsidRPr="003E0748">
        <w:t xml:space="preserve">The </w:t>
      </w:r>
      <w:r w:rsidR="00416F6F" w:rsidRPr="003E0748">
        <w:rPr>
          <w:iCs/>
        </w:rPr>
        <w:t>LLM was prompted to</w:t>
      </w:r>
      <w:r w:rsidR="00416F6F" w:rsidRPr="003E0748">
        <w:rPr>
          <w:i/>
        </w:rPr>
        <w:t xml:space="preserve"> </w:t>
      </w:r>
      <w:r w:rsidR="00182ADC" w:rsidRPr="003E0748">
        <w:t>insert tags around identified entities without altering the surrounding text</w:t>
      </w:r>
      <w:r w:rsidR="00CE151E">
        <w:t xml:space="preserve"> (</w:t>
      </w:r>
      <w:r w:rsidR="00CE151E" w:rsidRPr="00CE151E">
        <w:rPr>
          <w:b/>
          <w:bCs/>
        </w:rPr>
        <w:t>Supplementary File 1</w:t>
      </w:r>
      <w:r w:rsidR="00CE151E">
        <w:t>)</w:t>
      </w:r>
      <w:r w:rsidR="00182ADC" w:rsidRPr="003E0748">
        <w:rPr>
          <w:iCs/>
        </w:rPr>
        <w:t>.</w:t>
      </w:r>
      <w:r w:rsidR="00182ADC" w:rsidRPr="003E0748">
        <w:t xml:space="preserve"> After annotation, </w:t>
      </w:r>
      <w:r w:rsidR="00F230EE" w:rsidRPr="003E0748">
        <w:t xml:space="preserve">we </w:t>
      </w:r>
      <w:r w:rsidR="004328F1" w:rsidRPr="003E0748">
        <w:t>compute a character-level mapping between the LLM's tag-stripped output and the original page tex</w:t>
      </w:r>
      <w:r w:rsidR="00B3092F" w:rsidRPr="003E0748">
        <w:t>t</w:t>
      </w:r>
      <w:r w:rsidR="00B3092F" w:rsidRPr="003E0748">
        <w:rPr>
          <w:i/>
        </w:rPr>
        <w:t>,</w:t>
      </w:r>
      <w:r w:rsidR="00182ADC" w:rsidRPr="003E0748">
        <w:t xml:space="preserve"> using the </w:t>
      </w:r>
      <w:r w:rsidR="00182ADC" w:rsidRPr="00182ADC">
        <w:t xml:space="preserve">SequenceMatcher function from the </w:t>
      </w:r>
      <w:r w:rsidR="00182ADC" w:rsidRPr="00182ADC">
        <w:rPr>
          <w:i/>
          <w:iCs/>
        </w:rPr>
        <w:t>difflib</w:t>
      </w:r>
      <w:r w:rsidR="00182ADC" w:rsidRPr="00182ADC">
        <w:t xml:space="preserve"> Python library </w:t>
      </w:r>
      <w:r w:rsidR="00C76D5A">
        <w:t>(</w:t>
      </w:r>
      <w:hyperlink r:id="rId10">
        <w:r w:rsidR="00C76D5A" w:rsidRPr="147CEA42">
          <w:rPr>
            <w:rStyle w:val="Hyperlink"/>
          </w:rPr>
          <w:t>https://docs.python.org/3/library/difflib.html</w:t>
        </w:r>
      </w:hyperlink>
      <w:r w:rsidR="00C76D5A">
        <w:t xml:space="preserve">) </w:t>
      </w:r>
      <w:r w:rsidR="00182ADC">
        <w:t xml:space="preserve">to extract accurate character offsets. </w:t>
      </w:r>
      <w:r w:rsidR="009F03E7">
        <w:t xml:space="preserve"> </w:t>
      </w:r>
      <w:r w:rsidR="1EA1351B">
        <w:t>Besides filtering out unsuccessfully tagged items</w:t>
      </w:r>
      <w:r w:rsidR="00BE6D64">
        <w:t xml:space="preserve"> (</w:t>
      </w:r>
      <w:r w:rsidR="007A153D" w:rsidRPr="007A153D">
        <w:t xml:space="preserve">e.g., mismatched closing tags, unescaped angle brackets, or tags </w:t>
      </w:r>
      <w:r w:rsidR="007A153D">
        <w:t>did not match pre-defined categories</w:t>
      </w:r>
      <w:r w:rsidR="00BE6D64">
        <w:t>)</w:t>
      </w:r>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r w:rsidR="001723F3">
        <w:t xml:space="preserve"> The annotation guidance used in the prompt are provided in </w:t>
      </w:r>
      <w:r w:rsidR="001723F3" w:rsidRPr="001723F3">
        <w:rPr>
          <w:b/>
          <w:bCs/>
        </w:rPr>
        <w:t>Supplementary File 2 and 3</w:t>
      </w:r>
      <w:r w:rsidR="001723F3">
        <w:t>, for FAERS and VAERS dataset, respectively.</w:t>
      </w:r>
    </w:p>
    <w:p w14:paraId="1A61AE20" w14:textId="77777777" w:rsidR="00353FAE" w:rsidRDefault="00353FAE" w:rsidP="00182ADC"/>
    <w:p w14:paraId="3061C0E7" w14:textId="77777777"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1"/>
                    <a:stretch>
                      <a:fillRect/>
                    </a:stretch>
                  </pic:blipFill>
                  <pic:spPr>
                    <a:xfrm>
                      <a:off x="0" y="0"/>
                      <a:ext cx="5943600" cy="2683510"/>
                    </a:xfrm>
                    <a:prstGeom prst="rect">
                      <a:avLst/>
                    </a:prstGeom>
                  </pic:spPr>
                </pic:pic>
              </a:graphicData>
            </a:graphic>
          </wp:inline>
        </w:drawing>
      </w:r>
    </w:p>
    <w:p w14:paraId="313233C0" w14:textId="77777777" w:rsidR="00D1091A" w:rsidRPr="00DD7F1F" w:rsidRDefault="00D1091A" w:rsidP="00DD7F1F">
      <w:pPr>
        <w:spacing w:line="240" w:lineRule="auto"/>
        <w:rPr>
          <w:sz w:val="20"/>
          <w:szCs w:val="20"/>
        </w:rPr>
      </w:pPr>
      <w:r w:rsidRPr="00DD7F1F">
        <w:rPr>
          <w:b/>
          <w:bCs/>
          <w:sz w:val="20"/>
          <w:szCs w:val="20"/>
        </w:rPr>
        <w:t>Figure 2.</w:t>
      </w:r>
      <w:r w:rsidRPr="00DD7F1F">
        <w:rPr>
          <w:sz w:val="20"/>
          <w:szCs w:val="20"/>
        </w:rPr>
        <w:t xml:space="preserve"> Overview of the In-Text XML Tagging Annotation Framework (P2_TAG). The raw clinical narrative is processed using an instruction-tuned prompt with in-text XML tags (e.g., &lt;DRUG&gt;, &lt;AE&gt;, &lt;DX&gt;). Strict boundary alignment is verified against the original narrative text via character offset matching to ensure zero loss or corruption of narrative context.</w:t>
      </w:r>
    </w:p>
    <w:p w14:paraId="6DF81611" w14:textId="77777777" w:rsidR="00353FAE" w:rsidRDefault="00353FAE" w:rsidP="00182ADC"/>
    <w:p w14:paraId="61736D0B" w14:textId="77777777" w:rsidR="000A022B" w:rsidRDefault="009102DE" w:rsidP="00182ADC">
      <w:r>
        <w:lastRenderedPageBreak/>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242B1F95" w14:textId="77777777" w:rsidR="00182ADC" w:rsidRPr="00182ADC" w:rsidRDefault="000A022B" w:rsidP="00182ADC">
      <w:r w:rsidRPr="000A022B">
        <w:t>To address variability associated with neural-network initialization, all BERT evaluations were repeated using five independent random seeds (42, 123, 456, 789, and 1011).</w:t>
      </w:r>
      <w:r w:rsidR="00171BE6">
        <w:t xml:space="preserve"> </w:t>
      </w:r>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r w:rsidRPr="000A022B">
        <w:t xml:space="preserve"> </w:t>
      </w:r>
      <w:r w:rsidR="00182ADC" w:rsidRPr="00182ADC">
        <w:t xml:space="preserve">Hyperparameters included a learning rate of 0.0001, batch size of 32, and up to 20,000 training steps. Sentences exceeding the 512-token limit were segmented </w:t>
      </w:r>
      <w:r w:rsidR="0073635B">
        <w:t>before transformer processing</w:t>
      </w:r>
      <w:r w:rsidR="00182ADC" w:rsidRPr="00182ADC">
        <w:t>.</w:t>
      </w:r>
    </w:p>
    <w:p w14:paraId="25674FC7" w14:textId="77777777"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076C4510" w14:textId="77777777" w:rsidR="00514D02" w:rsidRDefault="00514D02" w:rsidP="00514D02"/>
    <w:p w14:paraId="5FA21A07" w14:textId="77777777" w:rsidR="00182ADC" w:rsidRPr="00182ADC" w:rsidRDefault="00182ADC" w:rsidP="00182ADC">
      <w:pPr>
        <w:pStyle w:val="Heading2"/>
      </w:pPr>
      <w:r w:rsidRPr="00182ADC">
        <w:t>2.</w:t>
      </w:r>
      <w:r w:rsidR="00B112F7">
        <w:t>4</w:t>
      </w:r>
      <w:r w:rsidRPr="00182ADC">
        <w:t xml:space="preserve"> Evaluation Metrics</w:t>
      </w:r>
    </w:p>
    <w:p w14:paraId="68CD669E" w14:textId="77777777" w:rsidR="0044556F" w:rsidRDefault="00182ADC" w:rsidP="00595C3A">
      <w:r w:rsidRPr="00182ADC">
        <w:t xml:space="preserve">Model performance was evaluated using </w:t>
      </w:r>
      <w:r w:rsidR="00C07753">
        <w:t xml:space="preserve">mention-level matching </w:t>
      </w:r>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ZWNvcmQ+PC9DaXRlPjwvRW5kTm90ZT4AZD==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r w:rsidR="009051E5">
        <w:t>S</w:t>
      </w:r>
      <w:r w:rsidR="0044556F" w:rsidRPr="0044556F">
        <w:t xml:space="preserve">ystem predictions </w:t>
      </w:r>
      <w:r w:rsidR="009051E5">
        <w:t xml:space="preserve">were categorized </w:t>
      </w:r>
      <w:r w:rsidR="007E7C8D">
        <w:t>as Match (M), Conflation (C), Spurious (S)</w:t>
      </w:r>
      <w:r w:rsidR="00E70484">
        <w:t>,</w:t>
      </w:r>
      <w:r w:rsidR="007E7C8D">
        <w:t xml:space="preserve"> and Null (N).</w:t>
      </w:r>
      <w:r w:rsidR="00A2349B">
        <w:t xml:space="preserve"> </w:t>
      </w:r>
      <w:r w:rsidR="00A2349B" w:rsidRPr="00A2349B">
        <w:t>Match denotes an exact span and label match; Conflation denotes an overlapping span with inexact boundaries under the same label</w:t>
      </w:r>
      <w:r w:rsidR="00A2349B">
        <w:t>, or a mis-label annotation</w:t>
      </w:r>
      <w:r w:rsidR="00A2349B" w:rsidRPr="00A2349B">
        <w:t>; Spurious denotes a predicted entity without a corresponding reference match; and Null denotes a reference entity that was not identified.</w:t>
      </w:r>
    </w:p>
    <w:p w14:paraId="2AE6A0B4" w14:textId="77777777" w:rsidR="00D87E23" w:rsidRPr="005064A1" w:rsidRDefault="00D87E23" w:rsidP="00D87E23">
      <w:pPr>
        <w:rPr>
          <w:iCs/>
        </w:rPr>
      </w:pPr>
      <w:r w:rsidRPr="005064A1">
        <w:rPr>
          <w:iCs/>
        </w:rPr>
        <w:t xml:space="preserve">For example, an automated prediction of </w:t>
      </w:r>
      <w:r w:rsidRPr="005064A1">
        <w:rPr>
          <w:i/>
          <w:iCs/>
        </w:rPr>
        <w:t>“hypoglycemia”</w:t>
      </w:r>
      <w:r w:rsidRPr="005064A1">
        <w:rPr>
          <w:iCs/>
        </w:rPr>
        <w:t xml:space="preserve"> as AE that exactly matches the reference span and label is classified as a Match (M). A prediction is classified as Conflation (C) when it identifies the same underlying text region but does not exactly reproduce the reference annotation. Conflation includes both boundary inexactness, for example predicting </w:t>
      </w:r>
      <w:r w:rsidRPr="005064A1">
        <w:rPr>
          <w:i/>
          <w:iCs/>
        </w:rPr>
        <w:t>“severe hypoglycemia”</w:t>
      </w:r>
      <w:r w:rsidRPr="005064A1">
        <w:rPr>
          <w:iCs/>
        </w:rPr>
        <w:t xml:space="preserve"> when the reference span is </w:t>
      </w:r>
      <w:r w:rsidRPr="005064A1">
        <w:rPr>
          <w:i/>
          <w:iCs/>
        </w:rPr>
        <w:t>“hypoglycemia”</w:t>
      </w:r>
      <w:r w:rsidRPr="005064A1">
        <w:rPr>
          <w:iCs/>
        </w:rPr>
        <w:t xml:space="preserve">, and category misclassification, for example identifying </w:t>
      </w:r>
      <w:r w:rsidRPr="005064A1">
        <w:rPr>
          <w:i/>
          <w:iCs/>
        </w:rPr>
        <w:t>“hypoglycemia”</w:t>
      </w:r>
      <w:r w:rsidRPr="005064A1">
        <w:rPr>
          <w:iCs/>
        </w:rPr>
        <w:t xml:space="preserve"> but labeling it as DX rather than AE. A Spurious (S) prediction is a predicted entity with no character overlap </w:t>
      </w:r>
      <w:r w:rsidRPr="005064A1">
        <w:rPr>
          <w:iCs/>
        </w:rPr>
        <w:lastRenderedPageBreak/>
        <w:t xml:space="preserve">with any reference entity, whereas Null (N) represents a reference entity for which no overlapping prediction is produced, such as failing to identify </w:t>
      </w:r>
      <w:r w:rsidRPr="005064A1">
        <w:rPr>
          <w:i/>
          <w:iCs/>
        </w:rPr>
        <w:t>“somnolence”</w:t>
      </w:r>
      <w:r w:rsidRPr="005064A1">
        <w:rPr>
          <w:iCs/>
        </w:rPr>
        <w:t>.</w:t>
      </w:r>
    </w:p>
    <w:p w14:paraId="6CAFE30B" w14:textId="77777777" w:rsidR="00D87E23" w:rsidRPr="005064A1" w:rsidRDefault="00D87E23" w:rsidP="00D87E23">
      <w:pPr>
        <w:rPr>
          <w:iCs/>
        </w:rPr>
      </w:pPr>
      <w:r w:rsidRPr="005064A1">
        <w:rPr>
          <w:iCs/>
        </w:rPr>
        <w:t>We evaluated model performance using two complementary evaluation schemes. The primary scheme was a strict exact-match NER evaluation, in which a prediction was counted as correct only when both its span boundaries and entity label exactly matched the reference annotation. Under this scheme, precision and recall were calculated as below:</w:t>
      </w:r>
    </w:p>
    <w:p w14:paraId="32A60C0A" w14:textId="77777777" w:rsidR="00FC0890" w:rsidRPr="005064A1" w:rsidRDefault="00000000" w:rsidP="00D87E23">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1</m:t>
              </m:r>
            </m:sub>
          </m:sSub>
          <m:r>
            <w:rPr>
              <w:rFonts w:ascii="Cambria Math" w:hAnsi="Cambria Math"/>
            </w:rPr>
            <m:t xml:space="preserve">=M/(M+C+S) </m:t>
          </m:r>
        </m:oMath>
      </m:oMathPara>
    </w:p>
    <w:p w14:paraId="2728BCF7" w14:textId="77777777" w:rsidR="00FC0890" w:rsidRPr="005064A1" w:rsidRDefault="00000000" w:rsidP="00FC0890">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1</m:t>
              </m:r>
            </m:sub>
          </m:sSub>
          <m:r>
            <w:rPr>
              <w:rFonts w:ascii="Cambria Math" w:hAnsi="Cambria Math"/>
            </w:rPr>
            <m:t>=M/(M+C+N)</m:t>
          </m:r>
        </m:oMath>
      </m:oMathPara>
    </w:p>
    <w:p w14:paraId="60E627B2" w14:textId="77777777" w:rsidR="00FC0890" w:rsidRPr="005064A1" w:rsidRDefault="00FC0890" w:rsidP="00D87E23">
      <w:pPr>
        <w:rPr>
          <w:iCs/>
        </w:rPr>
      </w:pPr>
    </w:p>
    <w:p w14:paraId="788DBAF1" w14:textId="77777777" w:rsidR="004B03A5" w:rsidRPr="005064A1" w:rsidRDefault="00D87E23" w:rsidP="00595C3A">
      <w:pPr>
        <w:rPr>
          <w:iCs/>
        </w:rPr>
      </w:pPr>
      <w:r w:rsidRPr="005064A1">
        <w:rPr>
          <w:iCs/>
        </w:rPr>
        <w:t xml:space="preserve">The secondary scheme was an adapted ADE-Eval weighted evaluation. In this scheme, an exact Match receives full credit, while a Conflation receives 0.5 partial credit. Spurious predictions are assigned a 0.25 penalty weight, whereas completely missed reference entities (N) retain their full penalty. Weighted precision and recall were therefore calculated as </w:t>
      </w:r>
      <w:r w:rsidR="004B03A5" w:rsidRPr="005064A1">
        <w:rPr>
          <w:iCs/>
        </w:rPr>
        <w:t>below:</w:t>
      </w:r>
    </w:p>
    <w:p w14:paraId="7049A33D"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2</m:t>
              </m:r>
            </m:sub>
          </m:sSub>
          <m:r>
            <w:rPr>
              <w:rFonts w:ascii="Cambria Math" w:hAnsi="Cambria Math"/>
            </w:rPr>
            <m:t xml:space="preserve">=(M+0.5C)/(M+C+0.25S) </m:t>
          </m:r>
        </m:oMath>
      </m:oMathPara>
    </w:p>
    <w:p w14:paraId="54084662" w14:textId="77777777" w:rsidR="004B03A5" w:rsidRPr="005064A1" w:rsidRDefault="00000000" w:rsidP="004B03A5">
      <w:pPr>
        <w:rPr>
          <w:iCs/>
        </w:rPr>
      </w:pPr>
      <m:oMathPara>
        <m:oMath>
          <m:sSub>
            <m:sSubPr>
              <m:ctrlPr>
                <w:rPr>
                  <w:rFonts w:ascii="Cambria Math" w:hAnsi="Cambria Math"/>
                  <w:i/>
                  <w:iCs/>
                </w:rPr>
              </m:ctrlPr>
            </m:sSubPr>
            <m:e>
              <m:r>
                <w:rPr>
                  <w:rFonts w:ascii="Cambria Math" w:hAnsi="Cambria Math"/>
                </w:rPr>
                <m:t>R</m:t>
              </m:r>
            </m:e>
            <m:sub>
              <m:r>
                <w:rPr>
                  <w:rFonts w:ascii="Cambria Math" w:hAnsi="Cambria Math"/>
                </w:rPr>
                <m:t>2</m:t>
              </m:r>
            </m:sub>
          </m:sSub>
          <m:r>
            <w:rPr>
              <w:rFonts w:ascii="Cambria Math" w:hAnsi="Cambria Math"/>
            </w:rPr>
            <m:t>=(M+0.5C)/(M+C+N)</m:t>
          </m:r>
        </m:oMath>
      </m:oMathPara>
    </w:p>
    <w:p w14:paraId="5C80F4BE" w14:textId="77777777" w:rsidR="004B03A5" w:rsidRPr="005064A1" w:rsidRDefault="004B03A5" w:rsidP="00595C3A">
      <w:pPr>
        <w:rPr>
          <w:iCs/>
        </w:rPr>
      </w:pPr>
    </w:p>
    <w:p w14:paraId="5A3A0061" w14:textId="77777777" w:rsidR="00600CBF" w:rsidRDefault="00D87E23" w:rsidP="00600CBF">
      <w:r w:rsidRPr="005064A1">
        <w:rPr>
          <w:iCs/>
        </w:rPr>
        <w:t xml:space="preserve">F1 was calculated as the harmonic </w:t>
      </w:r>
      <w:r w:rsidR="00191C4E" w:rsidRPr="005064A1">
        <w:rPr>
          <w:iCs/>
        </w:rPr>
        <w:t>means</w:t>
      </w:r>
      <w:r w:rsidRPr="005064A1">
        <w:rPr>
          <w:iCs/>
        </w:rPr>
        <w:t xml:space="preserve"> of precision and recall under each scheme</w:t>
      </w:r>
      <w:r w:rsidR="00783817" w:rsidRPr="005064A1">
        <w:rPr>
          <w:iCs/>
        </w:rPr>
        <w:t>,</w:t>
      </w:r>
      <w:r w:rsidRPr="005064A1">
        <w:rPr>
          <w:iCs/>
        </w:rPr>
        <w:t xml:space="preserve"> </w:t>
      </w:r>
      <w:r w:rsidR="00783817" w:rsidRPr="005064A1">
        <w:rPr>
          <w:iCs/>
        </w:rPr>
        <w:t xml:space="preserve">all P/R/F1 were measured in Micro-Level; </w:t>
      </w:r>
      <w:r w:rsidRPr="005064A1">
        <w:rPr>
          <w:iCs/>
        </w:rPr>
        <w:t>per-category metrics were reported separately.</w:t>
      </w:r>
      <w:r w:rsidR="00783817" w:rsidRPr="005064A1">
        <w:rPr>
          <w:iCs/>
        </w:rPr>
        <w:t xml:space="preserve"> </w:t>
      </w:r>
    </w:p>
    <w:p w14:paraId="7E2D5D87" w14:textId="77777777" w:rsidR="002F7410" w:rsidRDefault="002F7410" w:rsidP="00600CBF"/>
    <w:p w14:paraId="2D6A1182" w14:textId="77777777" w:rsidR="00446306" w:rsidRPr="00446306" w:rsidRDefault="00446306" w:rsidP="007C18AB">
      <w:pPr>
        <w:pStyle w:val="Heading1"/>
      </w:pPr>
      <w:r w:rsidRPr="00446306">
        <w:t>3. Results</w:t>
      </w:r>
    </w:p>
    <w:p w14:paraId="592E7FAB" w14:textId="77777777" w:rsidR="00AA53A2" w:rsidRPr="00AA53A2" w:rsidRDefault="00AA53A2" w:rsidP="00AA53A2">
      <w:pPr>
        <w:pStyle w:val="Heading2"/>
      </w:pPr>
      <w:r w:rsidRPr="00AA53A2">
        <w:t>3.1 Annotation Statistics</w:t>
      </w:r>
    </w:p>
    <w:p w14:paraId="67E49BFC" w14:textId="77777777"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r w:rsidR="00CF0DF1">
        <w:t xml:space="preserve">, as summarized in </w:t>
      </w:r>
      <w:r w:rsidR="00CF0DF1" w:rsidRPr="00CF0DF1">
        <w:rPr>
          <w:b/>
          <w:bCs/>
        </w:rPr>
        <w:t xml:space="preserve">Table </w:t>
      </w:r>
      <w:r w:rsidR="001471C0">
        <w:rPr>
          <w:b/>
          <w:bCs/>
        </w:rPr>
        <w:t>2</w:t>
      </w:r>
      <w:r w:rsidR="001471C0" w:rsidRPr="00571579">
        <w:t xml:space="preserve">. </w:t>
      </w:r>
      <w:r w:rsidR="001471C0">
        <w:t xml:space="preserve">The </w:t>
      </w:r>
      <w:r w:rsidR="00FB509E">
        <w:t xml:space="preserve">annotations from ETHER and LLM approaches </w:t>
      </w:r>
      <w:r w:rsidR="00807104">
        <w:t xml:space="preserve">were also </w:t>
      </w:r>
      <w:r w:rsidR="00342097">
        <w:t>included.</w:t>
      </w:r>
      <w:r w:rsidR="00BB791D">
        <w:rPr>
          <w:b/>
          <w:bCs/>
        </w:rPr>
        <w:br w:type="page"/>
      </w:r>
    </w:p>
    <w:p w14:paraId="4840FCB8" w14:textId="77777777" w:rsidR="00F70846" w:rsidRDefault="00F70846" w:rsidP="00853583">
      <w:r w:rsidRPr="00853583">
        <w:rPr>
          <w:b/>
          <w:bCs/>
        </w:rPr>
        <w:lastRenderedPageBreak/>
        <w:t xml:space="preserve">Table </w:t>
      </w:r>
      <w:r w:rsidR="000A1F01">
        <w:rPr>
          <w:b/>
          <w:bCs/>
        </w:rPr>
        <w:t>2</w:t>
      </w:r>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PlainTable2"/>
        <w:tblW w:w="0" w:type="auto"/>
        <w:tblLook w:val="04A0" w:firstRow="1" w:lastRow="0" w:firstColumn="1" w:lastColumn="0" w:noHBand="0" w:noVBand="1"/>
      </w:tblPr>
      <w:tblGrid>
        <w:gridCol w:w="1440"/>
        <w:gridCol w:w="1440"/>
        <w:gridCol w:w="1440"/>
        <w:gridCol w:w="1440"/>
      </w:tblGrid>
      <w:tr w:rsidR="001A1E2A" w:rsidRPr="001A1E2A" w14:paraId="6696616E" w14:textId="77777777" w:rsidTr="00DC7883">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02C0773" w14:textId="77777777" w:rsidR="001A1E2A" w:rsidRPr="001A1E2A" w:rsidRDefault="001A1E2A" w:rsidP="00DC7883">
            <w:pPr>
              <w:contextualSpacing/>
              <w:jc w:val="center"/>
              <w:rPr>
                <w:b w:val="0"/>
                <w:bCs w:val="0"/>
              </w:rPr>
            </w:pPr>
            <w:r w:rsidRPr="001A1E2A">
              <w:t>Category</w:t>
            </w:r>
          </w:p>
        </w:tc>
        <w:tc>
          <w:tcPr>
            <w:tcW w:w="1440" w:type="dxa"/>
            <w:vAlign w:val="center"/>
            <w:hideMark/>
          </w:tcPr>
          <w:p w14:paraId="342669C5"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Human</w:t>
            </w:r>
          </w:p>
        </w:tc>
        <w:tc>
          <w:tcPr>
            <w:tcW w:w="1440" w:type="dxa"/>
            <w:vAlign w:val="center"/>
            <w:hideMark/>
          </w:tcPr>
          <w:p w14:paraId="40B47DBD"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ETHER</w:t>
            </w:r>
          </w:p>
        </w:tc>
        <w:tc>
          <w:tcPr>
            <w:tcW w:w="1440" w:type="dxa"/>
            <w:vAlign w:val="center"/>
            <w:hideMark/>
          </w:tcPr>
          <w:p w14:paraId="67489559" w14:textId="77777777" w:rsidR="001A1E2A" w:rsidRPr="001A1E2A" w:rsidRDefault="001A1E2A" w:rsidP="00DC7883">
            <w:pPr>
              <w:contextualSpacing/>
              <w:jc w:val="center"/>
              <w:cnfStyle w:val="100000000000" w:firstRow="1" w:lastRow="0" w:firstColumn="0" w:lastColumn="0" w:oddVBand="0" w:evenVBand="0" w:oddHBand="0" w:evenHBand="0" w:firstRowFirstColumn="0" w:firstRowLastColumn="0" w:lastRowFirstColumn="0" w:lastRowLastColumn="0"/>
              <w:rPr>
                <w:b w:val="0"/>
                <w:bCs w:val="0"/>
              </w:rPr>
            </w:pPr>
            <w:r w:rsidRPr="001A1E2A">
              <w:t>LLM</w:t>
            </w:r>
          </w:p>
        </w:tc>
      </w:tr>
      <w:tr w:rsidR="008011B4" w:rsidRPr="001A1E2A" w14:paraId="70B8216F"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2249A98" w14:textId="77777777" w:rsidR="008011B4" w:rsidRPr="001A1E2A" w:rsidRDefault="008011B4" w:rsidP="00DC7883">
            <w:pPr>
              <w:contextualSpacing/>
              <w:jc w:val="center"/>
            </w:pPr>
            <w:proofErr w:type="spellStart"/>
            <w:r w:rsidRPr="001A1E2A">
              <w:t>SDrug</w:t>
            </w:r>
            <w:proofErr w:type="spellEnd"/>
          </w:p>
        </w:tc>
        <w:tc>
          <w:tcPr>
            <w:tcW w:w="1440" w:type="dxa"/>
            <w:vAlign w:val="center"/>
            <w:hideMark/>
          </w:tcPr>
          <w:p w14:paraId="414B86B2"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3,501</w:t>
            </w:r>
          </w:p>
        </w:tc>
        <w:tc>
          <w:tcPr>
            <w:tcW w:w="1440" w:type="dxa"/>
            <w:vMerge w:val="restart"/>
            <w:vAlign w:val="center"/>
            <w:hideMark/>
          </w:tcPr>
          <w:p w14:paraId="097B2D77"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t>17164</w:t>
            </w:r>
            <w:r w:rsidRPr="001A1E2A">
              <w:t>†</w:t>
            </w:r>
          </w:p>
        </w:tc>
        <w:tc>
          <w:tcPr>
            <w:tcW w:w="1440" w:type="dxa"/>
            <w:vAlign w:val="center"/>
            <w:hideMark/>
          </w:tcPr>
          <w:p w14:paraId="558BD6B1"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2,181</w:t>
            </w:r>
          </w:p>
        </w:tc>
      </w:tr>
      <w:tr w:rsidR="008011B4" w:rsidRPr="001A1E2A" w14:paraId="06966CB3"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2E7970F" w14:textId="77777777" w:rsidR="008011B4" w:rsidRPr="001A1E2A" w:rsidRDefault="008011B4" w:rsidP="00DC7883">
            <w:pPr>
              <w:contextualSpacing/>
              <w:jc w:val="center"/>
            </w:pPr>
            <w:proofErr w:type="spellStart"/>
            <w:r w:rsidRPr="001A1E2A">
              <w:t>CDrug</w:t>
            </w:r>
            <w:proofErr w:type="spellEnd"/>
          </w:p>
        </w:tc>
        <w:tc>
          <w:tcPr>
            <w:tcW w:w="1440" w:type="dxa"/>
            <w:vAlign w:val="center"/>
            <w:hideMark/>
          </w:tcPr>
          <w:p w14:paraId="699AFE7A"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2,928</w:t>
            </w:r>
          </w:p>
        </w:tc>
        <w:tc>
          <w:tcPr>
            <w:tcW w:w="1440" w:type="dxa"/>
            <w:vMerge/>
            <w:vAlign w:val="center"/>
            <w:hideMark/>
          </w:tcPr>
          <w:p w14:paraId="7A217AF7"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71773E1A" w14:textId="77777777" w:rsidR="008011B4" w:rsidRPr="001A1E2A" w:rsidRDefault="008011B4"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2,491</w:t>
            </w:r>
          </w:p>
        </w:tc>
      </w:tr>
      <w:tr w:rsidR="008011B4" w:rsidRPr="001A1E2A" w14:paraId="3AB805BE"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3D4CF3D" w14:textId="77777777" w:rsidR="008011B4" w:rsidRPr="001A1E2A" w:rsidRDefault="008011B4" w:rsidP="00DC7883">
            <w:pPr>
              <w:contextualSpacing/>
              <w:jc w:val="center"/>
            </w:pPr>
            <w:proofErr w:type="spellStart"/>
            <w:r>
              <w:t>Odrug</w:t>
            </w:r>
            <w:proofErr w:type="spellEnd"/>
          </w:p>
        </w:tc>
        <w:tc>
          <w:tcPr>
            <w:tcW w:w="1440" w:type="dxa"/>
            <w:vAlign w:val="center"/>
            <w:hideMark/>
          </w:tcPr>
          <w:p w14:paraId="261F4A8D"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245</w:t>
            </w:r>
          </w:p>
        </w:tc>
        <w:tc>
          <w:tcPr>
            <w:tcW w:w="1440" w:type="dxa"/>
            <w:vMerge/>
            <w:vAlign w:val="center"/>
            <w:hideMark/>
          </w:tcPr>
          <w:p w14:paraId="197BD293"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p>
        </w:tc>
        <w:tc>
          <w:tcPr>
            <w:tcW w:w="1440" w:type="dxa"/>
            <w:vAlign w:val="center"/>
            <w:hideMark/>
          </w:tcPr>
          <w:p w14:paraId="3E4A1297" w14:textId="77777777" w:rsidR="008011B4" w:rsidRPr="001A1E2A" w:rsidRDefault="008011B4"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1,310</w:t>
            </w:r>
          </w:p>
        </w:tc>
      </w:tr>
      <w:tr w:rsidR="001A1E2A" w:rsidRPr="001A1E2A" w14:paraId="35BEAE7C"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40C13087" w14:textId="77777777" w:rsidR="001A1E2A" w:rsidRPr="001A1E2A" w:rsidRDefault="001A1E2A" w:rsidP="00DC7883">
            <w:pPr>
              <w:contextualSpacing/>
              <w:jc w:val="center"/>
            </w:pPr>
            <w:r w:rsidRPr="001A1E2A">
              <w:t>Dose</w:t>
            </w:r>
          </w:p>
        </w:tc>
        <w:tc>
          <w:tcPr>
            <w:tcW w:w="1440" w:type="dxa"/>
            <w:vAlign w:val="center"/>
            <w:hideMark/>
          </w:tcPr>
          <w:p w14:paraId="4E6F711A"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1,621</w:t>
            </w:r>
          </w:p>
        </w:tc>
        <w:tc>
          <w:tcPr>
            <w:tcW w:w="1440" w:type="dxa"/>
            <w:vAlign w:val="center"/>
            <w:hideMark/>
          </w:tcPr>
          <w:p w14:paraId="2452C5EB"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167F893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2,057</w:t>
            </w:r>
          </w:p>
        </w:tc>
      </w:tr>
      <w:tr w:rsidR="00BF4671" w:rsidRPr="001A1E2A" w14:paraId="279DDFB7"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F389FCA" w14:textId="77777777" w:rsidR="001A1E2A" w:rsidRPr="001A1E2A" w:rsidRDefault="001A1E2A" w:rsidP="00DC7883">
            <w:pPr>
              <w:contextualSpacing/>
              <w:jc w:val="center"/>
            </w:pPr>
            <w:r w:rsidRPr="001A1E2A">
              <w:t>Indication</w:t>
            </w:r>
          </w:p>
        </w:tc>
        <w:tc>
          <w:tcPr>
            <w:tcW w:w="1440" w:type="dxa"/>
            <w:vAlign w:val="center"/>
            <w:hideMark/>
          </w:tcPr>
          <w:p w14:paraId="6A56F2EE"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162</w:t>
            </w:r>
          </w:p>
        </w:tc>
        <w:tc>
          <w:tcPr>
            <w:tcW w:w="1440" w:type="dxa"/>
            <w:vAlign w:val="center"/>
            <w:hideMark/>
          </w:tcPr>
          <w:p w14:paraId="24B279B1"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6DF33DFC"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1,368</w:t>
            </w:r>
          </w:p>
        </w:tc>
      </w:tr>
      <w:tr w:rsidR="001A1E2A" w:rsidRPr="001A1E2A" w14:paraId="000F6047"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E9C29FF" w14:textId="77777777" w:rsidR="001A1E2A" w:rsidRPr="001A1E2A" w:rsidRDefault="001A1E2A" w:rsidP="00DC7883">
            <w:pPr>
              <w:contextualSpacing/>
              <w:jc w:val="center"/>
            </w:pPr>
            <w:r w:rsidRPr="001A1E2A">
              <w:t>Treatment</w:t>
            </w:r>
          </w:p>
        </w:tc>
        <w:tc>
          <w:tcPr>
            <w:tcW w:w="1440" w:type="dxa"/>
            <w:vAlign w:val="center"/>
            <w:hideMark/>
          </w:tcPr>
          <w:p w14:paraId="78041684"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1,479</w:t>
            </w:r>
          </w:p>
        </w:tc>
        <w:tc>
          <w:tcPr>
            <w:tcW w:w="1440" w:type="dxa"/>
            <w:vAlign w:val="center"/>
            <w:hideMark/>
          </w:tcPr>
          <w:p w14:paraId="4FE0C1F5"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7C7DC584"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1,472</w:t>
            </w:r>
          </w:p>
        </w:tc>
      </w:tr>
      <w:tr w:rsidR="006839FB" w:rsidRPr="001A1E2A" w14:paraId="438189DB"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8ED3911" w14:textId="77777777" w:rsidR="006839FB" w:rsidRPr="001A1E2A" w:rsidRDefault="006839FB" w:rsidP="00DC7883">
            <w:pPr>
              <w:contextualSpacing/>
              <w:jc w:val="center"/>
            </w:pPr>
            <w:r w:rsidRPr="001A1E2A">
              <w:t>AE</w:t>
            </w:r>
          </w:p>
        </w:tc>
        <w:tc>
          <w:tcPr>
            <w:tcW w:w="1440" w:type="dxa"/>
            <w:vAlign w:val="center"/>
            <w:hideMark/>
          </w:tcPr>
          <w:p w14:paraId="6FB320A2"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9,080</w:t>
            </w:r>
          </w:p>
        </w:tc>
        <w:tc>
          <w:tcPr>
            <w:tcW w:w="1440" w:type="dxa"/>
            <w:vMerge w:val="restart"/>
            <w:vAlign w:val="center"/>
            <w:hideMark/>
          </w:tcPr>
          <w:p w14:paraId="45F7DE10"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25,031†</w:t>
            </w:r>
          </w:p>
        </w:tc>
        <w:tc>
          <w:tcPr>
            <w:tcW w:w="1440" w:type="dxa"/>
            <w:vAlign w:val="center"/>
            <w:hideMark/>
          </w:tcPr>
          <w:p w14:paraId="510EE55A" w14:textId="77777777" w:rsidR="006839FB" w:rsidRPr="001A1E2A" w:rsidRDefault="006839FB"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6,311</w:t>
            </w:r>
          </w:p>
        </w:tc>
      </w:tr>
      <w:tr w:rsidR="006839FB" w:rsidRPr="001A1E2A" w14:paraId="284F24F0"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92806E" w14:textId="77777777" w:rsidR="006839FB" w:rsidRPr="001A1E2A" w:rsidRDefault="006839FB" w:rsidP="00DC7883">
            <w:pPr>
              <w:contextualSpacing/>
              <w:jc w:val="center"/>
            </w:pPr>
            <w:r w:rsidRPr="001A1E2A">
              <w:t>mAE</w:t>
            </w:r>
          </w:p>
        </w:tc>
        <w:tc>
          <w:tcPr>
            <w:tcW w:w="1440" w:type="dxa"/>
            <w:vAlign w:val="center"/>
            <w:hideMark/>
          </w:tcPr>
          <w:p w14:paraId="1E55EF0E"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112</w:t>
            </w:r>
          </w:p>
        </w:tc>
        <w:tc>
          <w:tcPr>
            <w:tcW w:w="1440" w:type="dxa"/>
            <w:vMerge/>
            <w:vAlign w:val="center"/>
            <w:hideMark/>
          </w:tcPr>
          <w:p w14:paraId="61C09F8F"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p>
        </w:tc>
        <w:tc>
          <w:tcPr>
            <w:tcW w:w="1440" w:type="dxa"/>
            <w:vAlign w:val="center"/>
            <w:hideMark/>
          </w:tcPr>
          <w:p w14:paraId="35B628FC" w14:textId="77777777" w:rsidR="006839FB" w:rsidRPr="001A1E2A" w:rsidRDefault="006839FB"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1,015</w:t>
            </w:r>
          </w:p>
        </w:tc>
      </w:tr>
      <w:tr w:rsidR="00BF4671" w:rsidRPr="001A1E2A" w14:paraId="16411E1D"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F48D969" w14:textId="77777777" w:rsidR="001A1E2A" w:rsidRPr="001A1E2A" w:rsidRDefault="001A1E2A" w:rsidP="00DC7883">
            <w:pPr>
              <w:contextualSpacing/>
              <w:jc w:val="center"/>
            </w:pPr>
            <w:r w:rsidRPr="001A1E2A">
              <w:t>Dx</w:t>
            </w:r>
          </w:p>
        </w:tc>
        <w:tc>
          <w:tcPr>
            <w:tcW w:w="1440" w:type="dxa"/>
            <w:vAlign w:val="center"/>
            <w:hideMark/>
          </w:tcPr>
          <w:p w14:paraId="28C98343" w14:textId="77777777" w:rsidR="001A1E2A" w:rsidRPr="001A1E2A" w:rsidRDefault="004448C9" w:rsidP="00DC7883">
            <w:pPr>
              <w:contextualSpacing/>
              <w:jc w:val="center"/>
              <w:cnfStyle w:val="000000100000" w:firstRow="0" w:lastRow="0" w:firstColumn="0" w:lastColumn="0" w:oddVBand="0" w:evenVBand="0" w:oddHBand="1" w:evenHBand="0" w:firstRowFirstColumn="0" w:firstRowLastColumn="0" w:lastRowFirstColumn="0" w:lastRowLastColumn="0"/>
            </w:pPr>
            <w:r>
              <w:t>1783</w:t>
            </w:r>
          </w:p>
        </w:tc>
        <w:tc>
          <w:tcPr>
            <w:tcW w:w="1440" w:type="dxa"/>
            <w:vAlign w:val="center"/>
            <w:hideMark/>
          </w:tcPr>
          <w:p w14:paraId="55BD6D64"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4,344</w:t>
            </w:r>
          </w:p>
        </w:tc>
        <w:tc>
          <w:tcPr>
            <w:tcW w:w="1440" w:type="dxa"/>
            <w:vAlign w:val="center"/>
            <w:hideMark/>
          </w:tcPr>
          <w:p w14:paraId="5F1A7D2D"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9</w:t>
            </w:r>
            <w:r w:rsidR="004448C9">
              <w:t>41</w:t>
            </w:r>
          </w:p>
        </w:tc>
      </w:tr>
      <w:tr w:rsidR="001A1E2A" w:rsidRPr="001A1E2A" w14:paraId="5D3A3054"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5B2CEE30" w14:textId="77777777" w:rsidR="001A1E2A" w:rsidRPr="001A1E2A" w:rsidRDefault="001A1E2A" w:rsidP="00DC7883">
            <w:pPr>
              <w:contextualSpacing/>
              <w:jc w:val="center"/>
            </w:pPr>
            <w:r w:rsidRPr="001A1E2A">
              <w:t>Lab</w:t>
            </w:r>
          </w:p>
        </w:tc>
        <w:tc>
          <w:tcPr>
            <w:tcW w:w="1440" w:type="dxa"/>
            <w:vAlign w:val="center"/>
            <w:hideMark/>
          </w:tcPr>
          <w:p w14:paraId="65BA955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3,480</w:t>
            </w:r>
          </w:p>
        </w:tc>
        <w:tc>
          <w:tcPr>
            <w:tcW w:w="1440" w:type="dxa"/>
            <w:vAlign w:val="center"/>
            <w:hideMark/>
          </w:tcPr>
          <w:p w14:paraId="4200AFCE"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2F655352"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2,362</w:t>
            </w:r>
          </w:p>
        </w:tc>
      </w:tr>
      <w:tr w:rsidR="00BF4671" w:rsidRPr="001A1E2A" w14:paraId="51598BE5"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1C5CE18E" w14:textId="77777777" w:rsidR="001A1E2A" w:rsidRPr="001A1E2A" w:rsidRDefault="001A1E2A" w:rsidP="00DC7883">
            <w:pPr>
              <w:contextualSpacing/>
              <w:jc w:val="center"/>
            </w:pPr>
            <w:r w:rsidRPr="001A1E2A">
              <w:t>Status</w:t>
            </w:r>
          </w:p>
        </w:tc>
        <w:tc>
          <w:tcPr>
            <w:tcW w:w="1440" w:type="dxa"/>
            <w:vAlign w:val="center"/>
            <w:hideMark/>
          </w:tcPr>
          <w:p w14:paraId="3245D2A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1,796</w:t>
            </w:r>
          </w:p>
        </w:tc>
        <w:tc>
          <w:tcPr>
            <w:tcW w:w="1440" w:type="dxa"/>
            <w:vAlign w:val="center"/>
            <w:hideMark/>
          </w:tcPr>
          <w:p w14:paraId="3BAF8193"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570AB89F"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2,275</w:t>
            </w:r>
          </w:p>
        </w:tc>
      </w:tr>
      <w:tr w:rsidR="001A1E2A" w:rsidRPr="001A1E2A" w14:paraId="03DA1A9C"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7358ABC0" w14:textId="77777777" w:rsidR="001A1E2A" w:rsidRPr="001A1E2A" w:rsidRDefault="001A1E2A" w:rsidP="00DC7883">
            <w:pPr>
              <w:contextualSpacing/>
              <w:jc w:val="center"/>
            </w:pPr>
            <w:r w:rsidRPr="001A1E2A">
              <w:t>R/O</w:t>
            </w:r>
          </w:p>
        </w:tc>
        <w:tc>
          <w:tcPr>
            <w:tcW w:w="1440" w:type="dxa"/>
            <w:vAlign w:val="center"/>
            <w:hideMark/>
          </w:tcPr>
          <w:p w14:paraId="2BC1E39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9</w:t>
            </w:r>
          </w:p>
        </w:tc>
        <w:tc>
          <w:tcPr>
            <w:tcW w:w="1440" w:type="dxa"/>
            <w:vAlign w:val="center"/>
            <w:hideMark/>
          </w:tcPr>
          <w:p w14:paraId="484578B7"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33</w:t>
            </w:r>
          </w:p>
        </w:tc>
        <w:tc>
          <w:tcPr>
            <w:tcW w:w="1440" w:type="dxa"/>
            <w:vAlign w:val="center"/>
            <w:hideMark/>
          </w:tcPr>
          <w:p w14:paraId="2C34E24B"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83</w:t>
            </w:r>
          </w:p>
        </w:tc>
      </w:tr>
      <w:tr w:rsidR="00BF4671" w:rsidRPr="001A1E2A" w14:paraId="45852684"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613B9176" w14:textId="77777777" w:rsidR="001A1E2A" w:rsidRPr="001A1E2A" w:rsidRDefault="001A1E2A" w:rsidP="00DC7883">
            <w:pPr>
              <w:contextualSpacing/>
              <w:jc w:val="center"/>
            </w:pPr>
            <w:proofErr w:type="spellStart"/>
            <w:r w:rsidRPr="001A1E2A">
              <w:t>CoD</w:t>
            </w:r>
            <w:proofErr w:type="spellEnd"/>
          </w:p>
        </w:tc>
        <w:tc>
          <w:tcPr>
            <w:tcW w:w="1440" w:type="dxa"/>
            <w:vAlign w:val="center"/>
            <w:hideMark/>
          </w:tcPr>
          <w:p w14:paraId="45483DF3"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3</w:t>
            </w:r>
          </w:p>
        </w:tc>
        <w:tc>
          <w:tcPr>
            <w:tcW w:w="1440" w:type="dxa"/>
            <w:vAlign w:val="center"/>
            <w:hideMark/>
          </w:tcPr>
          <w:p w14:paraId="7F7D6432"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125</w:t>
            </w:r>
          </w:p>
        </w:tc>
        <w:tc>
          <w:tcPr>
            <w:tcW w:w="1440" w:type="dxa"/>
            <w:vAlign w:val="center"/>
            <w:hideMark/>
          </w:tcPr>
          <w:p w14:paraId="0879D8F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220</w:t>
            </w:r>
          </w:p>
        </w:tc>
      </w:tr>
      <w:tr w:rsidR="00BF4671" w:rsidRPr="001A1E2A" w14:paraId="450343ED"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02364EE" w14:textId="77777777" w:rsidR="001A1E2A" w:rsidRPr="001A1E2A" w:rsidRDefault="001A1E2A" w:rsidP="00DC7883">
            <w:pPr>
              <w:contextualSpacing/>
              <w:jc w:val="center"/>
            </w:pPr>
            <w:r w:rsidRPr="001A1E2A">
              <w:t>MHx</w:t>
            </w:r>
          </w:p>
        </w:tc>
        <w:tc>
          <w:tcPr>
            <w:tcW w:w="1440" w:type="dxa"/>
            <w:vAlign w:val="center"/>
            <w:hideMark/>
          </w:tcPr>
          <w:p w14:paraId="08E3C32D"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2,304</w:t>
            </w:r>
          </w:p>
        </w:tc>
        <w:tc>
          <w:tcPr>
            <w:tcW w:w="1440" w:type="dxa"/>
            <w:vAlign w:val="center"/>
            <w:hideMark/>
          </w:tcPr>
          <w:p w14:paraId="24C3381E"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755</w:t>
            </w:r>
          </w:p>
        </w:tc>
        <w:tc>
          <w:tcPr>
            <w:tcW w:w="1440" w:type="dxa"/>
            <w:vAlign w:val="center"/>
            <w:hideMark/>
          </w:tcPr>
          <w:p w14:paraId="704C9529"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2,830</w:t>
            </w:r>
          </w:p>
        </w:tc>
      </w:tr>
      <w:tr w:rsidR="001A1E2A" w:rsidRPr="001A1E2A" w14:paraId="0088509B"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2951A2A8" w14:textId="77777777" w:rsidR="001A1E2A" w:rsidRPr="001A1E2A" w:rsidRDefault="001A1E2A" w:rsidP="00DC7883">
            <w:pPr>
              <w:contextualSpacing/>
              <w:jc w:val="center"/>
            </w:pPr>
            <w:proofErr w:type="spellStart"/>
            <w:r w:rsidRPr="001A1E2A">
              <w:t>FHx</w:t>
            </w:r>
            <w:proofErr w:type="spellEnd"/>
          </w:p>
        </w:tc>
        <w:tc>
          <w:tcPr>
            <w:tcW w:w="1440" w:type="dxa"/>
            <w:vAlign w:val="center"/>
            <w:hideMark/>
          </w:tcPr>
          <w:p w14:paraId="3BD9CC6A"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105</w:t>
            </w:r>
          </w:p>
        </w:tc>
        <w:tc>
          <w:tcPr>
            <w:tcW w:w="1440" w:type="dxa"/>
            <w:vAlign w:val="center"/>
            <w:hideMark/>
          </w:tcPr>
          <w:p w14:paraId="2D83DFFE"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22</w:t>
            </w:r>
          </w:p>
        </w:tc>
        <w:tc>
          <w:tcPr>
            <w:tcW w:w="1440" w:type="dxa"/>
            <w:vAlign w:val="center"/>
            <w:hideMark/>
          </w:tcPr>
          <w:p w14:paraId="3734D2D0"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24</w:t>
            </w:r>
          </w:p>
        </w:tc>
      </w:tr>
      <w:tr w:rsidR="001A1E2A" w:rsidRPr="001A1E2A" w14:paraId="3A7BC81E" w14:textId="77777777" w:rsidTr="00DC7883">
        <w:trPr>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0888F206" w14:textId="77777777" w:rsidR="001A1E2A" w:rsidRPr="001A1E2A" w:rsidRDefault="001A1E2A" w:rsidP="00DC7883">
            <w:pPr>
              <w:contextualSpacing/>
              <w:jc w:val="center"/>
            </w:pPr>
            <w:r w:rsidRPr="001A1E2A">
              <w:t>Age</w:t>
            </w:r>
          </w:p>
        </w:tc>
        <w:tc>
          <w:tcPr>
            <w:tcW w:w="1440" w:type="dxa"/>
            <w:vAlign w:val="center"/>
            <w:hideMark/>
          </w:tcPr>
          <w:p w14:paraId="08B98E00"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787</w:t>
            </w:r>
          </w:p>
        </w:tc>
        <w:tc>
          <w:tcPr>
            <w:tcW w:w="1440" w:type="dxa"/>
            <w:vAlign w:val="center"/>
            <w:hideMark/>
          </w:tcPr>
          <w:p w14:paraId="51894F5B" w14:textId="77777777" w:rsidR="001A1E2A" w:rsidRPr="00E509C4"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rPr>
                <w:i/>
                <w:iCs/>
              </w:rPr>
            </w:pPr>
            <w:r w:rsidRPr="00E509C4">
              <w:rPr>
                <w:i/>
                <w:iCs/>
              </w:rPr>
              <w:t>n/a</w:t>
            </w:r>
          </w:p>
        </w:tc>
        <w:tc>
          <w:tcPr>
            <w:tcW w:w="1440" w:type="dxa"/>
            <w:vAlign w:val="center"/>
            <w:hideMark/>
          </w:tcPr>
          <w:p w14:paraId="1BB644D8" w14:textId="77777777" w:rsidR="001A1E2A" w:rsidRPr="001A1E2A" w:rsidRDefault="001A1E2A" w:rsidP="00DC7883">
            <w:pPr>
              <w:contextualSpacing/>
              <w:jc w:val="center"/>
              <w:cnfStyle w:val="000000000000" w:firstRow="0" w:lastRow="0" w:firstColumn="0" w:lastColumn="0" w:oddVBand="0" w:evenVBand="0" w:oddHBand="0" w:evenHBand="0" w:firstRowFirstColumn="0" w:firstRowLastColumn="0" w:lastRowFirstColumn="0" w:lastRowLastColumn="0"/>
            </w:pPr>
            <w:r w:rsidRPr="001A1E2A">
              <w:t>811</w:t>
            </w:r>
          </w:p>
        </w:tc>
      </w:tr>
      <w:tr w:rsidR="00BF4671" w:rsidRPr="001A1E2A" w14:paraId="17618255" w14:textId="77777777" w:rsidTr="00DC7883">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440" w:type="dxa"/>
            <w:vAlign w:val="center"/>
            <w:hideMark/>
          </w:tcPr>
          <w:p w14:paraId="39B902D6" w14:textId="77777777" w:rsidR="001A1E2A" w:rsidRPr="001A1E2A" w:rsidRDefault="001A1E2A" w:rsidP="00DC7883">
            <w:pPr>
              <w:contextualSpacing/>
              <w:jc w:val="center"/>
            </w:pPr>
            <w:r w:rsidRPr="001A1E2A">
              <w:t>Sex</w:t>
            </w:r>
          </w:p>
        </w:tc>
        <w:tc>
          <w:tcPr>
            <w:tcW w:w="1440" w:type="dxa"/>
            <w:vAlign w:val="center"/>
            <w:hideMark/>
          </w:tcPr>
          <w:p w14:paraId="09AEA0B7"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c>
          <w:tcPr>
            <w:tcW w:w="1440" w:type="dxa"/>
            <w:vAlign w:val="center"/>
            <w:hideMark/>
          </w:tcPr>
          <w:p w14:paraId="0B583F36" w14:textId="77777777" w:rsidR="001A1E2A" w:rsidRPr="00E509C4"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rPr>
                <w:i/>
                <w:iCs/>
              </w:rPr>
            </w:pPr>
            <w:r w:rsidRPr="00E509C4">
              <w:rPr>
                <w:i/>
                <w:iCs/>
              </w:rPr>
              <w:t>n/a</w:t>
            </w:r>
          </w:p>
        </w:tc>
        <w:tc>
          <w:tcPr>
            <w:tcW w:w="1440" w:type="dxa"/>
            <w:vAlign w:val="center"/>
            <w:hideMark/>
          </w:tcPr>
          <w:p w14:paraId="537DACF8" w14:textId="77777777" w:rsidR="001A1E2A" w:rsidRPr="001A1E2A" w:rsidRDefault="001A1E2A" w:rsidP="00DC7883">
            <w:pPr>
              <w:contextualSpacing/>
              <w:jc w:val="center"/>
              <w:cnfStyle w:val="000000100000" w:firstRow="0" w:lastRow="0" w:firstColumn="0" w:lastColumn="0" w:oddVBand="0" w:evenVBand="0" w:oddHBand="1" w:evenHBand="0" w:firstRowFirstColumn="0" w:firstRowLastColumn="0" w:lastRowFirstColumn="0" w:lastRowLastColumn="0"/>
            </w:pPr>
            <w:r w:rsidRPr="001A1E2A">
              <w:t>768</w:t>
            </w:r>
          </w:p>
        </w:tc>
      </w:tr>
    </w:tbl>
    <w:p w14:paraId="12D1C15C" w14:textId="77777777" w:rsidR="007D7591" w:rsidRDefault="007D7591" w:rsidP="0018289A">
      <w:pPr>
        <w:spacing w:line="240" w:lineRule="auto"/>
        <w:rPr>
          <w:sz w:val="20"/>
          <w:szCs w:val="20"/>
        </w:rPr>
      </w:pPr>
      <w:r w:rsidRPr="00C20936">
        <w:rPr>
          <w:sz w:val="20"/>
          <w:szCs w:val="20"/>
        </w:rPr>
        <w:t>† ETHER does not distinguish drug roles</w:t>
      </w:r>
      <w:r w:rsidR="003A5C54">
        <w:rPr>
          <w:sz w:val="20"/>
          <w:szCs w:val="20"/>
        </w:rPr>
        <w:t xml:space="preserve"> or AE types</w:t>
      </w:r>
      <w:r w:rsidRPr="00C20936">
        <w:rPr>
          <w:sz w:val="20"/>
          <w:szCs w:val="20"/>
        </w:rPr>
        <w:t xml:space="preserve"> — all drug </w:t>
      </w:r>
      <w:r w:rsidR="003A5C54">
        <w:rPr>
          <w:sz w:val="20"/>
          <w:szCs w:val="20"/>
        </w:rPr>
        <w:t xml:space="preserve">and AE </w:t>
      </w:r>
      <w:r w:rsidRPr="00C20936">
        <w:rPr>
          <w:sz w:val="20"/>
          <w:szCs w:val="20"/>
        </w:rPr>
        <w:t>mentions are output under a single DRUG tag (17,</w:t>
      </w:r>
      <w:r w:rsidR="003A5C54">
        <w:rPr>
          <w:sz w:val="20"/>
          <w:szCs w:val="20"/>
        </w:rPr>
        <w:t>164</w:t>
      </w:r>
      <w:r w:rsidRPr="00C20936">
        <w:rPr>
          <w:sz w:val="20"/>
          <w:szCs w:val="20"/>
        </w:rPr>
        <w:t>)</w:t>
      </w:r>
      <w:r w:rsidR="003A5C54">
        <w:rPr>
          <w:sz w:val="20"/>
          <w:szCs w:val="20"/>
        </w:rPr>
        <w:t xml:space="preserve"> and AE tag (25</w:t>
      </w:r>
      <w:r w:rsidR="00B33297">
        <w:rPr>
          <w:sz w:val="20"/>
          <w:szCs w:val="20"/>
        </w:rPr>
        <w:t>,</w:t>
      </w:r>
      <w:r w:rsidR="003A5C54">
        <w:rPr>
          <w:sz w:val="20"/>
          <w:szCs w:val="20"/>
        </w:rPr>
        <w:t>031)</w:t>
      </w:r>
      <w:r w:rsidRPr="00C20936">
        <w:rPr>
          <w:sz w:val="20"/>
          <w:szCs w:val="20"/>
        </w:rPr>
        <w:t xml:space="preserve">. </w:t>
      </w:r>
    </w:p>
    <w:p w14:paraId="13F3AF08" w14:textId="77777777" w:rsidR="0018289A" w:rsidRPr="00C20936" w:rsidRDefault="0018289A" w:rsidP="0018289A">
      <w:pPr>
        <w:spacing w:line="240" w:lineRule="auto"/>
        <w:rPr>
          <w:sz w:val="20"/>
          <w:szCs w:val="20"/>
        </w:rPr>
      </w:pPr>
    </w:p>
    <w:p w14:paraId="068E79C3" w14:textId="77777777" w:rsidR="00AD2CE2" w:rsidRDefault="00AD2CE2" w:rsidP="00AD2CE2">
      <w:pPr>
        <w:pStyle w:val="Heading2"/>
      </w:pPr>
      <w:r>
        <w:t>3.2 LLM performs significantly better than ETHER</w:t>
      </w:r>
    </w:p>
    <w:p w14:paraId="22E1D5A1" w14:textId="77777777"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xml:space="preserve">. </w:t>
      </w:r>
      <w:r w:rsidR="00840E06">
        <w:t>For LLM, both Llama-4</w:t>
      </w:r>
      <w:r w:rsidR="00F52C58">
        <w:t xml:space="preserve"> and</w:t>
      </w:r>
      <w:r w:rsidR="00E5101A">
        <w:t xml:space="preserve"> Claude 4.6 Sonnet were evaluated. </w:t>
      </w:r>
      <w:r>
        <w:t>The goal was to assess which method more accurately replicates human-level annotation performance across common annotation types.</w:t>
      </w:r>
      <w:r>
        <w:rPr>
          <w:rFonts w:hint="eastAsia"/>
        </w:rPr>
        <w:t xml:space="preserve"> </w:t>
      </w:r>
    </w:p>
    <w:p w14:paraId="4CCD4646" w14:textId="77777777" w:rsidR="00AD2CE2" w:rsidRDefault="00AD2CE2" w:rsidP="00AD2CE2">
      <w:r>
        <w:t xml:space="preserve">As shown in </w:t>
      </w:r>
      <w:r>
        <w:rPr>
          <w:b/>
          <w:bCs/>
        </w:rPr>
        <w:t>Figure</w:t>
      </w:r>
      <w:r w:rsidRPr="006958A1">
        <w:rPr>
          <w:b/>
          <w:bCs/>
        </w:rPr>
        <w:t xml:space="preserve"> </w:t>
      </w:r>
      <w:r>
        <w:rPr>
          <w:b/>
          <w:bCs/>
        </w:rPr>
        <w:t>3</w:t>
      </w:r>
      <w:r w:rsidR="00EC62AA">
        <w:rPr>
          <w:b/>
          <w:bCs/>
        </w:rPr>
        <w:t>a</w:t>
      </w:r>
      <w:r>
        <w:t xml:space="preserve">, </w:t>
      </w:r>
      <w:r w:rsidR="00146210">
        <w:t>Llama-4 and Claude 4.6 Sonnet showed similar performance</w:t>
      </w:r>
      <w:r w:rsidR="00AF10D1">
        <w:t xml:space="preserve">, </w:t>
      </w:r>
      <w:r w:rsidR="00CA3427">
        <w:t>and</w:t>
      </w:r>
      <w:r w:rsidR="006D04FF">
        <w:t xml:space="preserve"> </w:t>
      </w:r>
      <w:r w:rsidR="00CA3427">
        <w:t>overall,</w:t>
      </w:r>
      <w:r w:rsidR="006D04FF">
        <w:t xml:space="preserve"> </w:t>
      </w:r>
      <w:r>
        <w:t xml:space="preserve">the </w:t>
      </w:r>
      <w:r w:rsidR="002E70EF">
        <w:t>few-shot</w:t>
      </w:r>
      <w:r>
        <w:t xml:space="preserve"> LLM demonstrated robust generalization capabilities, </w:t>
      </w:r>
      <w:r w:rsidR="004F006A">
        <w:t>outperform</w:t>
      </w:r>
      <w:r w:rsidR="00C142B5">
        <w:t>ed</w:t>
      </w:r>
      <w:r w:rsidR="004F006A">
        <w:t xml:space="preserve">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r w:rsidR="00D24E7F">
        <w:t>We observed a slightly decreased performance of Dx in LLMs, which we will discuss more in later section about Error Analysis.</w:t>
      </w:r>
    </w:p>
    <w:p w14:paraId="7A0DBB86" w14:textId="77777777" w:rsidR="007D5693" w:rsidRDefault="007D5693" w:rsidP="00AD2CE2"/>
    <w:p w14:paraId="7BE00A8C" w14:textId="77777777" w:rsidR="007D5693" w:rsidRDefault="00DD0E6C" w:rsidP="00AD2CE2">
      <w:r>
        <w:rPr>
          <w:noProof/>
        </w:rPr>
        <w:lastRenderedPageBreak/>
        <w:drawing>
          <wp:inline distT="0" distB="0" distL="0" distR="0" wp14:anchorId="229BBBF4" wp14:editId="47D36EA2">
            <wp:extent cx="5932170" cy="4008120"/>
            <wp:effectExtent l="0" t="0" r="0" b="0"/>
            <wp:docPr id="1843461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2170" cy="4008120"/>
                    </a:xfrm>
                    <a:prstGeom prst="rect">
                      <a:avLst/>
                    </a:prstGeom>
                    <a:noFill/>
                    <a:ln>
                      <a:noFill/>
                    </a:ln>
                  </pic:spPr>
                </pic:pic>
              </a:graphicData>
            </a:graphic>
          </wp:inline>
        </w:drawing>
      </w:r>
    </w:p>
    <w:p w14:paraId="5D019B43" w14:textId="77777777" w:rsidR="004F536D" w:rsidRPr="009377D9" w:rsidRDefault="004F536D" w:rsidP="009377D9">
      <w:pPr>
        <w:spacing w:line="240" w:lineRule="auto"/>
        <w:rPr>
          <w:sz w:val="20"/>
          <w:szCs w:val="20"/>
        </w:rPr>
      </w:pPr>
      <w:r w:rsidRPr="009377D9">
        <w:rPr>
          <w:b/>
          <w:bCs/>
          <w:sz w:val="20"/>
          <w:szCs w:val="20"/>
        </w:rPr>
        <w:t>Figure 3.</w:t>
      </w:r>
      <w:r w:rsidRPr="009377D9">
        <w:rPr>
          <w:sz w:val="20"/>
          <w:szCs w:val="20"/>
        </w:rPr>
        <w:t xml:space="preserve"> Overall Performance Comparison Across Three Evaluation Schemes on FAERS Narratives (N = 829). Grouped bar chart comparing the rule-based baseline ETHER (Gray), Claude 4.6 Sonnet (</w:t>
      </w:r>
      <w:r w:rsidR="00FE2720">
        <w:rPr>
          <w:sz w:val="20"/>
          <w:szCs w:val="20"/>
        </w:rPr>
        <w:t>R</w:t>
      </w:r>
      <w:r w:rsidRPr="009377D9">
        <w:rPr>
          <w:sz w:val="20"/>
          <w:szCs w:val="20"/>
        </w:rPr>
        <w:t>ed)</w:t>
      </w:r>
      <w:r w:rsidR="00042525">
        <w:rPr>
          <w:sz w:val="20"/>
          <w:szCs w:val="20"/>
        </w:rPr>
        <w:t xml:space="preserve">, and </w:t>
      </w:r>
      <w:r w:rsidR="00042525" w:rsidRPr="009377D9">
        <w:rPr>
          <w:sz w:val="20"/>
          <w:szCs w:val="20"/>
        </w:rPr>
        <w:t>LLaMA 4 (Pink)</w:t>
      </w:r>
      <w:r w:rsidRPr="009377D9">
        <w:rPr>
          <w:sz w:val="20"/>
          <w:szCs w:val="20"/>
        </w:rPr>
        <w:t xml:space="preserve"> across Adapted ADE-Eval </w:t>
      </w:r>
      <w:r w:rsidR="00D92AF9">
        <w:rPr>
          <w:sz w:val="20"/>
          <w:szCs w:val="20"/>
        </w:rPr>
        <w:t xml:space="preserve">F1 </w:t>
      </w:r>
      <w:r w:rsidRPr="009377D9">
        <w:rPr>
          <w:sz w:val="20"/>
          <w:szCs w:val="20"/>
        </w:rPr>
        <w:t xml:space="preserve">and Strict Exact-Match </w:t>
      </w:r>
      <w:r w:rsidR="00D92AF9">
        <w:rPr>
          <w:sz w:val="20"/>
          <w:szCs w:val="20"/>
        </w:rPr>
        <w:t>F1</w:t>
      </w:r>
      <w:r w:rsidRPr="009377D9">
        <w:rPr>
          <w:sz w:val="20"/>
          <w:szCs w:val="20"/>
        </w:rPr>
        <w:t>.</w:t>
      </w:r>
      <w:r w:rsidR="009455C7">
        <w:rPr>
          <w:sz w:val="20"/>
          <w:szCs w:val="20"/>
        </w:rPr>
        <w:t xml:space="preserve"> (a) Per-category analysis between Llama 4 and Sonnet 4.6; (b) comparative </w:t>
      </w:r>
      <w:r w:rsidR="0083594F">
        <w:rPr>
          <w:sz w:val="20"/>
          <w:szCs w:val="20"/>
        </w:rPr>
        <w:t>result between ETHER and LLMs; to comply with ETHER’s labeling groups, some categories in LLMs are combined.</w:t>
      </w:r>
    </w:p>
    <w:p w14:paraId="21AE43AA" w14:textId="77777777" w:rsidR="00F37A56" w:rsidRDefault="00F37A56" w:rsidP="00F37A56"/>
    <w:p w14:paraId="3566A0EF" w14:textId="77777777" w:rsidR="00E7527C" w:rsidRDefault="00E7527C" w:rsidP="00E7527C">
      <w:pPr>
        <w:pStyle w:val="Heading2"/>
      </w:pPr>
      <w:r>
        <w:t xml:space="preserve">3.3 BERT-based NER model </w:t>
      </w:r>
      <w:r w:rsidR="005A67B0">
        <w:t>performance</w:t>
      </w:r>
    </w:p>
    <w:p w14:paraId="3D38B1F0" w14:textId="77777777" w:rsidR="00B73B5B" w:rsidRDefault="00D02538" w:rsidP="00D02538">
      <w:r>
        <w:t>We trained and evaluated a supervised BioBERT named entity recognition (NER) model using a 4-fold Leave-One-Drug-Event-Pair-Out cross-validation design on the 829 FAERS narratives across all 17 clinical concept categories. Table 3 summarizes the overall benchmark comparison across model families, input paradigms, and evaluation tiers. BioBERT achieved a strict exact-match F1 of 0.5685 ± 0.0080 and an adapted ADE-Eval F1 of 0.7463 ± 0.0076, which substantially outperformed few-shot LLaMA 4 (0.4043 Strict, 0.6249 Adapted), Claude 4.6 Sonnet (0.4667 Strict, 0.6443 Adapted), and baseline ETHER system (0.1147 Strict, 0.2447 Adapted).</w:t>
      </w:r>
    </w:p>
    <w:p w14:paraId="430F181B" w14:textId="77777777" w:rsidR="00541E83" w:rsidRDefault="00541E83" w:rsidP="00D02538"/>
    <w:p w14:paraId="351CAE6F" w14:textId="77777777" w:rsidR="00541E83" w:rsidRDefault="00541E83" w:rsidP="00D02538"/>
    <w:p w14:paraId="285C9E02" w14:textId="77777777" w:rsidR="00541E83" w:rsidRDefault="00541E83" w:rsidP="00D02538"/>
    <w:p w14:paraId="042689B9" w14:textId="77777777" w:rsidR="00CF4EAD" w:rsidRPr="00FC123B" w:rsidRDefault="00CF4EAD" w:rsidP="00D02538">
      <w:pPr>
        <w:rPr>
          <w:sz w:val="20"/>
          <w:szCs w:val="20"/>
        </w:rPr>
      </w:pPr>
      <w:r w:rsidRPr="00FC123B">
        <w:rPr>
          <w:b/>
          <w:bCs/>
          <w:sz w:val="20"/>
          <w:szCs w:val="20"/>
        </w:rPr>
        <w:t xml:space="preserve">Table 3. </w:t>
      </w:r>
      <w:r w:rsidRPr="00FC123B">
        <w:rPr>
          <w:sz w:val="20"/>
          <w:szCs w:val="20"/>
        </w:rPr>
        <w:t>Performance Benchmark on the FAERS Dataset (N = 829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(4-Fold LOO)</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 Tagged)</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ETHER (Baseline, used=Yes)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0.1147</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0.2447</w:t>
            </w:r>
          </w:p>
        </w:tc>
      </w:tr>
    </w:tbl>
    <w:p w14:paraId="0C06646A" w14:textId="77777777" w:rsidR="00CF4EAD" w:rsidRDefault="00CF4EAD" w:rsidP="00CF4EAD"/>
    <w:p w14:paraId="6C46DAC5" w14:textId="77777777" w:rsidR="00FC123B" w:rsidRDefault="00FC123B" w:rsidP="00CF4EAD">
      <w:r w:rsidRPr="008D472B">
        <w:rPr>
          <w:b/>
          <w:bCs/>
        </w:rPr>
        <w:t>Figure 4</w:t>
      </w:r>
      <w:r>
        <w:t xml:space="preserve"> details the fine-grained category-level performance breakdown across all 17 clinical concept categories.</w:t>
      </w:r>
      <w:r w:rsidR="00B473D8">
        <w:t xml:space="preserve"> Among these 17 categories, some of them (</w:t>
      </w:r>
      <w:proofErr w:type="spellStart"/>
      <w:r w:rsidR="00B473D8">
        <w:t>oDrug</w:t>
      </w:r>
      <w:proofErr w:type="spellEnd"/>
      <w:r w:rsidR="00B473D8">
        <w:t xml:space="preserve">, </w:t>
      </w:r>
      <w:proofErr w:type="spellStart"/>
      <w:r w:rsidR="002D218E">
        <w:t>mAE</w:t>
      </w:r>
      <w:proofErr w:type="spellEnd"/>
      <w:r w:rsidR="002D218E">
        <w:t xml:space="preserve">, </w:t>
      </w:r>
      <w:r w:rsidR="001B36FA">
        <w:t xml:space="preserve">Dx, R/O, </w:t>
      </w:r>
      <w:proofErr w:type="spellStart"/>
      <w:r w:rsidR="001B36FA">
        <w:t>CoD</w:t>
      </w:r>
      <w:proofErr w:type="spellEnd"/>
      <w:r w:rsidR="001B36FA">
        <w:t xml:space="preserve">) has close-to-zero </w:t>
      </w:r>
      <w:r w:rsidR="001656FD">
        <w:t xml:space="preserve">strict F1 across all LLMs and BERT models, implying </w:t>
      </w:r>
      <w:r w:rsidR="00E97017">
        <w:t xml:space="preserve">accurately tagging these categories are challenging regardless of the selected algorithm. On the other side, they showed </w:t>
      </w:r>
      <w:r w:rsidR="0075247E">
        <w:t>higher (nearly 0.5) F</w:t>
      </w:r>
      <w:r w:rsidR="00F06D96">
        <w:t>1 under adapted ADE-Eval F1</w:t>
      </w:r>
      <w:r w:rsidR="00802A4B">
        <w:t xml:space="preserve"> in Llama 4 and Sonnet 4.6</w:t>
      </w:r>
      <w:r w:rsidR="00F06D96">
        <w:t xml:space="preserve">, indicating some of the terms were found </w:t>
      </w:r>
      <w:r w:rsidR="00802A4B">
        <w:t xml:space="preserve">by LLMs </w:t>
      </w:r>
      <w:r w:rsidR="00F06D96">
        <w:t xml:space="preserve">however with inaccurate boundaries or </w:t>
      </w:r>
      <w:r w:rsidR="008D472B">
        <w:t xml:space="preserve">mislabeled to a different category (i.e., Conflation). </w:t>
      </w:r>
      <w:r w:rsidR="00802A4B">
        <w:t>However, BERT kept</w:t>
      </w:r>
      <w:r w:rsidR="009C51A0">
        <w:t xml:space="preserve"> the nearly-zero performance for </w:t>
      </w:r>
      <w:r w:rsidR="00386FC3">
        <w:t>4 of 5</w:t>
      </w:r>
      <w:r w:rsidR="009C51A0">
        <w:t xml:space="preserve"> categories</w:t>
      </w:r>
      <w:r w:rsidR="001B05FD">
        <w:t xml:space="preserve"> (</w:t>
      </w:r>
      <w:proofErr w:type="spellStart"/>
      <w:r w:rsidR="001B05FD">
        <w:t>oDrug</w:t>
      </w:r>
      <w:proofErr w:type="spellEnd"/>
      <w:r w:rsidR="001B05FD">
        <w:t xml:space="preserve">, </w:t>
      </w:r>
      <w:proofErr w:type="spellStart"/>
      <w:r w:rsidR="001B05FD">
        <w:t>mAE</w:t>
      </w:r>
      <w:proofErr w:type="spellEnd"/>
      <w:r w:rsidR="001B05FD">
        <w:t xml:space="preserve">, R/O, </w:t>
      </w:r>
      <w:proofErr w:type="spellStart"/>
      <w:r w:rsidR="001B05FD">
        <w:t>CoD</w:t>
      </w:r>
      <w:proofErr w:type="spellEnd"/>
      <w:r w:rsidR="001B05FD">
        <w:t>)</w:t>
      </w:r>
      <w:r w:rsidR="009C51A0">
        <w:t>, i</w:t>
      </w:r>
      <w:r w:rsidR="002D218E">
        <w:t>mplying its weakness on these challenging annotation categories.</w:t>
      </w:r>
    </w:p>
    <w:p w14:paraId="7543B478" w14:textId="77777777" w:rsidR="006A7617" w:rsidRDefault="006A7617" w:rsidP="00CF4EAD">
      <w:r>
        <w:rPr>
          <w:noProof/>
        </w:rPr>
        <w:drawing>
          <wp:inline distT="0" distB="0" distL="0" distR="0" wp14:anchorId="2A31942A" wp14:editId="208C778F">
            <wp:extent cx="5937885" cy="2573020"/>
            <wp:effectExtent l="0" t="0" r="5715" b="0"/>
            <wp:docPr id="1721116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885" cy="2573020"/>
                    </a:xfrm>
                    <a:prstGeom prst="rect">
                      <a:avLst/>
                    </a:prstGeom>
                    <a:noFill/>
                    <a:ln>
                      <a:noFill/>
                    </a:ln>
                  </pic:spPr>
                </pic:pic>
              </a:graphicData>
            </a:graphic>
          </wp:inline>
        </w:drawing>
      </w:r>
    </w:p>
    <w:p w14:paraId="416F5801" w14:textId="77777777" w:rsidR="0064673F" w:rsidRPr="002E2FF1" w:rsidRDefault="0064673F" w:rsidP="00541E83">
      <w:pPr>
        <w:spacing w:line="240" w:lineRule="auto"/>
        <w:rPr>
          <w:sz w:val="16"/>
          <w:szCs w:val="16"/>
        </w:rPr>
      </w:pPr>
      <w:r>
        <w:t>Figure 4. Comparative Concept Extraction Performance Across All 17 Clinical Concept Categories on the FAERS Benchmark Corpus (N = 829 Reports) for Fine-Tuned BioBERT (Blue Diamond / Bar), Claude 4.6 Sonnet (Red Circle / Bar), and LLaMA 4 (Pink Square / Bar).</w:t>
      </w:r>
    </w:p>
    <w:p w14:paraId="678FF44E" w14:textId="77777777" w:rsidR="00541E83" w:rsidRPr="00541E83" w:rsidRDefault="00541E83" w:rsidP="00541E83">
      <w:pPr>
        <w:spacing w:line="240" w:lineRule="auto"/>
        <w:rPr>
          <w:sz w:val="20"/>
          <w:szCs w:val="20"/>
        </w:rPr>
      </w:pPr>
    </w:p>
    <w:p w14:paraId="189C3B4A" w14:textId="77777777" w:rsidR="00472A41" w:rsidRPr="00472A41" w:rsidRDefault="00831330" w:rsidP="00472A41">
      <w:pPr>
        <w:pStyle w:val="Heading2"/>
      </w:pPr>
      <w:r>
        <w:lastRenderedPageBreak/>
        <w:t xml:space="preserve">3.4 </w:t>
      </w:r>
      <w:r w:rsidR="00472A41" w:rsidRPr="00472A41">
        <w:t>Error analysis</w:t>
      </w:r>
    </w:p>
    <w:p w14:paraId="2D416A13" w14:textId="1B917FDC" w:rsidR="00155734" w:rsidRPr="00155734" w:rsidRDefault="00413F31" w:rsidP="00155734">
      <w:r>
        <w:t xml:space="preserve">Next, we conducted a detailed error analysis on the FAERS </w:t>
      </w:r>
      <w:r w:rsidR="009F28E6">
        <w:rPr>
          <w:rFonts w:hint="eastAsia"/>
          <w:lang w:eastAsia="zh-CN"/>
        </w:rPr>
        <w:t>dataset</w:t>
      </w:r>
      <w:r>
        <w:t xml:space="preserve"> to characterize how the BERT and the LLM differ in their failure modes. </w:t>
      </w:r>
      <w:r w:rsidR="00155734" w:rsidRPr="009F28E6">
        <w:rPr>
          <w:b/>
          <w:bCs/>
        </w:rPr>
        <w:t>Figure 5a</w:t>
      </w:r>
      <w:r w:rsidR="00155734">
        <w:t xml:space="preserve"> shows that BERT produces more exact matches</w:t>
      </w:r>
      <w:r w:rsidR="00045C0D">
        <w:rPr>
          <w:rFonts w:hint="eastAsia"/>
          <w:lang w:eastAsia="zh-CN"/>
        </w:rPr>
        <w:t>,</w:t>
      </w:r>
      <w:r w:rsidR="00155734">
        <w:t xml:space="preserve"> and fewer conflation and </w:t>
      </w:r>
      <w:r w:rsidR="009F28E6">
        <w:rPr>
          <w:rFonts w:hint="eastAsia"/>
          <w:lang w:eastAsia="zh-CN"/>
        </w:rPr>
        <w:t>spurious</w:t>
      </w:r>
      <w:r w:rsidR="00155734">
        <w:t xml:space="preserve"> errors than the LLM. For BERT, 58.0% of spans are exact matches (26,891), compared with 31.6% (17,396) for the LLM. The LLM, in contrast, exhibits more than double the proportion of coverage errors (29.7% vs 14.0%; 16,358 vs 6,485 spans). The LLM also produces significantly more spurious spans (25.7% vs 15.5%; 14,185 vs 7,195), reflecting </w:t>
      </w:r>
      <w:r w:rsidR="00045C0D">
        <w:rPr>
          <w:rFonts w:hint="eastAsia"/>
          <w:lang w:eastAsia="zh-CN"/>
        </w:rPr>
        <w:t>non-overlapped</w:t>
      </w:r>
      <w:r w:rsidR="00155734">
        <w:t xml:space="preserve"> entities </w:t>
      </w:r>
      <w:r w:rsidR="00045C0D">
        <w:rPr>
          <w:rFonts w:hint="eastAsia"/>
          <w:lang w:eastAsia="zh-CN"/>
        </w:rPr>
        <w:t>reported by human SME</w:t>
      </w:r>
      <w:r w:rsidR="00155734">
        <w:t xml:space="preserve">. Missed spans (N) show comparable proportions between both paradigms (13.0% vs 12.5%; 7,156 vs 5,793 spans), which is consistent with the recall patterns observed in </w:t>
      </w:r>
      <w:r w:rsidR="00155734" w:rsidRPr="00045C0D">
        <w:rPr>
          <w:b/>
          <w:bCs/>
        </w:rPr>
        <w:t>Figure 4</w:t>
      </w:r>
      <w:r w:rsidR="00155734">
        <w:t>, while the much larger excess of coverage and spurious errors for the LLM reflects its tendency to over-segment entities rather than leaving spans unannotated.</w:t>
      </w:r>
    </w:p>
    <w:p w14:paraId="745F73DE" w14:textId="77777777" w:rsidR="00FC7AE4" w:rsidRDefault="00A344F6" w:rsidP="00A344F6">
      <w:r>
        <w:t>The top confusion pairs for both systems (Figure 5b and 5c) demonstrate that errors cluster within clinically related concept types rather than dispersing randomly. For BERT, misclassifications primarily involve context-dependent clinical boundaries, notably medical history conflated with therapeutic indications (MHx → Indication: 345), adverse events confused with laboratory findings (AE → Lab: 191), and bidirectional medical history versus AE boundary ambiguities (MHx → AE: 172; AE → MHx: 168), typically occurring when chronic comorbidities and acute symptoms are documented within the same sentence. For the LLM, the single largest error mode is the misclassification of concomitant medications as primary suspect drugs (cDrug → sDrug: 2,737), followed by treatment interventions labeled as suspect drugs (Treatment → sDrug: 847). Additional prominent LLM confusions include medical history categorized as current diagnoses (MHx → Dx: 364) or adverse events (MHx → AE: 342), laboratory values labeled as dosages (Lab → Dose: 328), and laboratory findings classified as adverse events (Lab → AE: 230). While BERT errors are concentrated in a tight set of adjacent clinical categories, the LLM exhibits widespread role conflation across pharmacological and historical categories.</w:t>
      </w:r>
    </w:p>
    <w:p w14:paraId="418F1DF7" w14:textId="7BFE0894" w:rsidR="00A344F6" w:rsidRPr="00A344F6" w:rsidRDefault="00A344F6" w:rsidP="00A344F6">
      <w:r>
        <w:t>For the LLM, the single largest error mode is the misclassification of concomitant medications as primary suspect drugs (</w:t>
      </w:r>
      <w:proofErr w:type="spellStart"/>
      <w:r>
        <w:t>cDrug</w:t>
      </w:r>
      <w:proofErr w:type="spellEnd"/>
      <w:r>
        <w:t xml:space="preserve"> </w:t>
      </w:r>
      <w:r w:rsidR="00FC7AE4">
        <w:rPr>
          <w:rFonts w:hint="eastAsia"/>
          <w:lang w:eastAsia="zh-CN"/>
        </w:rPr>
        <w:t>to</w:t>
      </w:r>
      <w:r>
        <w:t xml:space="preserve"> </w:t>
      </w:r>
      <w:proofErr w:type="spellStart"/>
      <w:r>
        <w:t>sDrug</w:t>
      </w:r>
      <w:proofErr w:type="spellEnd"/>
      <w:r>
        <w:t xml:space="preserve">: 2,737), followed by treatment interventions labeled as suspect drugs (Treatment </w:t>
      </w:r>
      <w:r w:rsidR="00B46E4A">
        <w:rPr>
          <w:rFonts w:hint="eastAsia"/>
          <w:lang w:eastAsia="zh-CN"/>
        </w:rPr>
        <w:t>to</w:t>
      </w:r>
      <w:r>
        <w:t xml:space="preserve"> sDrug: 847). Additional prominent LLM confusions include medical history categorized as current diagnoses (MHx </w:t>
      </w:r>
      <w:r w:rsidR="00AA2185">
        <w:rPr>
          <w:rFonts w:hint="eastAsia"/>
          <w:lang w:eastAsia="zh-CN"/>
        </w:rPr>
        <w:t>to</w:t>
      </w:r>
      <w:r>
        <w:t xml:space="preserve"> Dx: 364) or adverse events (MHx </w:t>
      </w:r>
      <w:r w:rsidR="00AA2185">
        <w:rPr>
          <w:rFonts w:hint="eastAsia"/>
          <w:lang w:eastAsia="zh-CN"/>
        </w:rPr>
        <w:t>to</w:t>
      </w:r>
      <w:r>
        <w:t xml:space="preserve"> AE: 342), laboratory values labeled as dosages (Lab </w:t>
      </w:r>
      <w:r w:rsidR="00814A20">
        <w:rPr>
          <w:rFonts w:hint="eastAsia"/>
          <w:lang w:eastAsia="zh-CN"/>
        </w:rPr>
        <w:t>to</w:t>
      </w:r>
      <w:r>
        <w:t xml:space="preserve"> Dose: 328), and laboratory findings classified as adverse events (Lab </w:t>
      </w:r>
      <w:r w:rsidR="00814A20">
        <w:rPr>
          <w:rFonts w:hint="eastAsia"/>
          <w:lang w:eastAsia="zh-CN"/>
        </w:rPr>
        <w:t>to</w:t>
      </w:r>
      <w:r>
        <w:t xml:space="preserve"> AE: 230). While BERT errors are concentrated in a tight set of adjacent clinical categories, the LLM exhibits widespread role conflation across pharmacological and historical categories.</w:t>
      </w:r>
    </w:p>
    <w:p w14:paraId="2A7D5603" w14:textId="12C13362" w:rsidR="00CA63BA" w:rsidRDefault="00577354" w:rsidP="00CA63BA">
      <w:r>
        <w:t>We applied word-cloud visualizations on the primary LLM misclassification categories to clarify these failure modes at the entity level. For concomitant and treatment spans misclassified as suspect drug (sDrug) by the LLM (</w:t>
      </w:r>
      <w:r w:rsidRPr="005535C4">
        <w:rPr>
          <w:b/>
          <w:bCs/>
        </w:rPr>
        <w:t>Figure 5d</w:t>
      </w:r>
      <w:r>
        <w:t>), the most prominent tokens were common co-administered medications and supportive therapies, including methylprednisolone, methotrexate, prednisone, esomeprazole, folic acid, and dexamethasone. In contrast, clinical spans exhibiting medical history and diagnosis/AE confusions (</w:t>
      </w:r>
      <w:r w:rsidRPr="003C70DB">
        <w:rPr>
          <w:b/>
          <w:bCs/>
        </w:rPr>
        <w:t>Figure 5e</w:t>
      </w:r>
      <w:r>
        <w:t>) were dominated by prevalent chronic conditions and comorbidities, such as hypertension, myelodysplastic syndrome, pneumonia, rheumatoid arthritis, osteoporosis, and recurrent infections.</w:t>
      </w:r>
    </w:p>
    <w:p w14:paraId="25597D4B" w14:textId="70F74718" w:rsidR="00CA63BA" w:rsidRDefault="00CA63BA" w:rsidP="00CA63BA">
      <w:pPr>
        <w:rPr>
          <w:rFonts w:hint="eastAsia"/>
          <w:lang w:eastAsia="zh-CN"/>
        </w:rPr>
      </w:pPr>
      <w:r>
        <w:lastRenderedPageBreak/>
        <w:t xml:space="preserve">Overall, the few-shot LLM annotations are prone to spurious </w:t>
      </w:r>
      <w:r w:rsidR="001F64C4">
        <w:rPr>
          <w:rFonts w:hint="eastAsia"/>
          <w:lang w:eastAsia="zh-CN"/>
        </w:rPr>
        <w:t>predictions</w:t>
      </w:r>
      <w:r>
        <w:t>, boundary drift, and drug role conflation (</w:t>
      </w:r>
      <w:proofErr w:type="spellStart"/>
      <w:r>
        <w:t>cDrug</w:t>
      </w:r>
      <w:proofErr w:type="spellEnd"/>
      <w:r>
        <w:t xml:space="preserve">/Treatment → </w:t>
      </w:r>
      <w:proofErr w:type="spellStart"/>
      <w:r>
        <w:t>sDrug</w:t>
      </w:r>
      <w:proofErr w:type="spellEnd"/>
      <w:r>
        <w:t xml:space="preserve">). </w:t>
      </w:r>
      <w:r w:rsidR="009433EC">
        <w:rPr>
          <w:rFonts w:hint="eastAsia"/>
          <w:lang w:eastAsia="zh-CN"/>
        </w:rPr>
        <w:t xml:space="preserve">However, LLM is better to annotate uncommon categories like </w:t>
      </w:r>
      <w:proofErr w:type="spellStart"/>
      <w:r w:rsidR="009433EC">
        <w:rPr>
          <w:rFonts w:hint="eastAsia"/>
          <w:lang w:eastAsia="zh-CN"/>
        </w:rPr>
        <w:t>oDrug</w:t>
      </w:r>
      <w:proofErr w:type="spellEnd"/>
      <w:r w:rsidR="009433EC">
        <w:rPr>
          <w:rFonts w:hint="eastAsia"/>
          <w:lang w:eastAsia="zh-CN"/>
        </w:rPr>
        <w:t xml:space="preserve">, </w:t>
      </w:r>
      <w:proofErr w:type="spellStart"/>
      <w:r w:rsidR="009433EC">
        <w:rPr>
          <w:rFonts w:hint="eastAsia"/>
          <w:lang w:eastAsia="zh-CN"/>
        </w:rPr>
        <w:t>mAE</w:t>
      </w:r>
      <w:proofErr w:type="spellEnd"/>
      <w:r w:rsidR="009433EC">
        <w:rPr>
          <w:rFonts w:hint="eastAsia"/>
          <w:lang w:eastAsia="zh-CN"/>
        </w:rPr>
        <w:t xml:space="preserve">, RO and </w:t>
      </w:r>
      <w:proofErr w:type="spellStart"/>
      <w:r w:rsidR="009433EC">
        <w:rPr>
          <w:rFonts w:hint="eastAsia"/>
          <w:lang w:eastAsia="zh-CN"/>
        </w:rPr>
        <w:t>CoD</w:t>
      </w:r>
      <w:proofErr w:type="spellEnd"/>
      <w:r w:rsidR="009433EC">
        <w:rPr>
          <w:rFonts w:hint="eastAsia"/>
          <w:lang w:eastAsia="zh-CN"/>
        </w:rPr>
        <w:t xml:space="preserve"> by conflation through inaccurate boundary or mislabeled category, therefore retrieved higher adapted ADE-Eval F1 in these uncommon categories (</w:t>
      </w:r>
      <w:r w:rsidR="009433EC" w:rsidRPr="009433EC">
        <w:rPr>
          <w:rFonts w:hint="eastAsia"/>
          <w:b/>
          <w:bCs/>
          <w:lang w:eastAsia="zh-CN"/>
        </w:rPr>
        <w:t>Figure 4</w:t>
      </w:r>
      <w:r w:rsidR="009433EC">
        <w:rPr>
          <w:rFonts w:hint="eastAsia"/>
          <w:lang w:eastAsia="zh-CN"/>
        </w:rPr>
        <w:t xml:space="preserve">). </w:t>
      </w:r>
    </w:p>
    <w:p w14:paraId="752875AB" w14:textId="77777777" w:rsidR="0034182A" w:rsidRDefault="0034182A" w:rsidP="00924F71"/>
    <w:p w14:paraId="2C370FA4" w14:textId="77777777" w:rsidR="00924F71" w:rsidRPr="00924F71" w:rsidRDefault="009E09BC" w:rsidP="00432731">
      <w:pPr>
        <w:jc w:val="center"/>
      </w:pPr>
      <w:r>
        <w:rPr>
          <w:noProof/>
        </w:rPr>
        <w:drawing>
          <wp:inline distT="0" distB="0" distL="0" distR="0" wp14:anchorId="5210EEBB" wp14:editId="3ACB33BC">
            <wp:extent cx="5943600" cy="5033010"/>
            <wp:effectExtent l="0" t="0" r="0" b="0"/>
            <wp:docPr id="10051096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033010"/>
                    </a:xfrm>
                    <a:prstGeom prst="rect">
                      <a:avLst/>
                    </a:prstGeom>
                    <a:noFill/>
                    <a:ln>
                      <a:noFill/>
                    </a:ln>
                  </pic:spPr>
                </pic:pic>
              </a:graphicData>
            </a:graphic>
          </wp:inline>
        </w:drawing>
      </w:r>
    </w:p>
    <w:p w14:paraId="575FDD6B" w14:textId="77777777" w:rsidR="003B3AC7" w:rsidRPr="0073558C" w:rsidRDefault="009E09BC" w:rsidP="0034182A">
      <w:pPr>
        <w:spacing w:line="240" w:lineRule="auto"/>
        <w:rPr>
          <w:sz w:val="16"/>
          <w:szCs w:val="16"/>
        </w:rPr>
      </w:pPr>
      <w:r>
        <w:t>Figure 5. Error Anatomy and Extraction Discrepancy Breakdown for Supervised BERT versus Few-Shot LLM (LLaMA 4) on the Full FAERS Benchmark Corpus (N = 829 Reports). (a) Overall M/C/S/N error distribution (M: exact match; C: coverage error; S: spurious prediction; N: miss). (b) Top label misclassifications for BERT. (c) Top label misclassifications for LLM. (d) Typical concomitant drug and treatment terms misclassified as suspect drug (sDrug) by LLM. (e) Typical clinical terms exhibiting medical history (MHx) versus diagnosis (Dx) or adverse event (AE) confusions by LLM.</w:t>
      </w:r>
    </w:p>
    <w:p w14:paraId="13BE3FB8" w14:textId="77777777" w:rsidR="009E09BC" w:rsidRPr="009E09BC" w:rsidRDefault="009E09BC" w:rsidP="0034182A">
      <w:pPr>
        <w:spacing w:line="240" w:lineRule="auto"/>
      </w:pPr>
    </w:p>
    <w:p w14:paraId="049F3443" w14:textId="77777777" w:rsidR="00413F31" w:rsidRDefault="00413F31" w:rsidP="00EC4E8F">
      <w:pPr>
        <w:pStyle w:val="Heading2"/>
      </w:pPr>
      <w:r>
        <w:lastRenderedPageBreak/>
        <w:t>3.5 VAER</w:t>
      </w:r>
      <w:r w:rsidR="00B019D5">
        <w:t>S</w:t>
      </w:r>
      <w:r>
        <w:t xml:space="preserve"> </w:t>
      </w:r>
      <w:r w:rsidR="00B07BC3">
        <w:t>Evaluation</w:t>
      </w:r>
    </w:p>
    <w:p w14:paraId="4FFC4F5F" w14:textId="77777777" w:rsidR="007B7450" w:rsidRDefault="00426F20" w:rsidP="00426F20">
      <w:r>
        <w:t>To evaluate cross-domain generalization beyond the FAERS dataset, we further analyzed the public VAERS corpus (N = 1,000 narratives). As reported in Table 4, BioBERT fine-tuned via 10-fold cross-validation achieved a strict exact-match F1 of 0.6594 ± 0.0196 (0.7848 ± 0.0127 Adapted ADE-Eval F1). In contrast, the 1-shot LLaMA 4 baseline evaluated under the official 11-category annotation guidance achieved a strict F1 of 0.2797 and an adapted ADE-Eval F1 of 0.5113 (with 0.6714 Precision and 0.4129 Recall).</w:t>
      </w:r>
    </w:p>
    <w:p w14:paraId="4AA3EC4B" w14:textId="77777777" w:rsidR="00E928CC" w:rsidRDefault="00E928CC" w:rsidP="00426F20"/>
    <w:p w14:paraId="0DACD7CF" w14:textId="77777777" w:rsidR="00426F20" w:rsidRPr="007B7450" w:rsidRDefault="00426F20" w:rsidP="00413F31">
      <w:pPr>
        <w:rPr>
          <w:sz w:val="16"/>
          <w:szCs w:val="16"/>
        </w:rPr>
      </w:pPr>
      <w:r>
        <w:t>Table 4. Master Performance Benchmark on the VAERS Dataset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120"/>
        <w:gridCol w:w="3120"/>
        <w:gridCol w:w="3120"/>
      </w:tblGrid>
      <w:tr>
        <w:tc>
          <w:tcPr>
            <w:tcW w:type="dxa" w:w="403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&amp; Configuration</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403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(10-Fold CV)</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4032"/>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 Tagged P2_TAG_VAERS)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0.2797</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0.5113</w:t>
            </w:r>
          </w:p>
        </w:tc>
      </w:tr>
    </w:tbl>
    <w:p w14:paraId="05DC5011" w14:textId="77777777" w:rsidR="00594F72" w:rsidRDefault="00594F72" w:rsidP="00413F31"/>
    <w:p w14:paraId="6FF83D11" w14:textId="7C0246C8" w:rsidR="00E928CC" w:rsidRDefault="00E928CC" w:rsidP="00E928CC">
      <w:r>
        <w:t>Category-level analysis (Figure 6a) across all 11 clinical concept categories confirmed strong supervised encoder advantages across vaccines (VAX: 0.92 vs 0.77), treatments (TX: 0.89 vs 0.73), patient clinical status (STATUS: 0.83 vs 0.60), medical history (MHx: 0.83 vs 0.51), primary diagnoses (pDx: 0.66 vs 0.59), adverse-event symptoms (SYM: 0.77 vs 0.41), laboratory findings (Lab: 0.72 vs 0.47), and family history (FHx: 0.48 vs 0.45). Notably, few-shot LLaMA 4 successfully identified rare specialized categories unmodeled by the encoder, including cause of death (CoD: 0.50 F1; P = 0.67) and rule-out diagnoses (RO: 0.33 F1), while confirmed secondary diagnoses presented the steepest generalization gap (sDx: 0.77 vs 0.19). Error anatomy (Figure 6b) on the complete VAERS corpus (N = 1,000 reports) revealed that BioBERT achieved a high proportion of exact matches (56.0% vs 21.3%; 29,984 vs 12,026 spans) and low coverage errors (6.9% vs 13.7%; 3,679 vs 7,762 spans). Importantly, aligning the prompt to the official 11-category guideline substantially reduced LLaMA 4 hallucinations by 52.8% (spurious spans decreased from 33,421 down to 15,782; 27.9% vs 20.5% for BioBERT), while missed entities accounted for 37.0% (20,902 spans) versus 16.6% (8,875 spans) for BioBERT. Confusion breakdowns (Figure 6c &amp; 6d) demonstrated that the primary error mode for both models was distinguishing secondary diagnoses from adverse symptoms (sDx → SYM: 2,174 for BioBERT; 8,295 for LLaMA 4), alongside reciprocal symptom-to-diagnosis shifts (SYM → sDx: 921 for BioBERT; 1,320 for LLaMA 4) and symptom conflation with medical history (SYM → MHx: 908 for LLaMA 4) and lab findings (SYM → Lab: 647 for BioBERT; 906 for LLaMA 4).</w:t>
      </w:r>
    </w:p>
    <w:p w14:paraId="214BAB6A" w14:textId="77777777" w:rsidR="00E928CC" w:rsidRDefault="00E928CC" w:rsidP="00413F31"/>
    <w:p w14:paraId="6EFBCD42" w14:textId="77777777" w:rsidR="00413F31" w:rsidRPr="0085396C" w:rsidRDefault="00871950" w:rsidP="00413F31">
      <w:r>
        <w:rPr>
          <w:noProof/>
        </w:rPr>
        <w:lastRenderedPageBreak/>
        <w:drawing>
          <wp:inline distT="0" distB="0" distL="0" distR="0" wp14:anchorId="7F29C378" wp14:editId="5FB8420F">
            <wp:extent cx="5932170" cy="4251960"/>
            <wp:effectExtent l="0" t="0" r="0" b="0"/>
            <wp:docPr id="33667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2170" cy="4251960"/>
                    </a:xfrm>
                    <a:prstGeom prst="rect">
                      <a:avLst/>
                    </a:prstGeom>
                    <a:noFill/>
                    <a:ln>
                      <a:noFill/>
                    </a:ln>
                  </pic:spPr>
                </pic:pic>
              </a:graphicData>
            </a:graphic>
          </wp:inline>
        </w:drawing>
      </w:r>
    </w:p>
    <w:p w14:paraId="4CFE4F51" w14:textId="77777777" w:rsidR="00413F31" w:rsidRPr="005064A1" w:rsidRDefault="00413F31" w:rsidP="00413F31">
      <w:pPr>
        <w:rPr>
          <w:sz w:val="20"/>
          <w:szCs w:val="20"/>
        </w:rPr>
      </w:pPr>
      <w:r>
        <w:t>Figure 6. Cross-Domain Annotation Benchmark and Error Anatomy on the Full VAERS Vaccine Safety Corpus Across 11 Concept Categories (N = 1,000 Reports). (a) Per-category performance across all 11 clinical concept categories and overall micro-average for BioBERT (Blue) vs. LLaMA 4 (Pink-Coral), showing F1 bars and precision/recall trajectories. (b) M/C/S/N error distribution for BioBERT vs. LLaMA 4 across the complete corpus. (c) BioBERT top label misclassifications (X-axis: 0–9,500). (d) LLaMA 4 top label misclassifications (X-axis: 0–9,500, aligned with panel c).</w:t>
      </w:r>
    </w:p>
    <w:p w14:paraId="5335B775" w14:textId="77777777" w:rsidR="00CD0715" w:rsidRDefault="00CD0715" w:rsidP="00413F31"/>
    <w:p w14:paraId="4ECBE5F6" w14:textId="77777777" w:rsidR="003C4EB5" w:rsidRDefault="003C4EB5" w:rsidP="00787130">
      <w:pPr>
        <w:pStyle w:val="Heading2"/>
      </w:pPr>
      <w:r>
        <w:t xml:space="preserve">3.6 </w:t>
      </w:r>
      <w:r w:rsidR="00355FD6">
        <w:t>Ablation Studies</w:t>
      </w:r>
    </w:p>
    <w:p w14:paraId="7F41DBC4" w14:textId="77777777" w:rsidR="00303BAD" w:rsidRPr="00303BAD" w:rsidRDefault="00303BAD" w:rsidP="005064A1">
      <w:pPr>
        <w:pStyle w:val="Heading3"/>
      </w:pPr>
      <w:r>
        <w:t xml:space="preserve">Leave-One-Drug-Event-Pair-Out </w:t>
      </w:r>
      <w:r w:rsidR="007B374C">
        <w:t>in BERT</w:t>
      </w:r>
    </w:p>
    <w:p w14:paraId="1C98E065" w14:textId="77777777" w:rsidR="00303BAD" w:rsidRDefault="00303BAD" w:rsidP="00303BAD">
      <w:r>
        <w:t>We applied a repeated Leave-One-Drug-Event-Pair-Out cross-validation protocol on the FAERS corpus to evaluate model generalization across distinct therapeutic contexts on all 17 clinical concept categories. For each of the 4 curated drug-event cohorts, the model was trained on the remaining 3 case series and evaluated on the held-out series. As shown in Table 5, strict exact-match F1 was 0.6002 ± 0.0114 for azacitidine–QT prolongation (N = 200), 0.6367 ± 0.0201 for baricitinib–hypersensitivity (N = 200), 0.5289 ± 0.0093 for tramadol–hypoglycemia (N = 229), and 0.5084 ± 0.0122 for erenumab–stroke (N = 200), yielding a macro-average F1 of 0.5685 ± 0.0080 across folds (0.7463 ± 0.0076 Adapted F1). The between-series performance variance exceeded within-fold variation, demonstrating that narrative complexity and therapeutic vocabulary differences contribute more variation than stochastic model initialization.</w:t>
      </w:r>
    </w:p>
    <w:p w14:paraId="2FE555A3" w14:textId="77777777" w:rsidR="00303BAD" w:rsidRDefault="00303BAD" w:rsidP="00303BAD">
      <w:r>
        <w:t>Table 5. Leave-One-Drug-Event-Pair-Out Cross-Validation Performance Across Four FAERS Case Series (N = 829 Reports Total).</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Drug–Event Case Series</w:t>
            </w:r>
          </w:p>
        </w:tc>
        <w:tc>
          <w:tcPr>
            <w:tcW w:type="dxa" w:w="2160"/>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Cohort Size</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Azacitidine – QT Prolongation</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0.6002 ± 0.0114</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0.7733 ± 0.0092</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Baricitinib – Hypersensitivity</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0.6367 ± 0.0201</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0.7751 ± 0.0128</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Tramadol – Hypoglycemia</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229 reports</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0.5289 ± 0.0093</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0.7242 ± 0.0036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Erenumab – Stroke</w:t>
            </w:r>
          </w:p>
        </w:tc>
        <w:tc>
          <w:tcPr>
            <w:tcW w:type="dxa" w:w="2160"/>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N = 200 reports</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0.5084 ± 0.0122</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0.7126 ± 0.0077</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Macro-Average (All 4 Folds)</w:t>
            </w:r>
          </w:p>
        </w:tc>
        <w:tc>
          <w:tcPr>
            <w:tcW w:type="dxa" w:w="2160"/>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N = 829 reports total</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bl>
    <w:p w14:paraId="46B63671" w14:textId="77777777" w:rsidR="00E50399" w:rsidRPr="00E50399" w:rsidRDefault="00E50399" w:rsidP="005064A1"/>
    <w:p w14:paraId="575363E4" w14:textId="77777777" w:rsidR="00977ABD" w:rsidRDefault="005E7BC1" w:rsidP="00587C00">
      <w:pPr>
        <w:pStyle w:val="Heading3"/>
      </w:pPr>
      <w:r>
        <w:t>Random seed</w:t>
      </w:r>
      <w:r w:rsidR="00BE1A8A">
        <w:t xml:space="preserve"> in BERT Training</w:t>
      </w:r>
    </w:p>
    <w:p w14:paraId="352C0FAD" w14:textId="77777777" w:rsidR="008A16A5" w:rsidRDefault="00BE1A8A" w:rsidP="00BE1A8A">
      <w:r>
        <w:t>To rigorously verify neural network optimization stability, we conducted 5 independent training runs using random initialization seeds (42, 123, 456, 789, 1011) across both FAERS 4-fold LOO (20 total model runs, 17 categories) and VAERS 10-fold CV (50 total model runs). As summarized in Table 6, cross-seed variance was exceptionally low across both datasets. On FAERS, strict F1 averaged 0.5685 ± 0.0080 (0.7463 ± 0.0076 Adapted F1) across the 5 seeds. On VAERS, strict F1 averaged 0.6595 ± 0.0015 (0.7882 ± 0.0022 Adapted F1) across the 5 seeds. These findings confirm that supervised BioBERT convergence is remarkably robust to stochastic weight initialization, with between-series clinical diversity accounting for substantially greater performance variance than random initialization.</w:t>
      </w:r>
    </w:p>
    <w:p w14:paraId="76621E43" w14:textId="77777777" w:rsidR="00723359" w:rsidRDefault="003250B5" w:rsidP="00594F72">
      <w:r>
        <w:t>Table 6. BioBERT Optimization Stability and Performance Invariance Across Five Independent Random Initialization Seeds on FAERS (4-Fold LOO) and VAERS (10-Fold CV).</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340"/>
        <w:gridCol w:w="2340"/>
        <w:gridCol w:w="2340"/>
        <w:gridCol w:w="2340"/>
      </w:tblGrid>
      <w:tr>
        <w:tc>
          <w:tcPr>
            <w:tcW w:type="dxa" w:w="3456"/>
            <w:shd w:fill="F2F4F8"/>
            <w:tcMar>
              <w:top w:w="60" w:type="dxa"/>
              <w:bottom w:w="60" w:type="dxa"/>
              <w:left w:w="90" w:type="dxa"/>
              <w:right w:w="90" w:type="dxa"/>
            </w:tcMar>
            <w:vAlign w:val="center"/>
          </w:tcPr>
          <w:p>
            <w:pPr>
              <w:spacing w:before="30" w:after="30"/>
              <w:jc w:val="center"/>
            </w:pPr>
            <w:r/>
            <w:r>
              <w:rPr>
                <w:rFonts w:ascii="Arial" w:hAnsi="Arial"/>
                <w:b/>
                <w:color w:val="111111"/>
                <w:sz w:val="16"/>
              </w:rPr>
              <w:t>Dataset &amp; Evaluation Protocol</w:t>
            </w:r>
          </w:p>
        </w:tc>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Random Seed</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Primary Tier: Strict Exact F1</w:t>
            </w:r>
          </w:p>
        </w:tc>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Secondary Tier: Adapted ADE F1</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0.5582 ± 0.0649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0.7431 ± 0.0295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0.5652 ± 0.0509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0.7402 ± 0.0293</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0.5783 ± 0.0697</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0.7586 ± 0.0355</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0.5662 ± 0.0476</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0.7413 ± 0.0324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FAERS (4-Fold LOO, N = 829)</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0.5748 ± 0.0694</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0.7484 ± 0.0371</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FAERS (4-Fold LOO,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0.5685 ± 0.0080</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0.7463 ± 0.0076</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42</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0.6594 ± 0.0196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0.7848 ± 0.0127</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123</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0.6601 ± 0.0175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0.7891 ± 0.0104</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456</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0.6593 ± 0.0218</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0.7883 ± 0.0138</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Seed 789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0.6615 ± 0.0159</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0.7907 ± 0.0095</w:t>
            </w:r>
          </w:p>
        </w:tc>
      </w:tr>
      <w:tr>
        <w:tc>
          <w:tcPr>
            <w:tcW w:type="dxa" w:w="3456"/>
            <w:shd w:fill="FFFFFF"/>
            <w:tcMar>
              <w:top w:w="60" w:type="dxa"/>
              <w:bottom w:w="60" w:type="dxa"/>
              <w:left w:w="90" w:type="dxa"/>
              <w:right w:w="90" w:type="dxa"/>
            </w:tcMar>
            <w:vAlign w:val="center"/>
          </w:tcPr>
          <w:p>
            <w:pPr>
              <w:spacing w:before="30" w:after="30"/>
              <w:jc w:val="left"/>
            </w:pPr>
            <w:r/>
            <w:r>
              <w:rPr>
                <w:rFonts w:ascii="Arial" w:hAnsi="Arial"/>
                <w:b/>
                <w:color w:val="222222"/>
                <w:sz w:val="16"/>
              </w:rPr>
              <w:t>VAERS (10-Fold CV, N = 1,000)</w:t>
            </w:r>
          </w:p>
        </w:tc>
        <w:tc>
          <w:tcPr>
            <w:tcW w:type="dxa" w:w="2304"/>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Seed 1011</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0.6574 ± 0.0169</w:t>
            </w:r>
          </w:p>
        </w:tc>
        <w:tc>
          <w:tcPr>
            <w:tcW w:type="dxa" w:w="259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0.7879 ± 0.0106</w:t>
            </w:r>
          </w:p>
        </w:tc>
      </w:tr>
      <w:tr>
        <w:tc>
          <w:tcPr>
            <w:tcW w:type="dxa" w:w="3456"/>
            <w:shd w:fill="FBFBFB"/>
            <w:tcMar>
              <w:top w:w="60" w:type="dxa"/>
              <w:bottom w:w="60" w:type="dxa"/>
              <w:left w:w="90" w:type="dxa"/>
              <w:right w:w="90" w:type="dxa"/>
            </w:tcMar>
            <w:vAlign w:val="center"/>
          </w:tcPr>
          <w:p>
            <w:pPr>
              <w:spacing w:before="30" w:after="30"/>
              <w:jc w:val="left"/>
            </w:pPr>
            <w:r/>
            <w:r>
              <w:rPr>
                <w:rFonts w:ascii="Arial" w:hAnsi="Arial"/>
                <w:b/>
                <w:color w:val="222222"/>
                <w:sz w:val="16"/>
              </w:rPr>
              <w:t>VAERS (10-Fold CV, Pooled)</w:t>
            </w:r>
          </w:p>
        </w:tc>
        <w:tc>
          <w:tcPr>
            <w:tcW w:type="dxa" w:w="2304"/>
            <w:shd w:fill="FBFBFB"/>
            <w:tcMar>
              <w:top w:w="60" w:type="dxa"/>
              <w:bottom w:w="60" w:type="dxa"/>
              <w:left w:w="90" w:type="dxa"/>
              <w:right w:w="90" w:type="dxa"/>
            </w:tcMar>
            <w:vAlign w:val="center"/>
          </w:tcPr>
          <w:p>
            <w:pPr>
              <w:spacing w:before="30" w:after="30"/>
              <w:jc w:val="center"/>
            </w:pPr>
            <w:r/>
            <w:r>
              <w:rPr>
                <w:rFonts w:ascii="Arial" w:hAnsi="Arial"/>
                <w:b/>
                <w:color w:val="222222"/>
                <w:sz w:val="16"/>
              </w:rPr>
              <w:t>Mean ± SD (5 Seeds)</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0.6595 ± 0.0015</w:t>
            </w:r>
          </w:p>
        </w:tc>
        <w:tc>
          <w:tcPr>
            <w:tcW w:type="dxa" w:w="259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0.7882 ± 0.0022</w:t>
            </w:r>
          </w:p>
        </w:tc>
      </w:tr>
    </w:tbl>
    <w:p w14:paraId="5CA0D62B" w14:textId="77777777" w:rsidR="008A16A5" w:rsidRDefault="008A16A5" w:rsidP="00BE1A8A"/>
    <w:p w14:paraId="21451B98" w14:textId="77777777" w:rsidR="00BE1A8A" w:rsidRPr="00BE1A8A" w:rsidRDefault="008A16A5" w:rsidP="005064A1">
      <w:pPr>
        <w:pStyle w:val="Heading3"/>
      </w:pPr>
      <w:r>
        <w:t xml:space="preserve">LLM Output Format Impact </w:t>
      </w:r>
    </w:p>
    <w:p w14:paraId="7340663D" w14:textId="77777777" w:rsidR="00355FD6" w:rsidRDefault="008A16A5" w:rsidP="00413F31">
      <w:r>
        <w:t>We investigated whether the output representation paradigm impacts generative LLM extraction fidelity. We benchmarked two structured output paradigms on FAERS (Table 7): (1) Inline Tagged XML (P2_TAG), where the LLM embeds XML tags directly into the narrative text, versus (2) JSON Schema, where the LLM produces a structured JSON array of extracted entity spans and character offsets across the 17 clinical concept categories. The inline XML tagging approach achieved higher adapted ADE F1 (0.6249 vs. 0.5995) and higher recall (0.5796 vs. 0.5232) with a 100.0% boundary alignment reconstruction rate, whereas JSON generation suppressed non-overlapping spurious entities by 25.9% (yielding higher strict precision, 0.3785 vs. 0.3470) but suffered from a 6.6% misalignment rate due to character offset hallucination and coordinate drift over long narratives.</w:t>
      </w:r>
    </w:p>
    <w:p w14:paraId="089F3211" w14:textId="77777777" w:rsidR="00EF6AE3" w:rsidRPr="00C926B1" w:rsidRDefault="00EF6AE3" w:rsidP="00413F31">
      <w:pPr>
        <w:rPr>
          <w:sz w:val="20"/>
          <w:szCs w:val="20"/>
        </w:rPr>
      </w:pPr>
      <w:r>
        <w:t>Table 7. Impact of LLM Output Format Paradigm (Inline Tagged XML vs. Structured JSON Schema Offsets) on Entity Extraction and Offset Alignment.</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304"/>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w:t>
            </w:r>
          </w:p>
        </w:tc>
        <w:tc>
          <w:tcPr>
            <w:tcW w:type="dxa" w:w="3312"/>
            <w:shd w:fill="F2F4F8"/>
            <w:tcMar>
              <w:top w:w="60" w:type="dxa"/>
              <w:bottom w:w="60" w:type="dxa"/>
              <w:left w:w="90" w:type="dxa"/>
              <w:right w:w="90" w:type="dxa"/>
            </w:tcMar>
            <w:vAlign w:val="center"/>
          </w:tcPr>
          <w:p>
            <w:pPr>
              <w:spacing w:before="30" w:after="30"/>
              <w:jc w:val="center"/>
            </w:pPr>
            <w:r/>
            <w:r>
              <w:rPr>
                <w:rFonts w:ascii="Arial" w:hAnsi="Arial"/>
                <w:b/>
                <w:color w:val="111111"/>
                <w:sz w:val="16"/>
              </w:rPr>
              <w:t>Prompt Strategy &amp; Output Paradigm</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Strict Exact-Match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Adapted ADE-Eval F1</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Boundary Alignment Success</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0.4043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0.6249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r>
        <w:tc>
          <w:tcPr>
            <w:tcW w:type="dxa" w:w="2304"/>
            <w:shd w:fill="FBFBFB"/>
            <w:tcMar>
              <w:top w:w="60" w:type="dxa"/>
              <w:bottom w:w="60" w:type="dxa"/>
              <w:left w:w="90" w:type="dxa"/>
              <w:right w:w="90" w:type="dxa"/>
            </w:tcMar>
            <w:vAlign w:val="center"/>
          </w:tcPr>
          <w:p>
            <w:pPr>
              <w:spacing w:before="30" w:after="30"/>
              <w:jc w:val="left"/>
            </w:pPr>
            <w:r/>
            <w:r>
              <w:rPr>
                <w:rFonts w:ascii="Arial" w:hAnsi="Arial"/>
                <w:b/>
                <w:color w:val="222222"/>
                <w:sz w:val="16"/>
              </w:rPr>
              <w:t>LLaMA 4 (1-shot)</w:t>
            </w:r>
          </w:p>
        </w:tc>
        <w:tc>
          <w:tcPr>
            <w:tcW w:type="dxa" w:w="3312"/>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JSON Schema (Structured Span Offsets)</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0.4071</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0.5995</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93.4%</w:t>
            </w:r>
          </w:p>
        </w:tc>
      </w:tr>
      <w:tr>
        <w:tc>
          <w:tcPr>
            <w:tcW w:type="dxa" w:w="2304"/>
            <w:shd w:fill="FFFFFF"/>
            <w:tcMar>
              <w:top w:w="60" w:type="dxa"/>
              <w:bottom w:w="60" w:type="dxa"/>
              <w:left w:w="90" w:type="dxa"/>
              <w:right w:w="90" w:type="dxa"/>
            </w:tcMar>
            <w:vAlign w:val="center"/>
          </w:tcPr>
          <w:p>
            <w:pPr>
              <w:spacing w:before="30" w:after="30"/>
              <w:jc w:val="left"/>
            </w:pPr>
            <w:r/>
            <w:r>
              <w:rPr>
                <w:rFonts w:ascii="Arial" w:hAnsi="Arial"/>
                <w:b/>
                <w:color w:val="222222"/>
                <w:sz w:val="16"/>
              </w:rPr>
              <w:t>Claude 4.6 Sonnet (1-shot)</w:t>
            </w:r>
          </w:p>
        </w:tc>
        <w:tc>
          <w:tcPr>
            <w:tcW w:type="dxa" w:w="3312"/>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Inline Tagged XML (P2_TAG)</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0.4667</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0.6443</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100.0%</w:t>
            </w:r>
          </w:p>
        </w:tc>
      </w:tr>
    </w:tbl>
    <w:p w14:paraId="44230C29" w14:textId="77777777" w:rsidR="00C96FE9" w:rsidRDefault="00C96FE9" w:rsidP="00C96FE9">
      <w:pPr>
        <w:pStyle w:val="Heading3"/>
      </w:pPr>
    </w:p>
    <w:p w14:paraId="0F966706" w14:textId="77777777" w:rsidR="00C96FE9" w:rsidRDefault="00C96FE9" w:rsidP="00C96FE9">
      <w:pPr>
        <w:pStyle w:val="Heading3"/>
      </w:pPr>
      <w:r>
        <w:t>Pretrained Transformer Encoder Architecture Ablation</w:t>
      </w:r>
    </w:p>
    <w:p w14:paraId="17FB1AC3" w14:textId="77777777" w:rsidR="00C96FE9" w:rsidRDefault="00C96FE9" w:rsidP="00C96FE9">
      <w:pPr>
        <w:rPr>
          <w:lang w:eastAsia="zh-CN"/>
        </w:rPr>
      </w:pPr>
      <w:r>
        <w:t>To investigate the impact of underlying pretraining corpora on pharmacovigilance concept extraction, we conducted an ablation study comparing four transformer encoder architectures (BERT-Base, BioBERT, Bio_ClinicalBERT, and ClinicalBERT) on the VAERS dataset across 5 independent random initialization seeds (Table 8). BioBERT achieved the highest validation F1 (0.8471 ± 0.0058, Precision = 0.8666, Recall = 0.8285), confirming its selection as the primary encoder architecture. All four models demonstrated close performance with minimal variance across seeds (SD &lt; 0.009).</w:t>
      </w:r>
    </w:p>
    <w:p w14:paraId="173E6C8E" w14:textId="77777777" w:rsidR="00C96FE9" w:rsidRDefault="00C96FE9" w:rsidP="00C96FE9">
      <w:pPr>
        <w:spacing w:before="120" w:after="60"/>
      </w:pPr>
      <w:r>
        <w:t>Table 8. Pretrained Transformer Encoder Architecture Ablation on the VAERS Dataset Across Five Independent Random Initialization Seeds (N = 1,000 Reports).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72"/>
        <w:gridCol w:w="1872"/>
        <w:gridCol w:w="1872"/>
        <w:gridCol w:w="1872"/>
        <w:gridCol w:w="1872"/>
      </w:tblGrid>
      <w:tr>
        <w:tc>
          <w:tcPr>
            <w:tcW w:type="dxa" w:w="2592"/>
            <w:shd w:fill="F2F4F8"/>
            <w:tcMar>
              <w:top w:w="60" w:type="dxa"/>
              <w:bottom w:w="60" w:type="dxa"/>
              <w:left w:w="90" w:type="dxa"/>
              <w:right w:w="90" w:type="dxa"/>
            </w:tcMar>
            <w:vAlign w:val="center"/>
          </w:tcPr>
          <w:p>
            <w:pPr>
              <w:spacing w:before="30" w:after="30"/>
              <w:jc w:val="center"/>
            </w:pPr>
            <w:r/>
            <w:r>
              <w:rPr>
                <w:rFonts w:ascii="Arial" w:hAnsi="Arial"/>
                <w:b/>
                <w:color w:val="111111"/>
                <w:sz w:val="16"/>
              </w:rPr>
              <w:t>Model Architecture</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F1 (Mean ± SD)</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Precision</w:t>
            </w:r>
          </w:p>
        </w:tc>
        <w:tc>
          <w:tcPr>
            <w:tcW w:type="dxa" w:w="2016"/>
            <w:shd w:fill="F2F4F8"/>
            <w:tcMar>
              <w:top w:w="60" w:type="dxa"/>
              <w:bottom w:w="60" w:type="dxa"/>
              <w:left w:w="90" w:type="dxa"/>
              <w:right w:w="90" w:type="dxa"/>
            </w:tcMar>
            <w:vAlign w:val="center"/>
          </w:tcPr>
          <w:p>
            <w:pPr>
              <w:spacing w:before="30" w:after="30"/>
              <w:jc w:val="center"/>
            </w:pPr>
            <w:r/>
            <w:r>
              <w:rPr>
                <w:rFonts w:ascii="Arial" w:hAnsi="Arial"/>
                <w:b/>
                <w:color w:val="111111"/>
                <w:sz w:val="16"/>
              </w:rPr>
              <w:t>Validation Recall</w:t>
            </w:r>
          </w:p>
        </w:tc>
        <w:tc>
          <w:tcPr>
            <w:tcW w:type="dxa" w:w="1728"/>
            <w:shd w:fill="F2F4F8"/>
            <w:tcMar>
              <w:top w:w="60" w:type="dxa"/>
              <w:bottom w:w="60" w:type="dxa"/>
              <w:left w:w="90" w:type="dxa"/>
              <w:right w:w="90" w:type="dxa"/>
            </w:tcMar>
            <w:vAlign w:val="center"/>
          </w:tcPr>
          <w:p>
            <w:pPr>
              <w:spacing w:before="30" w:after="30"/>
              <w:jc w:val="center"/>
            </w:pPr>
            <w:r/>
            <w:r>
              <w:rPr>
                <w:rFonts w:ascii="Arial" w:hAnsi="Arial"/>
                <w:b/>
                <w:color w:val="111111"/>
                <w:sz w:val="16"/>
              </w:rPr>
              <w:t>Clinical Score</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BioBERT v1.1</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0.8471 ± 0.0058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0.8666 ± 0.0048</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0.8285 ± 0.0089</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0.8500 ± 0.0071</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Bio_ClinicalBERT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0.8433 ± 0.0070</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0.8610 ± 0.0078</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0.8264 ± 0.0104</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0.8440 ± 0.0055</w:t>
            </w:r>
          </w:p>
        </w:tc>
      </w:tr>
      <w:tr>
        <w:tc>
          <w:tcPr>
            <w:tcW w:type="dxa" w:w="2592"/>
            <w:shd w:fill="FFFFFF"/>
            <w:tcMar>
              <w:top w:w="60" w:type="dxa"/>
              <w:bottom w:w="60" w:type="dxa"/>
              <w:left w:w="90" w:type="dxa"/>
              <w:right w:w="90" w:type="dxa"/>
            </w:tcMar>
            <w:vAlign w:val="center"/>
          </w:tcPr>
          <w:p>
            <w:pPr>
              <w:spacing w:before="30" w:after="30"/>
              <w:jc w:val="left"/>
            </w:pPr>
            <w:r/>
            <w:r>
              <w:rPr>
                <w:rFonts w:ascii="Arial" w:hAnsi="Arial"/>
                <w:b/>
                <w:color w:val="222222"/>
                <w:sz w:val="16"/>
              </w:rPr>
              <w:t>BERT-Base</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0.8382 ± 0.0047</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0.8596 ± 0.0055</w:t>
            </w:r>
          </w:p>
        </w:tc>
        <w:tc>
          <w:tcPr>
            <w:tcW w:type="dxa" w:w="2016"/>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0.8179 ± 0.0061</w:t>
            </w:r>
          </w:p>
        </w:tc>
        <w:tc>
          <w:tcPr>
            <w:tcW w:type="dxa" w:w="1728"/>
            <w:shd w:fill="FFFFFF"/>
            <w:tcMar>
              <w:top w:w="60" w:type="dxa"/>
              <w:bottom w:w="60" w:type="dxa"/>
              <w:left w:w="90" w:type="dxa"/>
              <w:right w:w="90" w:type="dxa"/>
            </w:tcMar>
            <w:vAlign w:val="center"/>
          </w:tcPr>
          <w:p>
            <w:pPr>
              <w:spacing w:before="30" w:after="30"/>
              <w:jc w:val="center"/>
            </w:pPr>
            <w:r/>
            <w:r>
              <w:rPr>
                <w:rFonts w:ascii="Arial" w:hAnsi="Arial"/>
                <w:b w:val="0"/>
                <w:color w:val="222222"/>
                <w:sz w:val="16"/>
              </w:rPr>
              <w:t>0.8420 ± 0.0045</w:t>
            </w:r>
          </w:p>
        </w:tc>
      </w:tr>
      <w:tr>
        <w:tc>
          <w:tcPr>
            <w:tcW w:type="dxa" w:w="2592"/>
            <w:shd w:fill="FBFBFB"/>
            <w:tcMar>
              <w:top w:w="60" w:type="dxa"/>
              <w:bottom w:w="60" w:type="dxa"/>
              <w:left w:w="90" w:type="dxa"/>
              <w:right w:w="90" w:type="dxa"/>
            </w:tcMar>
            <w:vAlign w:val="center"/>
          </w:tcPr>
          <w:p>
            <w:pPr>
              <w:spacing w:before="30" w:after="30"/>
              <w:jc w:val="left"/>
            </w:pPr>
            <w:r/>
            <w:r>
              <w:rPr>
                <w:rFonts w:ascii="Arial" w:hAnsi="Arial"/>
                <w:b/>
                <w:color w:val="222222"/>
                <w:sz w:val="16"/>
              </w:rPr>
              <w:t>ClinicalBERT</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0.8369 ± 0.0086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0.8615 ± 0.0106</w:t>
            </w:r>
          </w:p>
        </w:tc>
        <w:tc>
          <w:tcPr>
            <w:tcW w:type="dxa" w:w="2016"/>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0.8140 ± 0.0167</w:t>
            </w:r>
          </w:p>
        </w:tc>
        <w:tc>
          <w:tcPr>
            <w:tcW w:type="dxa" w:w="1728"/>
            <w:shd w:fill="FBFBFB"/>
            <w:tcMar>
              <w:top w:w="60" w:type="dxa"/>
              <w:bottom w:w="60" w:type="dxa"/>
              <w:left w:w="90" w:type="dxa"/>
              <w:right w:w="90" w:type="dxa"/>
            </w:tcMar>
            <w:vAlign w:val="center"/>
          </w:tcPr>
          <w:p>
            <w:pPr>
              <w:spacing w:before="30" w:after="30"/>
              <w:jc w:val="center"/>
            </w:pPr>
            <w:r/>
            <w:r>
              <w:rPr>
                <w:rFonts w:ascii="Arial" w:hAnsi="Arial"/>
                <w:b w:val="0"/>
                <w:color w:val="222222"/>
                <w:sz w:val="16"/>
              </w:rPr>
              <w:t>0.8400 ± 0.0071</w:t>
            </w:r>
          </w:p>
        </w:tc>
      </w:tr>
    </w:tbl>
    <w:p w14:paraId="1B11FF29" w14:textId="77777777" w:rsidR="00C96FE9" w:rsidRDefault="00C96FE9" w:rsidP="00C96FE9"/>
    <w:p w14:paraId="1C767F0B" w14:textId="77777777" w:rsidR="00C96FE9" w:rsidRDefault="00C96FE9" w:rsidP="007D319B">
      <w:pPr>
        <w:pStyle w:val="Heading1"/>
      </w:pPr>
    </w:p>
    <w:p w14:paraId="08F496DA" w14:textId="7777777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A4BD21C" w14:textId="77777777"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39C83664" w14:textId="77777777" w:rsidR="00443EF3" w:rsidRPr="00443EF3" w:rsidRDefault="00EC3536" w:rsidP="00443EF3">
      <w:r>
        <w:t xml:space="preserve">In this study, </w:t>
      </w:r>
      <w:r w:rsidR="00443EF3" w:rsidRPr="00443EF3">
        <w:t xml:space="preserve">we </w:t>
      </w:r>
      <w:r w:rsidR="00D14FE6">
        <w:t>observed</w:t>
      </w:r>
      <w:r w:rsidR="00443EF3" w:rsidRPr="00443EF3">
        <w:t xml:space="preserve"> that a </w:t>
      </w:r>
      <w:r w:rsidR="0042579B">
        <w:t>few</w:t>
      </w:r>
      <w:r w:rsidR="00443EF3" w:rsidRPr="00443EF3">
        <w:t xml:space="preserve">-shot,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 xml:space="preserve">supervised BERT model trained on high-quality annotations achieved consistently higher overall performance across both FAERS and VAERS datasets, with especially large gains for context-dependent categories such as STATUS, HX, and laboratory and diagnostic entities. </w:t>
      </w:r>
      <w:r w:rsidR="00443EF3" w:rsidRPr="00443EF3">
        <w:lastRenderedPageBreak/>
        <w:t>These findings reinforce the value of domain-specific supervised models for structured extraction tasks.</w:t>
      </w:r>
    </w:p>
    <w:p w14:paraId="50DB7956" w14:textId="77777777" w:rsidR="6D769565" w:rsidRDefault="35D5FCA7">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p>
    <w:p w14:paraId="0ECABE5F" w14:textId="77777777"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2F60C18"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043AB66F"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5B757F43" w14:textId="77777777" w:rsidR="00443EF3" w:rsidRPr="00443EF3" w:rsidRDefault="00443EF3" w:rsidP="00443EF3">
      <w:r w:rsidRPr="00443EF3">
        <w:lastRenderedPageBreak/>
        <w:t xml:space="preserve">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t>
      </w:r>
      <w:proofErr w:type="gramStart"/>
      <w:r w:rsidRPr="00443EF3">
        <w:t>where</w:t>
      </w:r>
      <w:proofErr w:type="gramEnd"/>
      <w:r w:rsidRPr="00443EF3">
        <w:t xml:space="preserve"> additional training data, refined guidelines, or specialized modeling approaches may further improve performance.</w:t>
      </w:r>
    </w:p>
    <w:p w14:paraId="45A01D5C" w14:textId="77777777"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2A931B1B" w14:textId="77777777"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688395A0" w14:textId="77777777" w:rsidR="00A66DFF" w:rsidRPr="00C65167" w:rsidRDefault="00A66DFF" w:rsidP="00A66DFF">
      <w:pPr>
        <w:pStyle w:val="Heading1"/>
      </w:pPr>
      <w:r w:rsidRPr="00AB1D9A">
        <w:t>Acknowledgement</w:t>
      </w:r>
    </w:p>
    <w:p w14:paraId="1B100B85" w14:textId="77777777"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5196B279"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1D49BEE6"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312D4975" w14:textId="77777777" w:rsidR="00A66DFF" w:rsidRDefault="00A66DFF" w:rsidP="00A66DFF">
      <w:pPr>
        <w:pStyle w:val="Heading1"/>
      </w:pPr>
      <w:r w:rsidRPr="003548A8">
        <w:lastRenderedPageBreak/>
        <w:t>Declarations</w:t>
      </w:r>
    </w:p>
    <w:p w14:paraId="3167E76B" w14:textId="77777777" w:rsidR="00A66DFF" w:rsidRDefault="00A66DFF" w:rsidP="00A66DFF">
      <w:pPr>
        <w:pStyle w:val="Heading2"/>
        <w:rPr>
          <w:shd w:val="clear" w:color="auto" w:fill="FFFFFF"/>
        </w:rPr>
      </w:pPr>
      <w:r>
        <w:rPr>
          <w:shd w:val="clear" w:color="auto" w:fill="FFFFFF"/>
        </w:rPr>
        <w:t>Funding</w:t>
      </w:r>
    </w:p>
    <w:p w14:paraId="7A25CC82" w14:textId="77777777" w:rsidR="00A66DFF" w:rsidRDefault="00A66DFF" w:rsidP="00A66DFF">
      <w:pPr>
        <w:rPr>
          <w:shd w:val="clear" w:color="auto" w:fill="FFFFFF"/>
        </w:rPr>
      </w:pPr>
      <w:r w:rsidRPr="00296BF7">
        <w:t>This work was funded by the U.S. Food and Drug Administration</w:t>
      </w:r>
      <w:r>
        <w:t xml:space="preserve">. </w:t>
      </w:r>
    </w:p>
    <w:p w14:paraId="172392DC"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4AC5D0AC"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21E32CA7" w14:textId="77777777" w:rsidR="00A66DFF" w:rsidRDefault="00A66DFF" w:rsidP="00A66DFF">
      <w:pPr>
        <w:pStyle w:val="Heading2"/>
        <w:rPr>
          <w:shd w:val="clear" w:color="auto" w:fill="FFFFFF"/>
        </w:rPr>
      </w:pPr>
      <w:r>
        <w:rPr>
          <w:shd w:val="clear" w:color="auto" w:fill="FFFFFF"/>
        </w:rPr>
        <w:t>Ethics approval</w:t>
      </w:r>
    </w:p>
    <w:p w14:paraId="2334D82A" w14:textId="77777777" w:rsidR="00A66DFF" w:rsidRDefault="00A66DFF" w:rsidP="00A66DFF">
      <w:pPr>
        <w:rPr>
          <w:shd w:val="clear" w:color="auto" w:fill="FFFFFF"/>
        </w:rPr>
      </w:pPr>
      <w:r>
        <w:rPr>
          <w:shd w:val="clear" w:color="auto" w:fill="FFFFFF"/>
        </w:rPr>
        <w:t>Not Applicable</w:t>
      </w:r>
    </w:p>
    <w:p w14:paraId="3D558066" w14:textId="77777777" w:rsidR="00A66DFF" w:rsidRDefault="00A66DFF" w:rsidP="00A66DFF">
      <w:pPr>
        <w:pStyle w:val="Heading2"/>
        <w:rPr>
          <w:shd w:val="clear" w:color="auto" w:fill="FFFFFF"/>
        </w:rPr>
      </w:pPr>
      <w:r>
        <w:rPr>
          <w:shd w:val="clear" w:color="auto" w:fill="FFFFFF"/>
        </w:rPr>
        <w:t>Consent to participate</w:t>
      </w:r>
    </w:p>
    <w:p w14:paraId="142BAB4A" w14:textId="77777777" w:rsidR="00A66DFF" w:rsidRPr="000532EA" w:rsidRDefault="00A66DFF" w:rsidP="00A66DFF">
      <w:pPr>
        <w:rPr>
          <w:shd w:val="clear" w:color="auto" w:fill="FFFFFF"/>
        </w:rPr>
      </w:pPr>
      <w:r>
        <w:t xml:space="preserve">Not </w:t>
      </w:r>
      <w:r>
        <w:rPr>
          <w:shd w:val="clear" w:color="auto" w:fill="FFFFFF"/>
        </w:rPr>
        <w:t>Applicable.</w:t>
      </w:r>
    </w:p>
    <w:p w14:paraId="6A56EE60" w14:textId="77777777" w:rsidR="00A66DFF" w:rsidRDefault="00A66DFF" w:rsidP="00A66DFF">
      <w:pPr>
        <w:pStyle w:val="Heading2"/>
        <w:rPr>
          <w:shd w:val="clear" w:color="auto" w:fill="FFFFFF"/>
        </w:rPr>
      </w:pPr>
      <w:r>
        <w:rPr>
          <w:shd w:val="clear" w:color="auto" w:fill="FFFFFF"/>
        </w:rPr>
        <w:t>Consent for publication</w:t>
      </w:r>
    </w:p>
    <w:p w14:paraId="2403D76E" w14:textId="77777777" w:rsidR="00A66DFF" w:rsidRPr="000532EA" w:rsidRDefault="00A66DFF" w:rsidP="00A66DFF">
      <w:pPr>
        <w:rPr>
          <w:shd w:val="clear" w:color="auto" w:fill="FFFFFF"/>
        </w:rPr>
      </w:pPr>
      <w:r>
        <w:rPr>
          <w:shd w:val="clear" w:color="auto" w:fill="FFFFFF"/>
        </w:rPr>
        <w:t>Not Applicable.</w:t>
      </w:r>
    </w:p>
    <w:p w14:paraId="426C68C8" w14:textId="77777777" w:rsidR="00A66DFF" w:rsidRDefault="00A66DFF" w:rsidP="00A66DFF">
      <w:pPr>
        <w:pStyle w:val="Heading2"/>
        <w:rPr>
          <w:shd w:val="clear" w:color="auto" w:fill="FFFFFF"/>
        </w:rPr>
      </w:pPr>
      <w:r>
        <w:rPr>
          <w:shd w:val="clear" w:color="auto" w:fill="FFFFFF"/>
        </w:rPr>
        <w:t>Availability of data and materials</w:t>
      </w:r>
    </w:p>
    <w:p w14:paraId="53FCA7FB" w14:textId="77777777"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1EC53488" w14:textId="77777777" w:rsidR="00A66DFF" w:rsidRDefault="00A66DFF" w:rsidP="00A66DFF">
      <w:pPr>
        <w:pStyle w:val="Heading2"/>
        <w:rPr>
          <w:shd w:val="clear" w:color="auto" w:fill="FFFFFF"/>
        </w:rPr>
      </w:pPr>
      <w:r>
        <w:rPr>
          <w:shd w:val="clear" w:color="auto" w:fill="FFFFFF"/>
        </w:rPr>
        <w:t>Code availability</w:t>
      </w:r>
    </w:p>
    <w:p w14:paraId="0E7D11E9" w14:textId="77777777"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16"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6F24DC93" w14:textId="77777777" w:rsidR="00A66DFF" w:rsidRDefault="00A66DFF" w:rsidP="00A66DFF">
      <w:pPr>
        <w:pStyle w:val="Heading2"/>
        <w:rPr>
          <w:shd w:val="clear" w:color="auto" w:fill="FFFFFF"/>
        </w:rPr>
      </w:pPr>
      <w:r>
        <w:rPr>
          <w:shd w:val="clear" w:color="auto" w:fill="FFFFFF"/>
        </w:rPr>
        <w:t>Author contributions</w:t>
      </w:r>
    </w:p>
    <w:p w14:paraId="742EF7CC"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48E54BD0" w14:textId="77777777" w:rsidR="00A66DFF" w:rsidRPr="00D11112" w:rsidRDefault="00A66DFF" w:rsidP="00A66DFF"/>
    <w:p w14:paraId="1F9A4A66"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7D24EABE" w14:textId="77777777" w:rsidR="007D319B" w:rsidRDefault="007D319B" w:rsidP="007D319B"/>
    <w:p w14:paraId="0C4E6400" w14:textId="77777777" w:rsidR="00936F00" w:rsidRDefault="00936F00" w:rsidP="00936F00">
      <w:pPr>
        <w:pStyle w:val="Heading1"/>
      </w:pPr>
      <w:r>
        <w:t>Reference</w:t>
      </w:r>
    </w:p>
    <w:p w14:paraId="365F19E9" w14:textId="77777777"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17" w:history="1">
        <w:r w:rsidR="00C04CE9" w:rsidRPr="00C04CE9">
          <w:rPr>
            <w:rStyle w:val="Hyperlink"/>
          </w:rPr>
          <w:t>https://www.fda.gov/drugs/surveillance/fdas-adverse-event-reporting-system-faers</w:t>
        </w:r>
      </w:hyperlink>
      <w:r w:rsidR="00C04CE9" w:rsidRPr="00C04CE9">
        <w:t>.</w:t>
      </w:r>
    </w:p>
    <w:p w14:paraId="7971C52D"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1CA63EC5"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30C2C2F1"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3ABD53F2"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0C4A2DD4"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14CCD95D"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11BB72DF"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5F327D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2EFEA85A"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7A8D5E4E"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1C67DFD5"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5802ADD8"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79D40B89"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56CB7F54"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57E09D65"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5F030A66" w14:textId="77777777" w:rsidR="00C04CE9" w:rsidRPr="00C04CE9" w:rsidRDefault="00C04CE9" w:rsidP="00C04CE9">
      <w:pPr>
        <w:pStyle w:val="EndNoteBibliography"/>
        <w:ind w:left="720" w:hanging="720"/>
      </w:pPr>
      <w:r w:rsidRPr="00C04CE9">
        <w:lastRenderedPageBreak/>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12B2DBAD" w14:textId="77777777" w:rsidR="000079B2" w:rsidRDefault="006434F9" w:rsidP="00623D6A">
      <w:r>
        <w:fldChar w:fldCharType="end"/>
      </w:r>
    </w:p>
    <w:p w14:paraId="72A22F8C" w14:textId="77777777" w:rsidR="00644DF6" w:rsidRDefault="00644DF6" w:rsidP="00623D6A"/>
    <w:p w14:paraId="5306F46F" w14:textId="77777777" w:rsidR="00F70846" w:rsidRDefault="00F70846" w:rsidP="00FF70DA"/>
    <w:sectPr w:rsidR="00F70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0AE9"/>
    <w:rsid w:val="0004157E"/>
    <w:rsid w:val="00042525"/>
    <w:rsid w:val="00045C0D"/>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05F6"/>
    <w:rsid w:val="000810BA"/>
    <w:rsid w:val="00083AE7"/>
    <w:rsid w:val="0008434F"/>
    <w:rsid w:val="00085DF8"/>
    <w:rsid w:val="00086FAD"/>
    <w:rsid w:val="0008720F"/>
    <w:rsid w:val="00090ED0"/>
    <w:rsid w:val="0009328A"/>
    <w:rsid w:val="00093485"/>
    <w:rsid w:val="000934EB"/>
    <w:rsid w:val="00094725"/>
    <w:rsid w:val="0009490B"/>
    <w:rsid w:val="00096D1F"/>
    <w:rsid w:val="000A022B"/>
    <w:rsid w:val="000A1F01"/>
    <w:rsid w:val="000A5073"/>
    <w:rsid w:val="000A53DD"/>
    <w:rsid w:val="000A5D18"/>
    <w:rsid w:val="000A5E0D"/>
    <w:rsid w:val="000A7043"/>
    <w:rsid w:val="000A73D2"/>
    <w:rsid w:val="000A7577"/>
    <w:rsid w:val="000A7C7C"/>
    <w:rsid w:val="000B0947"/>
    <w:rsid w:val="000B189C"/>
    <w:rsid w:val="000B744E"/>
    <w:rsid w:val="000C4986"/>
    <w:rsid w:val="000C5FA5"/>
    <w:rsid w:val="000C7C3D"/>
    <w:rsid w:val="000D03A5"/>
    <w:rsid w:val="000D0ACB"/>
    <w:rsid w:val="000D466C"/>
    <w:rsid w:val="000E0548"/>
    <w:rsid w:val="000E18B0"/>
    <w:rsid w:val="000E376A"/>
    <w:rsid w:val="000E6BE6"/>
    <w:rsid w:val="000F1436"/>
    <w:rsid w:val="000F1715"/>
    <w:rsid w:val="000F397F"/>
    <w:rsid w:val="00100D2E"/>
    <w:rsid w:val="0010101F"/>
    <w:rsid w:val="0010317B"/>
    <w:rsid w:val="00110983"/>
    <w:rsid w:val="00110C67"/>
    <w:rsid w:val="001146B0"/>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210"/>
    <w:rsid w:val="00146DF6"/>
    <w:rsid w:val="00147084"/>
    <w:rsid w:val="001471C0"/>
    <w:rsid w:val="00147738"/>
    <w:rsid w:val="00147947"/>
    <w:rsid w:val="0015085A"/>
    <w:rsid w:val="00151E99"/>
    <w:rsid w:val="00153150"/>
    <w:rsid w:val="001544E5"/>
    <w:rsid w:val="0015458F"/>
    <w:rsid w:val="001545EB"/>
    <w:rsid w:val="00154D97"/>
    <w:rsid w:val="00155734"/>
    <w:rsid w:val="00155B9B"/>
    <w:rsid w:val="00162FD6"/>
    <w:rsid w:val="00163272"/>
    <w:rsid w:val="001656FD"/>
    <w:rsid w:val="00166564"/>
    <w:rsid w:val="00166D66"/>
    <w:rsid w:val="00170282"/>
    <w:rsid w:val="00171BE6"/>
    <w:rsid w:val="00171D8D"/>
    <w:rsid w:val="001723F3"/>
    <w:rsid w:val="00173186"/>
    <w:rsid w:val="00173F54"/>
    <w:rsid w:val="0017679F"/>
    <w:rsid w:val="0018020E"/>
    <w:rsid w:val="0018289A"/>
    <w:rsid w:val="00182ADC"/>
    <w:rsid w:val="00183AE8"/>
    <w:rsid w:val="00183B09"/>
    <w:rsid w:val="001871F0"/>
    <w:rsid w:val="00187451"/>
    <w:rsid w:val="001902FD"/>
    <w:rsid w:val="00191C4E"/>
    <w:rsid w:val="00191F46"/>
    <w:rsid w:val="00197260"/>
    <w:rsid w:val="001A1E2A"/>
    <w:rsid w:val="001A2BE4"/>
    <w:rsid w:val="001A3C60"/>
    <w:rsid w:val="001A4FB8"/>
    <w:rsid w:val="001A60A2"/>
    <w:rsid w:val="001A6151"/>
    <w:rsid w:val="001A6215"/>
    <w:rsid w:val="001A6E86"/>
    <w:rsid w:val="001B05FD"/>
    <w:rsid w:val="001B362C"/>
    <w:rsid w:val="001B36FA"/>
    <w:rsid w:val="001B457B"/>
    <w:rsid w:val="001B4742"/>
    <w:rsid w:val="001B5DED"/>
    <w:rsid w:val="001B692F"/>
    <w:rsid w:val="001C1FA2"/>
    <w:rsid w:val="001C1FC5"/>
    <w:rsid w:val="001C2C23"/>
    <w:rsid w:val="001C3A74"/>
    <w:rsid w:val="001C79D3"/>
    <w:rsid w:val="001D445C"/>
    <w:rsid w:val="001D673C"/>
    <w:rsid w:val="001D71D2"/>
    <w:rsid w:val="001E2424"/>
    <w:rsid w:val="001E24C1"/>
    <w:rsid w:val="001E299D"/>
    <w:rsid w:val="001E54EC"/>
    <w:rsid w:val="001E55A0"/>
    <w:rsid w:val="001F0ABF"/>
    <w:rsid w:val="001F0D03"/>
    <w:rsid w:val="001F2997"/>
    <w:rsid w:val="001F543E"/>
    <w:rsid w:val="001F64C4"/>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448B4"/>
    <w:rsid w:val="0024723B"/>
    <w:rsid w:val="002511B0"/>
    <w:rsid w:val="0025580A"/>
    <w:rsid w:val="002559AB"/>
    <w:rsid w:val="0025657C"/>
    <w:rsid w:val="002567EE"/>
    <w:rsid w:val="00256A3E"/>
    <w:rsid w:val="002619C1"/>
    <w:rsid w:val="0026304E"/>
    <w:rsid w:val="00263D1C"/>
    <w:rsid w:val="0026543B"/>
    <w:rsid w:val="002708C4"/>
    <w:rsid w:val="00270AB8"/>
    <w:rsid w:val="00275081"/>
    <w:rsid w:val="0027585A"/>
    <w:rsid w:val="00275905"/>
    <w:rsid w:val="00280E6A"/>
    <w:rsid w:val="00281986"/>
    <w:rsid w:val="0028389B"/>
    <w:rsid w:val="00283DAC"/>
    <w:rsid w:val="00283EDA"/>
    <w:rsid w:val="002841AC"/>
    <w:rsid w:val="00285E1F"/>
    <w:rsid w:val="00287705"/>
    <w:rsid w:val="00290263"/>
    <w:rsid w:val="002903CA"/>
    <w:rsid w:val="0029142F"/>
    <w:rsid w:val="00291541"/>
    <w:rsid w:val="002919A9"/>
    <w:rsid w:val="00291D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218E"/>
    <w:rsid w:val="002D3FF4"/>
    <w:rsid w:val="002D71C6"/>
    <w:rsid w:val="002E2163"/>
    <w:rsid w:val="002E2AB9"/>
    <w:rsid w:val="002E2EA5"/>
    <w:rsid w:val="002E2FF1"/>
    <w:rsid w:val="002E34BE"/>
    <w:rsid w:val="002E3C2C"/>
    <w:rsid w:val="002E6DF0"/>
    <w:rsid w:val="002E70EF"/>
    <w:rsid w:val="002E7300"/>
    <w:rsid w:val="002E7C52"/>
    <w:rsid w:val="002E7D0D"/>
    <w:rsid w:val="002F2545"/>
    <w:rsid w:val="002F3436"/>
    <w:rsid w:val="002F4B09"/>
    <w:rsid w:val="002F6718"/>
    <w:rsid w:val="002F7410"/>
    <w:rsid w:val="00300A06"/>
    <w:rsid w:val="00301848"/>
    <w:rsid w:val="00301D42"/>
    <w:rsid w:val="00303366"/>
    <w:rsid w:val="003038A2"/>
    <w:rsid w:val="003039A7"/>
    <w:rsid w:val="00303BAD"/>
    <w:rsid w:val="00304222"/>
    <w:rsid w:val="00304873"/>
    <w:rsid w:val="00305957"/>
    <w:rsid w:val="00305CC6"/>
    <w:rsid w:val="00306AA9"/>
    <w:rsid w:val="00306D43"/>
    <w:rsid w:val="0031132B"/>
    <w:rsid w:val="003122A5"/>
    <w:rsid w:val="00313F76"/>
    <w:rsid w:val="003144FF"/>
    <w:rsid w:val="0032239E"/>
    <w:rsid w:val="003250B5"/>
    <w:rsid w:val="00325804"/>
    <w:rsid w:val="00326ABB"/>
    <w:rsid w:val="003275E6"/>
    <w:rsid w:val="003279DF"/>
    <w:rsid w:val="003300F2"/>
    <w:rsid w:val="00331622"/>
    <w:rsid w:val="003327DF"/>
    <w:rsid w:val="0033590B"/>
    <w:rsid w:val="00335D3C"/>
    <w:rsid w:val="00340600"/>
    <w:rsid w:val="0034182A"/>
    <w:rsid w:val="00341D2D"/>
    <w:rsid w:val="00342097"/>
    <w:rsid w:val="0034223B"/>
    <w:rsid w:val="00342FDA"/>
    <w:rsid w:val="00345728"/>
    <w:rsid w:val="00350003"/>
    <w:rsid w:val="00352B24"/>
    <w:rsid w:val="00353FAE"/>
    <w:rsid w:val="00355779"/>
    <w:rsid w:val="00355FD6"/>
    <w:rsid w:val="0035718A"/>
    <w:rsid w:val="00357AD6"/>
    <w:rsid w:val="00357D49"/>
    <w:rsid w:val="00360D68"/>
    <w:rsid w:val="00363D32"/>
    <w:rsid w:val="003705C2"/>
    <w:rsid w:val="003737AD"/>
    <w:rsid w:val="0037517F"/>
    <w:rsid w:val="00375858"/>
    <w:rsid w:val="00377547"/>
    <w:rsid w:val="003806D8"/>
    <w:rsid w:val="00380B65"/>
    <w:rsid w:val="0038289A"/>
    <w:rsid w:val="00384920"/>
    <w:rsid w:val="00386FC3"/>
    <w:rsid w:val="003911BF"/>
    <w:rsid w:val="00392439"/>
    <w:rsid w:val="00394FC9"/>
    <w:rsid w:val="00396B16"/>
    <w:rsid w:val="00397019"/>
    <w:rsid w:val="00397EF3"/>
    <w:rsid w:val="003A0A39"/>
    <w:rsid w:val="003A22C2"/>
    <w:rsid w:val="003A2F55"/>
    <w:rsid w:val="003A34B1"/>
    <w:rsid w:val="003A4ED6"/>
    <w:rsid w:val="003A5846"/>
    <w:rsid w:val="003A5C54"/>
    <w:rsid w:val="003B39A2"/>
    <w:rsid w:val="003B3AC7"/>
    <w:rsid w:val="003B425E"/>
    <w:rsid w:val="003B7426"/>
    <w:rsid w:val="003C21A6"/>
    <w:rsid w:val="003C2DC8"/>
    <w:rsid w:val="003C3351"/>
    <w:rsid w:val="003C4963"/>
    <w:rsid w:val="003C4EB5"/>
    <w:rsid w:val="003C55D0"/>
    <w:rsid w:val="003C585A"/>
    <w:rsid w:val="003C65A4"/>
    <w:rsid w:val="003C6F37"/>
    <w:rsid w:val="003C70DB"/>
    <w:rsid w:val="003C76A3"/>
    <w:rsid w:val="003D12FA"/>
    <w:rsid w:val="003D27CA"/>
    <w:rsid w:val="003D3825"/>
    <w:rsid w:val="003D3B82"/>
    <w:rsid w:val="003D3E6C"/>
    <w:rsid w:val="003D422D"/>
    <w:rsid w:val="003D5261"/>
    <w:rsid w:val="003D5965"/>
    <w:rsid w:val="003D70AD"/>
    <w:rsid w:val="003E0748"/>
    <w:rsid w:val="003E0825"/>
    <w:rsid w:val="003E4233"/>
    <w:rsid w:val="003E5075"/>
    <w:rsid w:val="003E5282"/>
    <w:rsid w:val="003E5E33"/>
    <w:rsid w:val="003E6792"/>
    <w:rsid w:val="003E6D2D"/>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579B"/>
    <w:rsid w:val="00426F20"/>
    <w:rsid w:val="0043085E"/>
    <w:rsid w:val="00432731"/>
    <w:rsid w:val="004328F1"/>
    <w:rsid w:val="00435030"/>
    <w:rsid w:val="004360EF"/>
    <w:rsid w:val="00436147"/>
    <w:rsid w:val="004405EC"/>
    <w:rsid w:val="00443EF3"/>
    <w:rsid w:val="004448C9"/>
    <w:rsid w:val="0044507A"/>
    <w:rsid w:val="0044556F"/>
    <w:rsid w:val="00446088"/>
    <w:rsid w:val="00446306"/>
    <w:rsid w:val="00447914"/>
    <w:rsid w:val="00447BFD"/>
    <w:rsid w:val="00450170"/>
    <w:rsid w:val="004501D7"/>
    <w:rsid w:val="00450F41"/>
    <w:rsid w:val="0045115B"/>
    <w:rsid w:val="00452AA6"/>
    <w:rsid w:val="0045314C"/>
    <w:rsid w:val="00453317"/>
    <w:rsid w:val="00453E15"/>
    <w:rsid w:val="00453EFE"/>
    <w:rsid w:val="00454AE5"/>
    <w:rsid w:val="0045664E"/>
    <w:rsid w:val="00460459"/>
    <w:rsid w:val="00461026"/>
    <w:rsid w:val="00461BC4"/>
    <w:rsid w:val="004627C4"/>
    <w:rsid w:val="00464E7D"/>
    <w:rsid w:val="0046527A"/>
    <w:rsid w:val="00466CC6"/>
    <w:rsid w:val="004672DD"/>
    <w:rsid w:val="004700A2"/>
    <w:rsid w:val="004700BE"/>
    <w:rsid w:val="0047215C"/>
    <w:rsid w:val="00472A41"/>
    <w:rsid w:val="004730DA"/>
    <w:rsid w:val="004736F3"/>
    <w:rsid w:val="004742F4"/>
    <w:rsid w:val="004756EE"/>
    <w:rsid w:val="004815A7"/>
    <w:rsid w:val="00481C86"/>
    <w:rsid w:val="00482A01"/>
    <w:rsid w:val="0048577A"/>
    <w:rsid w:val="00491279"/>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5476"/>
    <w:rsid w:val="004B7634"/>
    <w:rsid w:val="004C08B3"/>
    <w:rsid w:val="004C0AF5"/>
    <w:rsid w:val="004C663B"/>
    <w:rsid w:val="004D3ADB"/>
    <w:rsid w:val="004D62E2"/>
    <w:rsid w:val="004D6D2F"/>
    <w:rsid w:val="004E2702"/>
    <w:rsid w:val="004E3F2E"/>
    <w:rsid w:val="004E5E27"/>
    <w:rsid w:val="004F006A"/>
    <w:rsid w:val="004F25A2"/>
    <w:rsid w:val="004F304B"/>
    <w:rsid w:val="004F3ADE"/>
    <w:rsid w:val="004F536D"/>
    <w:rsid w:val="004F5F08"/>
    <w:rsid w:val="00502972"/>
    <w:rsid w:val="0050465D"/>
    <w:rsid w:val="00505D10"/>
    <w:rsid w:val="005064A1"/>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1E83"/>
    <w:rsid w:val="00543437"/>
    <w:rsid w:val="005437FA"/>
    <w:rsid w:val="00543F33"/>
    <w:rsid w:val="0054638E"/>
    <w:rsid w:val="00546EFB"/>
    <w:rsid w:val="0054790E"/>
    <w:rsid w:val="005535C4"/>
    <w:rsid w:val="00553984"/>
    <w:rsid w:val="00554743"/>
    <w:rsid w:val="005550DE"/>
    <w:rsid w:val="00555459"/>
    <w:rsid w:val="0055624D"/>
    <w:rsid w:val="00557788"/>
    <w:rsid w:val="005610E9"/>
    <w:rsid w:val="00563D00"/>
    <w:rsid w:val="005653D2"/>
    <w:rsid w:val="00565D44"/>
    <w:rsid w:val="005701F0"/>
    <w:rsid w:val="00571211"/>
    <w:rsid w:val="00571579"/>
    <w:rsid w:val="005721BB"/>
    <w:rsid w:val="00573CA5"/>
    <w:rsid w:val="00574FDE"/>
    <w:rsid w:val="00577354"/>
    <w:rsid w:val="005808E7"/>
    <w:rsid w:val="0058118B"/>
    <w:rsid w:val="005852FF"/>
    <w:rsid w:val="00587C00"/>
    <w:rsid w:val="00590DD0"/>
    <w:rsid w:val="00592C43"/>
    <w:rsid w:val="005944DA"/>
    <w:rsid w:val="00594F72"/>
    <w:rsid w:val="0059584F"/>
    <w:rsid w:val="00595C3A"/>
    <w:rsid w:val="0059664C"/>
    <w:rsid w:val="005A1202"/>
    <w:rsid w:val="005A12BB"/>
    <w:rsid w:val="005A3A86"/>
    <w:rsid w:val="005A6418"/>
    <w:rsid w:val="005A67B0"/>
    <w:rsid w:val="005A6A57"/>
    <w:rsid w:val="005A711E"/>
    <w:rsid w:val="005B25F5"/>
    <w:rsid w:val="005B2B1B"/>
    <w:rsid w:val="005B2DBA"/>
    <w:rsid w:val="005B437A"/>
    <w:rsid w:val="005B53AB"/>
    <w:rsid w:val="005B64F5"/>
    <w:rsid w:val="005C3794"/>
    <w:rsid w:val="005C4CA9"/>
    <w:rsid w:val="005D036A"/>
    <w:rsid w:val="005D05E0"/>
    <w:rsid w:val="005D1815"/>
    <w:rsid w:val="005D506B"/>
    <w:rsid w:val="005D6C61"/>
    <w:rsid w:val="005D7D7B"/>
    <w:rsid w:val="005E1F60"/>
    <w:rsid w:val="005E26F0"/>
    <w:rsid w:val="005E297D"/>
    <w:rsid w:val="005E3787"/>
    <w:rsid w:val="005E44DD"/>
    <w:rsid w:val="005E4E72"/>
    <w:rsid w:val="005E70CE"/>
    <w:rsid w:val="005E7895"/>
    <w:rsid w:val="005E7BC1"/>
    <w:rsid w:val="005F3814"/>
    <w:rsid w:val="005F3970"/>
    <w:rsid w:val="00600416"/>
    <w:rsid w:val="006007CF"/>
    <w:rsid w:val="00600CBF"/>
    <w:rsid w:val="00602F69"/>
    <w:rsid w:val="0060376E"/>
    <w:rsid w:val="00603F11"/>
    <w:rsid w:val="00611331"/>
    <w:rsid w:val="00611870"/>
    <w:rsid w:val="00611A30"/>
    <w:rsid w:val="00612D64"/>
    <w:rsid w:val="006141E3"/>
    <w:rsid w:val="006219EF"/>
    <w:rsid w:val="00621B1A"/>
    <w:rsid w:val="00623D6A"/>
    <w:rsid w:val="006250BA"/>
    <w:rsid w:val="00625D39"/>
    <w:rsid w:val="006262B2"/>
    <w:rsid w:val="0062750A"/>
    <w:rsid w:val="00627C99"/>
    <w:rsid w:val="00627E86"/>
    <w:rsid w:val="006325EA"/>
    <w:rsid w:val="00632D82"/>
    <w:rsid w:val="006341D8"/>
    <w:rsid w:val="006349AE"/>
    <w:rsid w:val="0064029B"/>
    <w:rsid w:val="006434F9"/>
    <w:rsid w:val="00644DF6"/>
    <w:rsid w:val="00645EBB"/>
    <w:rsid w:val="0064673F"/>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A7617"/>
    <w:rsid w:val="006A7874"/>
    <w:rsid w:val="006B33D3"/>
    <w:rsid w:val="006B74B5"/>
    <w:rsid w:val="006C0B31"/>
    <w:rsid w:val="006C143C"/>
    <w:rsid w:val="006C1DFF"/>
    <w:rsid w:val="006C3106"/>
    <w:rsid w:val="006D04FF"/>
    <w:rsid w:val="006D50E5"/>
    <w:rsid w:val="006D6472"/>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359"/>
    <w:rsid w:val="00723704"/>
    <w:rsid w:val="007247DA"/>
    <w:rsid w:val="0072508A"/>
    <w:rsid w:val="007278C6"/>
    <w:rsid w:val="00732614"/>
    <w:rsid w:val="0073558C"/>
    <w:rsid w:val="0073635B"/>
    <w:rsid w:val="00736E23"/>
    <w:rsid w:val="00736F27"/>
    <w:rsid w:val="00737565"/>
    <w:rsid w:val="007441BD"/>
    <w:rsid w:val="00744428"/>
    <w:rsid w:val="0074537C"/>
    <w:rsid w:val="00750398"/>
    <w:rsid w:val="0075247E"/>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130"/>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374C"/>
    <w:rsid w:val="007B4D47"/>
    <w:rsid w:val="007B5162"/>
    <w:rsid w:val="007B677B"/>
    <w:rsid w:val="007B7450"/>
    <w:rsid w:val="007B757F"/>
    <w:rsid w:val="007B771F"/>
    <w:rsid w:val="007C18AB"/>
    <w:rsid w:val="007C1BB9"/>
    <w:rsid w:val="007C3476"/>
    <w:rsid w:val="007C730E"/>
    <w:rsid w:val="007D0D1C"/>
    <w:rsid w:val="007D319B"/>
    <w:rsid w:val="007D4FC9"/>
    <w:rsid w:val="007D5693"/>
    <w:rsid w:val="007D7591"/>
    <w:rsid w:val="007E09FD"/>
    <w:rsid w:val="007E4E7B"/>
    <w:rsid w:val="007E5762"/>
    <w:rsid w:val="007E7C8D"/>
    <w:rsid w:val="007F1978"/>
    <w:rsid w:val="007F3EFB"/>
    <w:rsid w:val="007F439A"/>
    <w:rsid w:val="007F5621"/>
    <w:rsid w:val="007F7D02"/>
    <w:rsid w:val="008011B4"/>
    <w:rsid w:val="00802A4B"/>
    <w:rsid w:val="0080492C"/>
    <w:rsid w:val="008059C5"/>
    <w:rsid w:val="00806606"/>
    <w:rsid w:val="00807104"/>
    <w:rsid w:val="00811D2F"/>
    <w:rsid w:val="00811FCC"/>
    <w:rsid w:val="00812F02"/>
    <w:rsid w:val="0081318F"/>
    <w:rsid w:val="0081329E"/>
    <w:rsid w:val="00813F6F"/>
    <w:rsid w:val="00814A20"/>
    <w:rsid w:val="00815FCB"/>
    <w:rsid w:val="008210EB"/>
    <w:rsid w:val="008220EF"/>
    <w:rsid w:val="00823B01"/>
    <w:rsid w:val="00825B64"/>
    <w:rsid w:val="00827CB2"/>
    <w:rsid w:val="00830D9B"/>
    <w:rsid w:val="00831330"/>
    <w:rsid w:val="008317F5"/>
    <w:rsid w:val="0083594F"/>
    <w:rsid w:val="00835EDD"/>
    <w:rsid w:val="008406B8"/>
    <w:rsid w:val="00840C76"/>
    <w:rsid w:val="00840E0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1950"/>
    <w:rsid w:val="0087239E"/>
    <w:rsid w:val="00873164"/>
    <w:rsid w:val="00873A36"/>
    <w:rsid w:val="00876BEA"/>
    <w:rsid w:val="0087719C"/>
    <w:rsid w:val="00877315"/>
    <w:rsid w:val="008775F6"/>
    <w:rsid w:val="00880294"/>
    <w:rsid w:val="008809FB"/>
    <w:rsid w:val="008820B3"/>
    <w:rsid w:val="00886AAE"/>
    <w:rsid w:val="00886C19"/>
    <w:rsid w:val="00887A80"/>
    <w:rsid w:val="00890D58"/>
    <w:rsid w:val="00891396"/>
    <w:rsid w:val="00894481"/>
    <w:rsid w:val="00894A8B"/>
    <w:rsid w:val="008957E6"/>
    <w:rsid w:val="00896CC9"/>
    <w:rsid w:val="008971C7"/>
    <w:rsid w:val="008A096E"/>
    <w:rsid w:val="008A16A5"/>
    <w:rsid w:val="008A2141"/>
    <w:rsid w:val="008A2820"/>
    <w:rsid w:val="008A33D0"/>
    <w:rsid w:val="008A6017"/>
    <w:rsid w:val="008A621E"/>
    <w:rsid w:val="008B253F"/>
    <w:rsid w:val="008B3CB6"/>
    <w:rsid w:val="008B5759"/>
    <w:rsid w:val="008B6073"/>
    <w:rsid w:val="008B76E5"/>
    <w:rsid w:val="008C1331"/>
    <w:rsid w:val="008C15CD"/>
    <w:rsid w:val="008C16A5"/>
    <w:rsid w:val="008C2D08"/>
    <w:rsid w:val="008C5DAD"/>
    <w:rsid w:val="008C7919"/>
    <w:rsid w:val="008D0C52"/>
    <w:rsid w:val="008D1DBD"/>
    <w:rsid w:val="008D4423"/>
    <w:rsid w:val="008D472B"/>
    <w:rsid w:val="008D4FBC"/>
    <w:rsid w:val="008D5EAC"/>
    <w:rsid w:val="008E12FD"/>
    <w:rsid w:val="008E2EA4"/>
    <w:rsid w:val="008E31B8"/>
    <w:rsid w:val="008E3D93"/>
    <w:rsid w:val="008E3F57"/>
    <w:rsid w:val="008E521A"/>
    <w:rsid w:val="008E6435"/>
    <w:rsid w:val="008F521A"/>
    <w:rsid w:val="008F5687"/>
    <w:rsid w:val="008F68A5"/>
    <w:rsid w:val="008F6D81"/>
    <w:rsid w:val="0090082E"/>
    <w:rsid w:val="009022A6"/>
    <w:rsid w:val="00902525"/>
    <w:rsid w:val="009049BF"/>
    <w:rsid w:val="009051E5"/>
    <w:rsid w:val="009057CE"/>
    <w:rsid w:val="00907954"/>
    <w:rsid w:val="009102DE"/>
    <w:rsid w:val="009103D5"/>
    <w:rsid w:val="009129A4"/>
    <w:rsid w:val="00912F58"/>
    <w:rsid w:val="009133C8"/>
    <w:rsid w:val="00921748"/>
    <w:rsid w:val="0092295B"/>
    <w:rsid w:val="009235EE"/>
    <w:rsid w:val="009242FD"/>
    <w:rsid w:val="00924F71"/>
    <w:rsid w:val="0092557B"/>
    <w:rsid w:val="0093171C"/>
    <w:rsid w:val="00931FE9"/>
    <w:rsid w:val="00933543"/>
    <w:rsid w:val="0093424F"/>
    <w:rsid w:val="00935143"/>
    <w:rsid w:val="009353BE"/>
    <w:rsid w:val="009357B7"/>
    <w:rsid w:val="00936A82"/>
    <w:rsid w:val="00936F00"/>
    <w:rsid w:val="00936F38"/>
    <w:rsid w:val="009377D9"/>
    <w:rsid w:val="00937C38"/>
    <w:rsid w:val="009427AB"/>
    <w:rsid w:val="00942D82"/>
    <w:rsid w:val="009433EC"/>
    <w:rsid w:val="009438BD"/>
    <w:rsid w:val="009445BD"/>
    <w:rsid w:val="00944784"/>
    <w:rsid w:val="00944B33"/>
    <w:rsid w:val="009455C7"/>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67929"/>
    <w:rsid w:val="00967C76"/>
    <w:rsid w:val="00970A18"/>
    <w:rsid w:val="00972C69"/>
    <w:rsid w:val="00975340"/>
    <w:rsid w:val="0097712A"/>
    <w:rsid w:val="00977ABD"/>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1A0"/>
    <w:rsid w:val="009C5438"/>
    <w:rsid w:val="009C607B"/>
    <w:rsid w:val="009C77D0"/>
    <w:rsid w:val="009D01E9"/>
    <w:rsid w:val="009D0F8E"/>
    <w:rsid w:val="009D20BE"/>
    <w:rsid w:val="009D2F27"/>
    <w:rsid w:val="009D30CA"/>
    <w:rsid w:val="009D4EA7"/>
    <w:rsid w:val="009D574D"/>
    <w:rsid w:val="009D6055"/>
    <w:rsid w:val="009E009E"/>
    <w:rsid w:val="009E09BC"/>
    <w:rsid w:val="009E0CB1"/>
    <w:rsid w:val="009E1DE2"/>
    <w:rsid w:val="009E3FAD"/>
    <w:rsid w:val="009E4503"/>
    <w:rsid w:val="009E4974"/>
    <w:rsid w:val="009F00E8"/>
    <w:rsid w:val="009F03E7"/>
    <w:rsid w:val="009F28E6"/>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3B51"/>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5FD4"/>
    <w:rsid w:val="00A56322"/>
    <w:rsid w:val="00A57EF6"/>
    <w:rsid w:val="00A6186E"/>
    <w:rsid w:val="00A64732"/>
    <w:rsid w:val="00A650AC"/>
    <w:rsid w:val="00A655F9"/>
    <w:rsid w:val="00A66DFF"/>
    <w:rsid w:val="00A67BEF"/>
    <w:rsid w:val="00A70787"/>
    <w:rsid w:val="00A709C3"/>
    <w:rsid w:val="00A72A0F"/>
    <w:rsid w:val="00A7420B"/>
    <w:rsid w:val="00A74415"/>
    <w:rsid w:val="00A81E1E"/>
    <w:rsid w:val="00A8375B"/>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2185"/>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9E4"/>
    <w:rsid w:val="00AD0B8F"/>
    <w:rsid w:val="00AD0C4A"/>
    <w:rsid w:val="00AD2CE2"/>
    <w:rsid w:val="00AD3426"/>
    <w:rsid w:val="00AD4F39"/>
    <w:rsid w:val="00AD5A63"/>
    <w:rsid w:val="00AD63F0"/>
    <w:rsid w:val="00AD64CB"/>
    <w:rsid w:val="00AD69A5"/>
    <w:rsid w:val="00AE0A0B"/>
    <w:rsid w:val="00AE21CF"/>
    <w:rsid w:val="00AE3F05"/>
    <w:rsid w:val="00AE4DC0"/>
    <w:rsid w:val="00AE543A"/>
    <w:rsid w:val="00AE74A2"/>
    <w:rsid w:val="00AF10D1"/>
    <w:rsid w:val="00AF2FD9"/>
    <w:rsid w:val="00AF5233"/>
    <w:rsid w:val="00AF5C88"/>
    <w:rsid w:val="00AF75D9"/>
    <w:rsid w:val="00AF7F35"/>
    <w:rsid w:val="00B019D5"/>
    <w:rsid w:val="00B03D89"/>
    <w:rsid w:val="00B0420E"/>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4D9C"/>
    <w:rsid w:val="00B25B30"/>
    <w:rsid w:val="00B27D77"/>
    <w:rsid w:val="00B307D1"/>
    <w:rsid w:val="00B3092F"/>
    <w:rsid w:val="00B33297"/>
    <w:rsid w:val="00B33967"/>
    <w:rsid w:val="00B33A66"/>
    <w:rsid w:val="00B36F3C"/>
    <w:rsid w:val="00B37503"/>
    <w:rsid w:val="00B421D8"/>
    <w:rsid w:val="00B45FB6"/>
    <w:rsid w:val="00B463E1"/>
    <w:rsid w:val="00B46E4A"/>
    <w:rsid w:val="00B473D8"/>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0AD8"/>
    <w:rsid w:val="00BE0CCF"/>
    <w:rsid w:val="00BE13EE"/>
    <w:rsid w:val="00BE1A8A"/>
    <w:rsid w:val="00BE4668"/>
    <w:rsid w:val="00BE4B5B"/>
    <w:rsid w:val="00BE4CE4"/>
    <w:rsid w:val="00BE5166"/>
    <w:rsid w:val="00BE6D64"/>
    <w:rsid w:val="00BE75A9"/>
    <w:rsid w:val="00BF0207"/>
    <w:rsid w:val="00BF0279"/>
    <w:rsid w:val="00BF147A"/>
    <w:rsid w:val="00BF4671"/>
    <w:rsid w:val="00C007C2"/>
    <w:rsid w:val="00C00AAF"/>
    <w:rsid w:val="00C01C54"/>
    <w:rsid w:val="00C01E36"/>
    <w:rsid w:val="00C02601"/>
    <w:rsid w:val="00C026D8"/>
    <w:rsid w:val="00C02A60"/>
    <w:rsid w:val="00C02CA1"/>
    <w:rsid w:val="00C04CE9"/>
    <w:rsid w:val="00C04D3E"/>
    <w:rsid w:val="00C05C07"/>
    <w:rsid w:val="00C07753"/>
    <w:rsid w:val="00C10C08"/>
    <w:rsid w:val="00C117D5"/>
    <w:rsid w:val="00C12024"/>
    <w:rsid w:val="00C1414F"/>
    <w:rsid w:val="00C142B5"/>
    <w:rsid w:val="00C14434"/>
    <w:rsid w:val="00C20936"/>
    <w:rsid w:val="00C211A9"/>
    <w:rsid w:val="00C26F4E"/>
    <w:rsid w:val="00C27DD3"/>
    <w:rsid w:val="00C31354"/>
    <w:rsid w:val="00C32E96"/>
    <w:rsid w:val="00C33738"/>
    <w:rsid w:val="00C33770"/>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0FF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859B3"/>
    <w:rsid w:val="00C90C70"/>
    <w:rsid w:val="00C926B1"/>
    <w:rsid w:val="00C92A4B"/>
    <w:rsid w:val="00C96FE9"/>
    <w:rsid w:val="00C97446"/>
    <w:rsid w:val="00C97867"/>
    <w:rsid w:val="00CA0929"/>
    <w:rsid w:val="00CA0E01"/>
    <w:rsid w:val="00CA262B"/>
    <w:rsid w:val="00CA2BB4"/>
    <w:rsid w:val="00CA3427"/>
    <w:rsid w:val="00CA4727"/>
    <w:rsid w:val="00CA519B"/>
    <w:rsid w:val="00CA5594"/>
    <w:rsid w:val="00CA617A"/>
    <w:rsid w:val="00CA63BA"/>
    <w:rsid w:val="00CB013D"/>
    <w:rsid w:val="00CB130B"/>
    <w:rsid w:val="00CB20F0"/>
    <w:rsid w:val="00CB22DA"/>
    <w:rsid w:val="00CB4997"/>
    <w:rsid w:val="00CB723C"/>
    <w:rsid w:val="00CC1581"/>
    <w:rsid w:val="00CC2879"/>
    <w:rsid w:val="00CC2BA7"/>
    <w:rsid w:val="00CC4DBB"/>
    <w:rsid w:val="00CD06EC"/>
    <w:rsid w:val="00CD0715"/>
    <w:rsid w:val="00CD12A5"/>
    <w:rsid w:val="00CD2F50"/>
    <w:rsid w:val="00CD3EFF"/>
    <w:rsid w:val="00CD4A9A"/>
    <w:rsid w:val="00CD6C34"/>
    <w:rsid w:val="00CD7B71"/>
    <w:rsid w:val="00CE0368"/>
    <w:rsid w:val="00CE0AC4"/>
    <w:rsid w:val="00CE0F11"/>
    <w:rsid w:val="00CE151E"/>
    <w:rsid w:val="00CE170C"/>
    <w:rsid w:val="00CE402D"/>
    <w:rsid w:val="00CE43D1"/>
    <w:rsid w:val="00CE4BC3"/>
    <w:rsid w:val="00CE5956"/>
    <w:rsid w:val="00CE5FA9"/>
    <w:rsid w:val="00CE6AA5"/>
    <w:rsid w:val="00CF0455"/>
    <w:rsid w:val="00CF0DF1"/>
    <w:rsid w:val="00CF0F21"/>
    <w:rsid w:val="00CF22AC"/>
    <w:rsid w:val="00CF24FD"/>
    <w:rsid w:val="00CF3251"/>
    <w:rsid w:val="00CF4EAD"/>
    <w:rsid w:val="00CF7549"/>
    <w:rsid w:val="00CF7BE8"/>
    <w:rsid w:val="00D00673"/>
    <w:rsid w:val="00D017D0"/>
    <w:rsid w:val="00D02538"/>
    <w:rsid w:val="00D02547"/>
    <w:rsid w:val="00D0256D"/>
    <w:rsid w:val="00D02F9C"/>
    <w:rsid w:val="00D03848"/>
    <w:rsid w:val="00D03AB7"/>
    <w:rsid w:val="00D04125"/>
    <w:rsid w:val="00D045C2"/>
    <w:rsid w:val="00D04A20"/>
    <w:rsid w:val="00D07919"/>
    <w:rsid w:val="00D1091A"/>
    <w:rsid w:val="00D11FC8"/>
    <w:rsid w:val="00D12072"/>
    <w:rsid w:val="00D13299"/>
    <w:rsid w:val="00D14FE6"/>
    <w:rsid w:val="00D1553F"/>
    <w:rsid w:val="00D17DE5"/>
    <w:rsid w:val="00D24E7F"/>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64EF"/>
    <w:rsid w:val="00D8739B"/>
    <w:rsid w:val="00D87E23"/>
    <w:rsid w:val="00D91267"/>
    <w:rsid w:val="00D91389"/>
    <w:rsid w:val="00D91B22"/>
    <w:rsid w:val="00D92AF9"/>
    <w:rsid w:val="00D95EF2"/>
    <w:rsid w:val="00D96296"/>
    <w:rsid w:val="00D96560"/>
    <w:rsid w:val="00D9711F"/>
    <w:rsid w:val="00DA1446"/>
    <w:rsid w:val="00DA35CB"/>
    <w:rsid w:val="00DA38DD"/>
    <w:rsid w:val="00DA422B"/>
    <w:rsid w:val="00DA4F30"/>
    <w:rsid w:val="00DA4F3E"/>
    <w:rsid w:val="00DA591F"/>
    <w:rsid w:val="00DA7D3F"/>
    <w:rsid w:val="00DB01CE"/>
    <w:rsid w:val="00DB098F"/>
    <w:rsid w:val="00DB2F2C"/>
    <w:rsid w:val="00DB352C"/>
    <w:rsid w:val="00DB38DD"/>
    <w:rsid w:val="00DB4F70"/>
    <w:rsid w:val="00DB5F0E"/>
    <w:rsid w:val="00DB6031"/>
    <w:rsid w:val="00DC118C"/>
    <w:rsid w:val="00DC1AA8"/>
    <w:rsid w:val="00DC3751"/>
    <w:rsid w:val="00DC3F36"/>
    <w:rsid w:val="00DC55BF"/>
    <w:rsid w:val="00DC5AF7"/>
    <w:rsid w:val="00DC776D"/>
    <w:rsid w:val="00DC7883"/>
    <w:rsid w:val="00DD0E6C"/>
    <w:rsid w:val="00DD345F"/>
    <w:rsid w:val="00DD4A2D"/>
    <w:rsid w:val="00DD689A"/>
    <w:rsid w:val="00DD6EB4"/>
    <w:rsid w:val="00DD7F1F"/>
    <w:rsid w:val="00DE1B06"/>
    <w:rsid w:val="00DE37FF"/>
    <w:rsid w:val="00DE644B"/>
    <w:rsid w:val="00DE7634"/>
    <w:rsid w:val="00DF2076"/>
    <w:rsid w:val="00DF302E"/>
    <w:rsid w:val="00DF3E77"/>
    <w:rsid w:val="00DF5609"/>
    <w:rsid w:val="00DF5DD7"/>
    <w:rsid w:val="00E017EE"/>
    <w:rsid w:val="00E04912"/>
    <w:rsid w:val="00E05C14"/>
    <w:rsid w:val="00E062C3"/>
    <w:rsid w:val="00E068E4"/>
    <w:rsid w:val="00E06D64"/>
    <w:rsid w:val="00E07285"/>
    <w:rsid w:val="00E07D8E"/>
    <w:rsid w:val="00E11747"/>
    <w:rsid w:val="00E1328B"/>
    <w:rsid w:val="00E155D5"/>
    <w:rsid w:val="00E23C60"/>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399"/>
    <w:rsid w:val="00E504F2"/>
    <w:rsid w:val="00E509C4"/>
    <w:rsid w:val="00E5101A"/>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8CC"/>
    <w:rsid w:val="00E929B9"/>
    <w:rsid w:val="00E92C16"/>
    <w:rsid w:val="00E93768"/>
    <w:rsid w:val="00E96352"/>
    <w:rsid w:val="00E97017"/>
    <w:rsid w:val="00EA0ED3"/>
    <w:rsid w:val="00EA2EEF"/>
    <w:rsid w:val="00EA3281"/>
    <w:rsid w:val="00EA4168"/>
    <w:rsid w:val="00EB1258"/>
    <w:rsid w:val="00EB5006"/>
    <w:rsid w:val="00EB59BA"/>
    <w:rsid w:val="00EC0CBC"/>
    <w:rsid w:val="00EC0D10"/>
    <w:rsid w:val="00EC2569"/>
    <w:rsid w:val="00EC3536"/>
    <w:rsid w:val="00EC4E8F"/>
    <w:rsid w:val="00EC543D"/>
    <w:rsid w:val="00EC564F"/>
    <w:rsid w:val="00EC62AA"/>
    <w:rsid w:val="00EC6F1E"/>
    <w:rsid w:val="00ED1417"/>
    <w:rsid w:val="00ED2EE2"/>
    <w:rsid w:val="00ED2FB0"/>
    <w:rsid w:val="00ED3CE9"/>
    <w:rsid w:val="00EE0310"/>
    <w:rsid w:val="00EE1787"/>
    <w:rsid w:val="00EE21E8"/>
    <w:rsid w:val="00EE22E5"/>
    <w:rsid w:val="00EE3273"/>
    <w:rsid w:val="00EF4BD6"/>
    <w:rsid w:val="00EF4E30"/>
    <w:rsid w:val="00EF4E51"/>
    <w:rsid w:val="00EF5966"/>
    <w:rsid w:val="00EF5C7F"/>
    <w:rsid w:val="00EF6048"/>
    <w:rsid w:val="00EF6319"/>
    <w:rsid w:val="00EF63A1"/>
    <w:rsid w:val="00EF6AE3"/>
    <w:rsid w:val="00F02033"/>
    <w:rsid w:val="00F02A52"/>
    <w:rsid w:val="00F05829"/>
    <w:rsid w:val="00F06D96"/>
    <w:rsid w:val="00F072FF"/>
    <w:rsid w:val="00F11CE4"/>
    <w:rsid w:val="00F14618"/>
    <w:rsid w:val="00F15862"/>
    <w:rsid w:val="00F15BDB"/>
    <w:rsid w:val="00F165F9"/>
    <w:rsid w:val="00F167D2"/>
    <w:rsid w:val="00F16CD2"/>
    <w:rsid w:val="00F217F8"/>
    <w:rsid w:val="00F21832"/>
    <w:rsid w:val="00F230EE"/>
    <w:rsid w:val="00F2340A"/>
    <w:rsid w:val="00F24467"/>
    <w:rsid w:val="00F264BF"/>
    <w:rsid w:val="00F316F8"/>
    <w:rsid w:val="00F37A56"/>
    <w:rsid w:val="00F40D30"/>
    <w:rsid w:val="00F4100A"/>
    <w:rsid w:val="00F438A8"/>
    <w:rsid w:val="00F45022"/>
    <w:rsid w:val="00F45A0C"/>
    <w:rsid w:val="00F50184"/>
    <w:rsid w:val="00F52C58"/>
    <w:rsid w:val="00F52ED3"/>
    <w:rsid w:val="00F53C37"/>
    <w:rsid w:val="00F542BE"/>
    <w:rsid w:val="00F55986"/>
    <w:rsid w:val="00F60F88"/>
    <w:rsid w:val="00F61662"/>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0FCE"/>
    <w:rsid w:val="00FA41AA"/>
    <w:rsid w:val="00FA560C"/>
    <w:rsid w:val="00FB0018"/>
    <w:rsid w:val="00FB0470"/>
    <w:rsid w:val="00FB14A8"/>
    <w:rsid w:val="00FB3AE1"/>
    <w:rsid w:val="00FB509E"/>
    <w:rsid w:val="00FB547D"/>
    <w:rsid w:val="00FB74C0"/>
    <w:rsid w:val="00FC0890"/>
    <w:rsid w:val="00FC123B"/>
    <w:rsid w:val="00FC1B37"/>
    <w:rsid w:val="00FC2638"/>
    <w:rsid w:val="00FC2DF7"/>
    <w:rsid w:val="00FC33F6"/>
    <w:rsid w:val="00FC4104"/>
    <w:rsid w:val="00FC5989"/>
    <w:rsid w:val="00FC5DD6"/>
    <w:rsid w:val="00FC742C"/>
    <w:rsid w:val="00FC7AE4"/>
    <w:rsid w:val="00FD1DB3"/>
    <w:rsid w:val="00FD596F"/>
    <w:rsid w:val="00FD5B6E"/>
    <w:rsid w:val="00FD60AA"/>
    <w:rsid w:val="00FE06B6"/>
    <w:rsid w:val="00FE0F1A"/>
    <w:rsid w:val="00FE2720"/>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DF5E3"/>
  <w15:chartTrackingRefBased/>
  <w15:docId w15:val="{6F6B37D8-7A03-4447-A60F-4A477C2C4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eihong.wu@fda.hhs.gov" TargetMode="External"/><Relationship Id="rId12" Type="http://schemas.openxmlformats.org/officeDocument/2006/relationships/image" Target="media/image3.png"/><Relationship Id="rId17" Type="http://schemas.openxmlformats.org/officeDocument/2006/relationships/hyperlink" Target="https://www.fda.gov/drugs/surveillance/fdas-adverse-event-reporting-system-faers" TargetMode="External"/><Relationship Id="rId2" Type="http://schemas.openxmlformats.org/officeDocument/2006/relationships/numbering" Target="numbering.xml"/><Relationship Id="rId16" Type="http://schemas.openxmlformats.org/officeDocument/2006/relationships/hyperlink" Target="https://github.com/seldas/LLM4AE" TargetMode="External"/><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docs.python.org/3/library/difflib.html"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ec5e5a7a-e5c2-40a5-a786-0194463cad57}" enabled="1" method="Privileged" siteId="{7d2fdb41-339c-4257-87f2-a665730b31fc}" removed="0"/>
</clbl:labelList>
</file>

<file path=docProps/app.xml><?xml version="1.0" encoding="utf-8"?>
<Properties xmlns="http://schemas.openxmlformats.org/officeDocument/2006/extended-properties" xmlns:vt="http://schemas.openxmlformats.org/officeDocument/2006/docPropsVTypes">
  <Template>Normal</Template>
  <TotalTime>213</TotalTime>
  <Pages>26</Pages>
  <Words>9588</Words>
  <Characters>54655</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64115</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leihong wu</cp:lastModifiedBy>
  <cp:revision>104</cp:revision>
  <dcterms:created xsi:type="dcterms:W3CDTF">2026-08-31T18:35:00Z</dcterms:created>
  <dcterms:modified xsi:type="dcterms:W3CDTF">2026-09-01T00:37:00Z</dcterms:modified>
</cp:coreProperties>
</file>