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281CA1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2F5EAC84" w14:textId="6DE96025"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203BC227" w14:textId="7610C9D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6567F319"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5FE5F07B"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44D54D1"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913BDE5"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zero-shot, instruction-tuned LLM, and a fine-tuned </w:t>
      </w:r>
      <w:r w:rsidR="003C2DC8">
        <w:t>BERT</w:t>
      </w:r>
      <w:r w:rsidRPr="00533B1D">
        <w:t xml:space="preserve"> NER model trained on our human-annotated corpora. </w:t>
      </w:r>
      <w:r w:rsidR="00C43059">
        <w:t xml:space="preserve">Particularly, we randomly selected 80% of the annotated data to train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F6FC434" w14:textId="77777777" w:rsidR="00C05C07" w:rsidRDefault="00C05C07" w:rsidP="00514A36"/>
    <w:p w14:paraId="44307665" w14:textId="18A2838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pPr>
            <w:r w:rsidRPr="00960837">
              <w:t>Statistic</w:t>
            </w:r>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pPr>
            <w:r>
              <w:t>#R</w:t>
            </w:r>
            <w:r w:rsidR="00960837" w:rsidRPr="00960837">
              <w:t>eports</w:t>
            </w:r>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40A2A8D0"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pPr>
            <w:r w:rsidRPr="00960837">
              <w:t>Total tokens</w:t>
            </w:r>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pPr>
            <w:r w:rsidRPr="00960837">
              <w:t>Total sentences</w:t>
            </w:r>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021BA079"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1381A2CF"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r>
              <w:t>SME</w:t>
            </w:r>
            <w:r w:rsidRPr="00FF17F1">
              <w:t xml:space="preserve"> annotations</w:t>
            </w:r>
          </w:p>
        </w:tc>
        <w:tc>
          <w:tcPr>
            <w:tcW w:w="2276" w:type="dxa"/>
          </w:tcPr>
          <w:p w14:paraId="79C0D247" w14:textId="61E5A6DE"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36,425</w:t>
            </w:r>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r>
              <w:t>Unique AE terms</w:t>
            </w:r>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7505501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r>
              <w:t>Unique Drug</w:t>
            </w:r>
            <w:r w:rsidR="0080492C">
              <w:t xml:space="preserve">/Vaccine </w:t>
            </w:r>
            <w:r>
              <w:t>terms</w:t>
            </w:r>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6EB0E278" w14:textId="77777777" w:rsidR="00960837" w:rsidRPr="00766689" w:rsidRDefault="00960837" w:rsidP="00514A36"/>
    <w:p w14:paraId="749EDE3D" w14:textId="366DA7C6"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Erenumab–stroke.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 xml:space="preserve">Across the FAERS corpus, the expert reference set contained 36,425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22E9F2D0" w14:textId="383CE31F"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2085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27CA193E" w:rsidR="00182ADC" w:rsidRPr="005064A1" w:rsidRDefault="00F81AD3" w:rsidP="00182ADC">
      <w:pPr>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65CC7FB4"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(Llama-4-Maverick-17B-128E-Instruct-FP8</w:t>
      </w:r>
      <w:r w:rsidR="00C4354E">
        <w:t xml:space="preserve">, </w:t>
      </w:r>
      <w:hyperlink r:id="rId10">
        <w:r w:rsidR="00313F76" w:rsidRPr="147CEA42">
          <w:rPr>
            <w:rStyle w:val="Hyperlink"/>
          </w:rPr>
          <w:t>https://huggingface.co/collections/meta-llama/llama-4</w:t>
        </w:r>
      </w:hyperlink>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The </w:t>
      </w:r>
      <w:r w:rsidR="00416F6F" w:rsidRPr="003C1680">
        <w:rPr>
          <w:i/>
          <w:color w:val="7030A0"/>
        </w:rPr>
        <w:t xml:space="preserve"> </w:t>
      </w:r>
      <w:r w:rsidR="00416F6F" w:rsidRPr="00B3092F">
        <w:rPr>
          <w:iCs/>
          <w:color w:val="7030A0"/>
        </w:rPr>
        <w:t>LLM was prompted to</w:t>
      </w:r>
      <w:r w:rsidR="00416F6F" w:rsidRPr="003C1680">
        <w:rPr>
          <w:i/>
          <w:color w:val="7030A0"/>
        </w:rPr>
        <w:t xml:space="preserve"> </w:t>
      </w:r>
      <w:r w:rsidR="00182ADC" w:rsidRPr="00182ADC">
        <w:t>insert tags around identified entities without altering the surrounding text</w:t>
      </w:r>
      <w:r w:rsidR="00416F6F">
        <w:t xml:space="preserve"> </w:t>
      </w:r>
      <w:r w:rsidR="00416F6F" w:rsidRPr="007B01C6">
        <w:rPr>
          <w:iCs/>
          <w:color w:val="7030A0"/>
        </w:rPr>
        <w:t>("</w:t>
      </w:r>
      <w:r w:rsidR="00754828" w:rsidRPr="00754828">
        <w:rPr>
          <w:iCs/>
          <w:color w:val="7030A0"/>
        </w:rPr>
        <w:t>Apart from the inserted annotation tags, every character of the original narrative must remain unchanged.</w:t>
      </w:r>
      <w:r w:rsidR="00416F6F" w:rsidRPr="007B01C6">
        <w:rPr>
          <w:iCs/>
          <w:color w:val="7030A0"/>
        </w:rPr>
        <w:t>")</w:t>
      </w:r>
      <w:r w:rsidR="00182ADC" w:rsidRPr="00B3092F">
        <w:rPr>
          <w:iCs/>
        </w:rPr>
        <w:t>.</w:t>
      </w:r>
      <w:r w:rsidR="00182ADC" w:rsidRPr="00182ADC">
        <w:t xml:space="preserve"> After annotation, </w:t>
      </w:r>
      <w:r w:rsidR="00F230EE">
        <w:rPr>
          <w:color w:val="7030A0"/>
        </w:rPr>
        <w:t xml:space="preserve">we </w:t>
      </w:r>
      <w:r w:rsidR="004328F1" w:rsidRPr="007B01C6">
        <w:rPr>
          <w:color w:val="7030A0"/>
        </w:rPr>
        <w:t>compute a character-level mapping between the LLM's tag-stripped output and the original page tex</w:t>
      </w:r>
      <w:r w:rsidR="00B3092F" w:rsidRPr="007B01C6">
        <w:rPr>
          <w:color w:val="7030A0"/>
        </w:rPr>
        <w:t>t</w:t>
      </w:r>
      <w:r w:rsidR="00B3092F">
        <w:rPr>
          <w:i/>
          <w:color w:val="7030A0"/>
        </w:rPr>
        <w:t>,</w:t>
      </w:r>
      <w:r w:rsidR="00182ADC" w:rsidRPr="00182ADC">
        <w:t xml:space="preserve"> using the 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Pr="005064A1" w:rsidRDefault="00D1091A" w:rsidP="005064A1">
      <w:pPr>
        <w:spacing w:line="240" w:lineRule="auto"/>
        <w:rPr>
          <w:sz w:val="20"/>
          <w:szCs w:val="20"/>
        </w:rPr>
      </w:pPr>
      <w:r w:rsidRPr="005064A1">
        <w:rPr>
          <w:b/>
          <w:bCs/>
          <w:sz w:val="20"/>
          <w:szCs w:val="20"/>
        </w:rPr>
        <w:t xml:space="preserve">Figure 2. Example of LLM in-text annotation. </w:t>
      </w:r>
      <w:r w:rsidRPr="005064A1">
        <w:rPr>
          <w:sz w:val="20"/>
          <w:szCs w:val="20"/>
        </w:rPr>
        <w:t>The Original Content was processed by LLM and the model output In-text annotated texts. In case there are some misplaced tags like incomplete ones or altered texts (Highlighted in Red), they will be discarded after mapping back to the original text, where only valid tagged annotation remained (in green).</w:t>
      </w:r>
    </w:p>
    <w:p w14:paraId="47F4D396" w14:textId="77777777" w:rsidR="00353FAE" w:rsidRDefault="00353FAE" w:rsidP="00182ADC"/>
    <w:p w14:paraId="59D977F8" w14:textId="1A28515A" w:rsidR="000A022B" w:rsidRDefault="009102DE" w:rsidP="00182ADC">
      <w:r>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 xml:space="preserve">Narratives were tokenized and </w:t>
      </w:r>
      <w:r w:rsidR="00C04CE9" w:rsidRPr="00182ADC">
        <w:lastRenderedPageBreak/>
        <w:t>aligned with span annotations. Entities were converted to the BIO tagging scheme for model input. All preprocessing steps were standardized to ensure reproducibility.</w:t>
      </w:r>
      <w:r w:rsidR="00C04CE9">
        <w:t xml:space="preserve"> </w:t>
      </w:r>
    </w:p>
    <w:p w14:paraId="203AB035" w14:textId="3DA9BF92"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6E5A6798"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74D78665" w14:textId="3AF70C6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171BAC7A" w14:textId="77777777" w:rsidR="00D87E23" w:rsidRPr="005064A1" w:rsidRDefault="00D87E23" w:rsidP="00D87E23">
      <w:pPr>
        <w:rPr>
          <w:iCs/>
        </w:rPr>
      </w:pPr>
      <w:r w:rsidRPr="005064A1">
        <w:rPr>
          <w:iCs/>
        </w:rPr>
        <w:lastRenderedPageBreak/>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14F92EBA" w14:textId="2C541B02" w:rsidR="00FC0890" w:rsidRPr="005064A1" w:rsidRDefault="005064A1" w:rsidP="00D87E23">
      <w:pPr>
        <w:rPr>
          <w:rFonts w:eastAsiaTheme="minor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5B9A143D" w14:textId="06BC00B4" w:rsidR="00FC0890" w:rsidRPr="005064A1" w:rsidRDefault="005064A1"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3DC5BD00" w14:textId="77777777" w:rsidR="00FC0890" w:rsidRPr="005064A1" w:rsidRDefault="00FC0890" w:rsidP="00D87E23">
      <w:pPr>
        <w:rPr>
          <w:iCs/>
        </w:rPr>
      </w:pPr>
    </w:p>
    <w:p w14:paraId="66BD0027"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0E324B95" w14:textId="1F32D14D" w:rsidR="004B03A5" w:rsidRPr="005064A1" w:rsidRDefault="005064A1" w:rsidP="004B03A5">
      <w:pPr>
        <w:rPr>
          <w:rFonts w:eastAsiaTheme="minor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A8A4B40" w14:textId="5F5DB15C" w:rsidR="004B03A5" w:rsidRPr="005064A1" w:rsidRDefault="005064A1"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2254C82E" w14:textId="77777777" w:rsidR="004B03A5" w:rsidRPr="005064A1" w:rsidRDefault="004B03A5" w:rsidP="00595C3A">
      <w:pPr>
        <w:rPr>
          <w:iCs/>
        </w:rPr>
      </w:pPr>
    </w:p>
    <w:p w14:paraId="0F8C4925" w14:textId="3F4CDFC5"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71D83B68"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5A48AFDB" w14:textId="0F6BFEC5"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TableGridLight"/>
        <w:tblW w:w="5000" w:type="pct"/>
        <w:tblLook w:val="04A0" w:firstRow="1" w:lastRow="0" w:firstColumn="1" w:lastColumn="0" w:noHBand="0" w:noVBand="1"/>
      </w:tblPr>
      <w:tblGrid>
        <w:gridCol w:w="4315"/>
        <w:gridCol w:w="1710"/>
        <w:gridCol w:w="1620"/>
        <w:gridCol w:w="1705"/>
      </w:tblGrid>
      <w:tr w:rsidR="001A1E2A" w:rsidRPr="001A1E2A" w14:paraId="3DBD0BA5" w14:textId="77777777" w:rsidTr="00BF4671">
        <w:trPr>
          <w:trHeight w:val="20"/>
        </w:trPr>
        <w:tc>
          <w:tcPr>
            <w:tcW w:w="2307" w:type="pct"/>
            <w:hideMark/>
          </w:tcPr>
          <w:p w14:paraId="19835E93" w14:textId="77777777" w:rsidR="001A1E2A" w:rsidRPr="001A1E2A" w:rsidRDefault="001A1E2A" w:rsidP="0045115B">
            <w:pPr>
              <w:contextualSpacing/>
              <w:jc w:val="right"/>
              <w:rPr>
                <w:b/>
                <w:bCs/>
              </w:rPr>
            </w:pPr>
            <w:r w:rsidRPr="001A1E2A">
              <w:rPr>
                <w:b/>
                <w:bCs/>
              </w:rPr>
              <w:t>Category</w:t>
            </w:r>
          </w:p>
        </w:tc>
        <w:tc>
          <w:tcPr>
            <w:tcW w:w="914" w:type="pct"/>
            <w:hideMark/>
          </w:tcPr>
          <w:p w14:paraId="5FCFE23A" w14:textId="514960D6" w:rsidR="001A1E2A" w:rsidRPr="001A1E2A" w:rsidRDefault="001A1E2A" w:rsidP="001A1E2A">
            <w:pPr>
              <w:contextualSpacing/>
              <w:rPr>
                <w:b/>
                <w:bCs/>
              </w:rPr>
            </w:pPr>
            <w:r w:rsidRPr="001A1E2A">
              <w:rPr>
                <w:b/>
                <w:bCs/>
              </w:rPr>
              <w:t>Human</w:t>
            </w:r>
          </w:p>
        </w:tc>
        <w:tc>
          <w:tcPr>
            <w:tcW w:w="866" w:type="pct"/>
            <w:hideMark/>
          </w:tcPr>
          <w:p w14:paraId="4526A715" w14:textId="77777777" w:rsidR="001A1E2A" w:rsidRPr="001A1E2A" w:rsidRDefault="001A1E2A" w:rsidP="001A1E2A">
            <w:pPr>
              <w:contextualSpacing/>
              <w:rPr>
                <w:b/>
                <w:bCs/>
              </w:rPr>
            </w:pPr>
            <w:r w:rsidRPr="001A1E2A">
              <w:rPr>
                <w:b/>
                <w:bCs/>
              </w:rPr>
              <w:t>ETHER</w:t>
            </w:r>
          </w:p>
        </w:tc>
        <w:tc>
          <w:tcPr>
            <w:tcW w:w="912" w:type="pct"/>
            <w:hideMark/>
          </w:tcPr>
          <w:p w14:paraId="76E4AC90" w14:textId="77777777" w:rsidR="001A1E2A" w:rsidRPr="001A1E2A" w:rsidRDefault="001A1E2A" w:rsidP="001A1E2A">
            <w:pPr>
              <w:contextualSpacing/>
              <w:rPr>
                <w:b/>
                <w:bCs/>
              </w:rPr>
            </w:pPr>
            <w:r w:rsidRPr="001A1E2A">
              <w:rPr>
                <w:b/>
                <w:bCs/>
              </w:rPr>
              <w:t>LLM</w:t>
            </w:r>
          </w:p>
        </w:tc>
      </w:tr>
      <w:tr w:rsidR="008011B4" w:rsidRPr="001A1E2A" w14:paraId="23EA5C88" w14:textId="77777777" w:rsidTr="008011B4">
        <w:trPr>
          <w:trHeight w:val="20"/>
        </w:trPr>
        <w:tc>
          <w:tcPr>
            <w:tcW w:w="2307" w:type="pct"/>
            <w:hideMark/>
          </w:tcPr>
          <w:p w14:paraId="65D0A0E8" w14:textId="77777777" w:rsidR="008011B4" w:rsidRPr="001A1E2A" w:rsidRDefault="008011B4" w:rsidP="0045115B">
            <w:pPr>
              <w:contextualSpacing/>
              <w:jc w:val="right"/>
            </w:pPr>
            <w:r w:rsidRPr="001A1E2A">
              <w:t>SDrug</w:t>
            </w:r>
          </w:p>
        </w:tc>
        <w:tc>
          <w:tcPr>
            <w:tcW w:w="914" w:type="pct"/>
            <w:hideMark/>
          </w:tcPr>
          <w:p w14:paraId="0FB9DC8B" w14:textId="77777777" w:rsidR="008011B4" w:rsidRPr="001A1E2A" w:rsidRDefault="008011B4" w:rsidP="001A1E2A">
            <w:pPr>
              <w:contextualSpacing/>
            </w:pPr>
            <w:r w:rsidRPr="001A1E2A">
              <w:t>3,501</w:t>
            </w:r>
          </w:p>
        </w:tc>
        <w:tc>
          <w:tcPr>
            <w:tcW w:w="866" w:type="pct"/>
            <w:vMerge w:val="restart"/>
            <w:vAlign w:val="center"/>
            <w:hideMark/>
          </w:tcPr>
          <w:p w14:paraId="684E886D" w14:textId="1EF57810" w:rsidR="008011B4" w:rsidRPr="001A1E2A" w:rsidRDefault="008011B4" w:rsidP="008011B4">
            <w:pPr>
              <w:contextualSpacing/>
            </w:pPr>
            <w:r>
              <w:t>17164</w:t>
            </w:r>
            <w:r w:rsidRPr="001A1E2A">
              <w:t>†</w:t>
            </w:r>
          </w:p>
        </w:tc>
        <w:tc>
          <w:tcPr>
            <w:tcW w:w="912" w:type="pct"/>
            <w:hideMark/>
          </w:tcPr>
          <w:p w14:paraId="27D4A5D3" w14:textId="77777777" w:rsidR="008011B4" w:rsidRPr="001A1E2A" w:rsidRDefault="008011B4" w:rsidP="001A1E2A">
            <w:pPr>
              <w:contextualSpacing/>
            </w:pPr>
            <w:r w:rsidRPr="001A1E2A">
              <w:t>2,181</w:t>
            </w:r>
          </w:p>
        </w:tc>
      </w:tr>
      <w:tr w:rsidR="008011B4" w:rsidRPr="001A1E2A" w14:paraId="0760EFD8" w14:textId="77777777" w:rsidTr="00BF4671">
        <w:trPr>
          <w:trHeight w:val="20"/>
        </w:trPr>
        <w:tc>
          <w:tcPr>
            <w:tcW w:w="2307" w:type="pct"/>
            <w:hideMark/>
          </w:tcPr>
          <w:p w14:paraId="70EC8ED1" w14:textId="77777777" w:rsidR="008011B4" w:rsidRPr="001A1E2A" w:rsidRDefault="008011B4" w:rsidP="0045115B">
            <w:pPr>
              <w:contextualSpacing/>
              <w:jc w:val="right"/>
            </w:pPr>
            <w:r w:rsidRPr="001A1E2A">
              <w:t>CDrug</w:t>
            </w:r>
          </w:p>
        </w:tc>
        <w:tc>
          <w:tcPr>
            <w:tcW w:w="914" w:type="pct"/>
            <w:hideMark/>
          </w:tcPr>
          <w:p w14:paraId="3E2FD7B8" w14:textId="77777777" w:rsidR="008011B4" w:rsidRPr="001A1E2A" w:rsidRDefault="008011B4" w:rsidP="001A1E2A">
            <w:pPr>
              <w:contextualSpacing/>
            </w:pPr>
            <w:r w:rsidRPr="001A1E2A">
              <w:t>2,928</w:t>
            </w:r>
          </w:p>
        </w:tc>
        <w:tc>
          <w:tcPr>
            <w:tcW w:w="866" w:type="pct"/>
            <w:vMerge/>
            <w:hideMark/>
          </w:tcPr>
          <w:p w14:paraId="4C7387FB" w14:textId="4A11CEC6" w:rsidR="008011B4" w:rsidRPr="001A1E2A" w:rsidRDefault="008011B4" w:rsidP="001A1E2A">
            <w:pPr>
              <w:contextualSpacing/>
            </w:pPr>
          </w:p>
        </w:tc>
        <w:tc>
          <w:tcPr>
            <w:tcW w:w="912" w:type="pct"/>
            <w:hideMark/>
          </w:tcPr>
          <w:p w14:paraId="073495BC" w14:textId="77777777" w:rsidR="008011B4" w:rsidRPr="001A1E2A" w:rsidRDefault="008011B4" w:rsidP="001A1E2A">
            <w:pPr>
              <w:contextualSpacing/>
            </w:pPr>
            <w:r w:rsidRPr="001A1E2A">
              <w:t>2,491</w:t>
            </w:r>
          </w:p>
        </w:tc>
      </w:tr>
      <w:tr w:rsidR="008011B4" w:rsidRPr="001A1E2A" w14:paraId="51080374" w14:textId="77777777" w:rsidTr="00BF4671">
        <w:trPr>
          <w:trHeight w:val="20"/>
        </w:trPr>
        <w:tc>
          <w:tcPr>
            <w:tcW w:w="2307" w:type="pct"/>
            <w:hideMark/>
          </w:tcPr>
          <w:p w14:paraId="2CDDDAD5" w14:textId="5C97F4EC" w:rsidR="008011B4" w:rsidRPr="001A1E2A" w:rsidRDefault="008011B4" w:rsidP="0045115B">
            <w:pPr>
              <w:contextualSpacing/>
              <w:jc w:val="right"/>
            </w:pPr>
            <w:r>
              <w:t>Odrug</w:t>
            </w:r>
            <w:r w:rsidRPr="001A1E2A">
              <w:t xml:space="preserve"> </w:t>
            </w:r>
          </w:p>
        </w:tc>
        <w:tc>
          <w:tcPr>
            <w:tcW w:w="914" w:type="pct"/>
            <w:hideMark/>
          </w:tcPr>
          <w:p w14:paraId="5620DB0B" w14:textId="77777777" w:rsidR="008011B4" w:rsidRPr="001A1E2A" w:rsidRDefault="008011B4" w:rsidP="001A1E2A">
            <w:pPr>
              <w:contextualSpacing/>
            </w:pPr>
            <w:r w:rsidRPr="001A1E2A">
              <w:t>245</w:t>
            </w:r>
          </w:p>
        </w:tc>
        <w:tc>
          <w:tcPr>
            <w:tcW w:w="866" w:type="pct"/>
            <w:vMerge/>
            <w:hideMark/>
          </w:tcPr>
          <w:p w14:paraId="458021A4" w14:textId="1460DFEC" w:rsidR="008011B4" w:rsidRPr="001A1E2A" w:rsidRDefault="008011B4" w:rsidP="001A1E2A">
            <w:pPr>
              <w:contextualSpacing/>
            </w:pPr>
          </w:p>
        </w:tc>
        <w:tc>
          <w:tcPr>
            <w:tcW w:w="912" w:type="pct"/>
            <w:hideMark/>
          </w:tcPr>
          <w:p w14:paraId="5F9778F4" w14:textId="34D76606" w:rsidR="008011B4" w:rsidRPr="001A1E2A" w:rsidRDefault="008011B4" w:rsidP="001A1E2A">
            <w:pPr>
              <w:contextualSpacing/>
            </w:pPr>
            <w:r w:rsidRPr="001A1E2A">
              <w:t>1,310</w:t>
            </w:r>
          </w:p>
        </w:tc>
      </w:tr>
      <w:tr w:rsidR="001A1E2A" w:rsidRPr="001A1E2A" w14:paraId="1D8B6CBD" w14:textId="77777777" w:rsidTr="00BF4671">
        <w:trPr>
          <w:trHeight w:val="20"/>
        </w:trPr>
        <w:tc>
          <w:tcPr>
            <w:tcW w:w="2307" w:type="pct"/>
            <w:hideMark/>
          </w:tcPr>
          <w:p w14:paraId="2593F858" w14:textId="77777777" w:rsidR="001A1E2A" w:rsidRPr="001A1E2A" w:rsidRDefault="001A1E2A" w:rsidP="0045115B">
            <w:pPr>
              <w:contextualSpacing/>
              <w:jc w:val="right"/>
            </w:pPr>
            <w:r w:rsidRPr="001A1E2A">
              <w:t>Dose</w:t>
            </w:r>
          </w:p>
        </w:tc>
        <w:tc>
          <w:tcPr>
            <w:tcW w:w="914" w:type="pct"/>
            <w:hideMark/>
          </w:tcPr>
          <w:p w14:paraId="38AAFE5E" w14:textId="77777777" w:rsidR="001A1E2A" w:rsidRPr="001A1E2A" w:rsidRDefault="001A1E2A" w:rsidP="001A1E2A">
            <w:pPr>
              <w:contextualSpacing/>
            </w:pPr>
            <w:r w:rsidRPr="001A1E2A">
              <w:t>1,621</w:t>
            </w:r>
          </w:p>
        </w:tc>
        <w:tc>
          <w:tcPr>
            <w:tcW w:w="866" w:type="pct"/>
            <w:hideMark/>
          </w:tcPr>
          <w:p w14:paraId="12ED310C" w14:textId="77777777" w:rsidR="001A1E2A" w:rsidRPr="001A1E2A" w:rsidRDefault="001A1E2A" w:rsidP="001A1E2A">
            <w:pPr>
              <w:contextualSpacing/>
            </w:pPr>
            <w:r w:rsidRPr="001A1E2A">
              <w:t>n/a</w:t>
            </w:r>
          </w:p>
        </w:tc>
        <w:tc>
          <w:tcPr>
            <w:tcW w:w="912" w:type="pct"/>
            <w:hideMark/>
          </w:tcPr>
          <w:p w14:paraId="307F451E" w14:textId="77777777" w:rsidR="001A1E2A" w:rsidRPr="001A1E2A" w:rsidRDefault="001A1E2A" w:rsidP="001A1E2A">
            <w:pPr>
              <w:contextualSpacing/>
            </w:pPr>
            <w:r w:rsidRPr="001A1E2A">
              <w:t>2,057</w:t>
            </w:r>
          </w:p>
        </w:tc>
      </w:tr>
      <w:tr w:rsidR="00BF4671" w:rsidRPr="001A1E2A" w14:paraId="4484193C" w14:textId="77777777" w:rsidTr="00BF4671">
        <w:trPr>
          <w:trHeight w:val="20"/>
        </w:trPr>
        <w:tc>
          <w:tcPr>
            <w:tcW w:w="2307" w:type="pct"/>
            <w:hideMark/>
          </w:tcPr>
          <w:p w14:paraId="08D7442A" w14:textId="77777777" w:rsidR="001A1E2A" w:rsidRPr="001A1E2A" w:rsidRDefault="001A1E2A" w:rsidP="0045115B">
            <w:pPr>
              <w:contextualSpacing/>
              <w:jc w:val="right"/>
            </w:pPr>
            <w:r w:rsidRPr="001A1E2A">
              <w:t>Indication</w:t>
            </w:r>
          </w:p>
        </w:tc>
        <w:tc>
          <w:tcPr>
            <w:tcW w:w="914" w:type="pct"/>
            <w:hideMark/>
          </w:tcPr>
          <w:p w14:paraId="455EA6E5" w14:textId="77777777" w:rsidR="001A1E2A" w:rsidRPr="001A1E2A" w:rsidRDefault="001A1E2A" w:rsidP="001A1E2A">
            <w:pPr>
              <w:contextualSpacing/>
            </w:pPr>
            <w:r w:rsidRPr="001A1E2A">
              <w:t>162</w:t>
            </w:r>
          </w:p>
        </w:tc>
        <w:tc>
          <w:tcPr>
            <w:tcW w:w="866" w:type="pct"/>
            <w:hideMark/>
          </w:tcPr>
          <w:p w14:paraId="5B357C67" w14:textId="77777777" w:rsidR="001A1E2A" w:rsidRPr="001A1E2A" w:rsidRDefault="001A1E2A" w:rsidP="001A1E2A">
            <w:pPr>
              <w:contextualSpacing/>
            </w:pPr>
            <w:r w:rsidRPr="001A1E2A">
              <w:t>n/a</w:t>
            </w:r>
          </w:p>
        </w:tc>
        <w:tc>
          <w:tcPr>
            <w:tcW w:w="912" w:type="pct"/>
            <w:hideMark/>
          </w:tcPr>
          <w:p w14:paraId="2DF253C3" w14:textId="77777777" w:rsidR="001A1E2A" w:rsidRPr="001A1E2A" w:rsidRDefault="001A1E2A" w:rsidP="001A1E2A">
            <w:pPr>
              <w:contextualSpacing/>
            </w:pPr>
            <w:r w:rsidRPr="001A1E2A">
              <w:t>1,368</w:t>
            </w:r>
          </w:p>
        </w:tc>
      </w:tr>
      <w:tr w:rsidR="001A1E2A" w:rsidRPr="001A1E2A" w14:paraId="536DF89A" w14:textId="77777777" w:rsidTr="00BF4671">
        <w:trPr>
          <w:trHeight w:val="20"/>
        </w:trPr>
        <w:tc>
          <w:tcPr>
            <w:tcW w:w="2307" w:type="pct"/>
            <w:hideMark/>
          </w:tcPr>
          <w:p w14:paraId="1AC8F1E2" w14:textId="77777777" w:rsidR="001A1E2A" w:rsidRPr="001A1E2A" w:rsidRDefault="001A1E2A" w:rsidP="0045115B">
            <w:pPr>
              <w:contextualSpacing/>
              <w:jc w:val="right"/>
            </w:pPr>
            <w:r w:rsidRPr="001A1E2A">
              <w:t>Treatment</w:t>
            </w:r>
          </w:p>
        </w:tc>
        <w:tc>
          <w:tcPr>
            <w:tcW w:w="914" w:type="pct"/>
            <w:hideMark/>
          </w:tcPr>
          <w:p w14:paraId="29F431D6" w14:textId="77777777" w:rsidR="001A1E2A" w:rsidRPr="001A1E2A" w:rsidRDefault="001A1E2A" w:rsidP="001A1E2A">
            <w:pPr>
              <w:contextualSpacing/>
            </w:pPr>
            <w:r w:rsidRPr="001A1E2A">
              <w:t>1,479</w:t>
            </w:r>
          </w:p>
        </w:tc>
        <w:tc>
          <w:tcPr>
            <w:tcW w:w="866" w:type="pct"/>
            <w:hideMark/>
          </w:tcPr>
          <w:p w14:paraId="1828A434" w14:textId="77777777" w:rsidR="001A1E2A" w:rsidRPr="001A1E2A" w:rsidRDefault="001A1E2A" w:rsidP="001A1E2A">
            <w:pPr>
              <w:contextualSpacing/>
            </w:pPr>
            <w:r w:rsidRPr="001A1E2A">
              <w:t>n/a</w:t>
            </w:r>
          </w:p>
        </w:tc>
        <w:tc>
          <w:tcPr>
            <w:tcW w:w="912" w:type="pct"/>
            <w:hideMark/>
          </w:tcPr>
          <w:p w14:paraId="6A3020FA" w14:textId="77777777" w:rsidR="001A1E2A" w:rsidRPr="001A1E2A" w:rsidRDefault="001A1E2A" w:rsidP="001A1E2A">
            <w:pPr>
              <w:contextualSpacing/>
            </w:pPr>
            <w:r w:rsidRPr="001A1E2A">
              <w:t>1,472</w:t>
            </w:r>
          </w:p>
        </w:tc>
      </w:tr>
      <w:tr w:rsidR="006839FB" w:rsidRPr="001A1E2A" w14:paraId="5767CCA6" w14:textId="77777777" w:rsidTr="003A5C54">
        <w:trPr>
          <w:trHeight w:val="20"/>
        </w:trPr>
        <w:tc>
          <w:tcPr>
            <w:tcW w:w="2307" w:type="pct"/>
            <w:hideMark/>
          </w:tcPr>
          <w:p w14:paraId="4F7D7782" w14:textId="77777777" w:rsidR="006839FB" w:rsidRPr="001A1E2A" w:rsidRDefault="006839FB" w:rsidP="0045115B">
            <w:pPr>
              <w:contextualSpacing/>
              <w:jc w:val="right"/>
            </w:pPr>
            <w:r w:rsidRPr="001A1E2A">
              <w:t>AE</w:t>
            </w:r>
          </w:p>
        </w:tc>
        <w:tc>
          <w:tcPr>
            <w:tcW w:w="914" w:type="pct"/>
            <w:hideMark/>
          </w:tcPr>
          <w:p w14:paraId="1B5E934A" w14:textId="77777777" w:rsidR="006839FB" w:rsidRPr="001A1E2A" w:rsidRDefault="006839FB" w:rsidP="001A1E2A">
            <w:pPr>
              <w:contextualSpacing/>
            </w:pPr>
            <w:r w:rsidRPr="001A1E2A">
              <w:t>9,080</w:t>
            </w:r>
          </w:p>
        </w:tc>
        <w:tc>
          <w:tcPr>
            <w:tcW w:w="866" w:type="pct"/>
            <w:vMerge w:val="restart"/>
            <w:vAlign w:val="center"/>
            <w:hideMark/>
          </w:tcPr>
          <w:p w14:paraId="1645484A" w14:textId="4E69FD2C" w:rsidR="006839FB" w:rsidRPr="001A1E2A" w:rsidRDefault="006839FB" w:rsidP="003A5C54">
            <w:pPr>
              <w:contextualSpacing/>
            </w:pPr>
            <w:r w:rsidRPr="001A1E2A">
              <w:t>25,031†</w:t>
            </w:r>
          </w:p>
        </w:tc>
        <w:tc>
          <w:tcPr>
            <w:tcW w:w="912" w:type="pct"/>
            <w:hideMark/>
          </w:tcPr>
          <w:p w14:paraId="7AF30084" w14:textId="77777777" w:rsidR="006839FB" w:rsidRPr="001A1E2A" w:rsidRDefault="006839FB" w:rsidP="001A1E2A">
            <w:pPr>
              <w:contextualSpacing/>
            </w:pPr>
            <w:r w:rsidRPr="001A1E2A">
              <w:t>6,311</w:t>
            </w:r>
          </w:p>
        </w:tc>
      </w:tr>
      <w:tr w:rsidR="006839FB" w:rsidRPr="001A1E2A" w14:paraId="313627CB" w14:textId="77777777" w:rsidTr="00BF4671">
        <w:trPr>
          <w:trHeight w:val="20"/>
        </w:trPr>
        <w:tc>
          <w:tcPr>
            <w:tcW w:w="2307" w:type="pct"/>
            <w:hideMark/>
          </w:tcPr>
          <w:p w14:paraId="4422F085" w14:textId="77777777" w:rsidR="006839FB" w:rsidRPr="001A1E2A" w:rsidRDefault="006839FB" w:rsidP="0045115B">
            <w:pPr>
              <w:contextualSpacing/>
              <w:jc w:val="right"/>
            </w:pPr>
            <w:r w:rsidRPr="001A1E2A">
              <w:t>mAE</w:t>
            </w:r>
          </w:p>
        </w:tc>
        <w:tc>
          <w:tcPr>
            <w:tcW w:w="914" w:type="pct"/>
            <w:hideMark/>
          </w:tcPr>
          <w:p w14:paraId="0B71ED98" w14:textId="77777777" w:rsidR="006839FB" w:rsidRPr="001A1E2A" w:rsidRDefault="006839FB" w:rsidP="001A1E2A">
            <w:pPr>
              <w:contextualSpacing/>
            </w:pPr>
            <w:r w:rsidRPr="001A1E2A">
              <w:t>112</w:t>
            </w:r>
          </w:p>
        </w:tc>
        <w:tc>
          <w:tcPr>
            <w:tcW w:w="866" w:type="pct"/>
            <w:vMerge/>
            <w:hideMark/>
          </w:tcPr>
          <w:p w14:paraId="2CB49A71" w14:textId="718DC9B9" w:rsidR="006839FB" w:rsidRPr="001A1E2A" w:rsidRDefault="006839FB" w:rsidP="001A1E2A">
            <w:pPr>
              <w:contextualSpacing/>
            </w:pPr>
          </w:p>
        </w:tc>
        <w:tc>
          <w:tcPr>
            <w:tcW w:w="912" w:type="pct"/>
            <w:hideMark/>
          </w:tcPr>
          <w:p w14:paraId="279599B3" w14:textId="77777777" w:rsidR="006839FB" w:rsidRPr="001A1E2A" w:rsidRDefault="006839FB" w:rsidP="001A1E2A">
            <w:pPr>
              <w:contextualSpacing/>
            </w:pPr>
            <w:r w:rsidRPr="001A1E2A">
              <w:t>1,015</w:t>
            </w:r>
          </w:p>
        </w:tc>
      </w:tr>
      <w:tr w:rsidR="00BF4671" w:rsidRPr="001A1E2A" w14:paraId="13B95AF6" w14:textId="77777777" w:rsidTr="00BF4671">
        <w:trPr>
          <w:trHeight w:val="20"/>
        </w:trPr>
        <w:tc>
          <w:tcPr>
            <w:tcW w:w="2307" w:type="pct"/>
            <w:hideMark/>
          </w:tcPr>
          <w:p w14:paraId="5FC4A12C" w14:textId="77777777" w:rsidR="001A1E2A" w:rsidRPr="001A1E2A" w:rsidRDefault="001A1E2A" w:rsidP="0045115B">
            <w:pPr>
              <w:contextualSpacing/>
              <w:jc w:val="right"/>
            </w:pPr>
            <w:r w:rsidRPr="001A1E2A">
              <w:t>Dx</w:t>
            </w:r>
          </w:p>
        </w:tc>
        <w:tc>
          <w:tcPr>
            <w:tcW w:w="914" w:type="pct"/>
            <w:hideMark/>
          </w:tcPr>
          <w:p w14:paraId="15680574" w14:textId="591C1475" w:rsidR="001A1E2A" w:rsidRPr="001A1E2A" w:rsidRDefault="004448C9" w:rsidP="001A1E2A">
            <w:pPr>
              <w:contextualSpacing/>
            </w:pPr>
            <w:r>
              <w:t>1783</w:t>
            </w:r>
          </w:p>
        </w:tc>
        <w:tc>
          <w:tcPr>
            <w:tcW w:w="866" w:type="pct"/>
            <w:hideMark/>
          </w:tcPr>
          <w:p w14:paraId="52A5FF44" w14:textId="77777777" w:rsidR="001A1E2A" w:rsidRPr="001A1E2A" w:rsidRDefault="001A1E2A" w:rsidP="001A1E2A">
            <w:pPr>
              <w:contextualSpacing/>
            </w:pPr>
            <w:r w:rsidRPr="001A1E2A">
              <w:t>4,344</w:t>
            </w:r>
          </w:p>
        </w:tc>
        <w:tc>
          <w:tcPr>
            <w:tcW w:w="912" w:type="pct"/>
            <w:hideMark/>
          </w:tcPr>
          <w:p w14:paraId="453EC286" w14:textId="6D4E3782" w:rsidR="001A1E2A" w:rsidRPr="001A1E2A" w:rsidRDefault="001A1E2A" w:rsidP="001A1E2A">
            <w:pPr>
              <w:contextualSpacing/>
            </w:pPr>
            <w:r w:rsidRPr="001A1E2A">
              <w:t>9</w:t>
            </w:r>
            <w:r w:rsidR="004448C9">
              <w:t>41</w:t>
            </w:r>
          </w:p>
        </w:tc>
      </w:tr>
      <w:tr w:rsidR="001A1E2A" w:rsidRPr="001A1E2A" w14:paraId="67DC1611" w14:textId="77777777" w:rsidTr="00BF4671">
        <w:trPr>
          <w:trHeight w:val="20"/>
        </w:trPr>
        <w:tc>
          <w:tcPr>
            <w:tcW w:w="2307" w:type="pct"/>
            <w:hideMark/>
          </w:tcPr>
          <w:p w14:paraId="48E33F65" w14:textId="77777777" w:rsidR="001A1E2A" w:rsidRPr="001A1E2A" w:rsidRDefault="001A1E2A" w:rsidP="0045115B">
            <w:pPr>
              <w:contextualSpacing/>
              <w:jc w:val="right"/>
            </w:pPr>
            <w:r w:rsidRPr="001A1E2A">
              <w:t>Lab</w:t>
            </w:r>
          </w:p>
        </w:tc>
        <w:tc>
          <w:tcPr>
            <w:tcW w:w="914" w:type="pct"/>
            <w:hideMark/>
          </w:tcPr>
          <w:p w14:paraId="5103F017" w14:textId="77777777" w:rsidR="001A1E2A" w:rsidRPr="001A1E2A" w:rsidRDefault="001A1E2A" w:rsidP="001A1E2A">
            <w:pPr>
              <w:contextualSpacing/>
            </w:pPr>
            <w:r w:rsidRPr="001A1E2A">
              <w:t>3,480</w:t>
            </w:r>
          </w:p>
        </w:tc>
        <w:tc>
          <w:tcPr>
            <w:tcW w:w="866" w:type="pct"/>
            <w:hideMark/>
          </w:tcPr>
          <w:p w14:paraId="1F1E7980" w14:textId="77777777" w:rsidR="001A1E2A" w:rsidRPr="001A1E2A" w:rsidRDefault="001A1E2A" w:rsidP="001A1E2A">
            <w:pPr>
              <w:contextualSpacing/>
            </w:pPr>
            <w:r w:rsidRPr="001A1E2A">
              <w:t>n/a</w:t>
            </w:r>
          </w:p>
        </w:tc>
        <w:tc>
          <w:tcPr>
            <w:tcW w:w="912" w:type="pct"/>
            <w:hideMark/>
          </w:tcPr>
          <w:p w14:paraId="6F27E07D" w14:textId="77777777" w:rsidR="001A1E2A" w:rsidRPr="001A1E2A" w:rsidRDefault="001A1E2A" w:rsidP="001A1E2A">
            <w:pPr>
              <w:contextualSpacing/>
            </w:pPr>
            <w:r w:rsidRPr="001A1E2A">
              <w:t>2,362</w:t>
            </w:r>
          </w:p>
        </w:tc>
      </w:tr>
      <w:tr w:rsidR="00BF4671" w:rsidRPr="001A1E2A" w14:paraId="64E98DD4" w14:textId="77777777" w:rsidTr="00BF4671">
        <w:trPr>
          <w:trHeight w:val="20"/>
        </w:trPr>
        <w:tc>
          <w:tcPr>
            <w:tcW w:w="2307" w:type="pct"/>
            <w:hideMark/>
          </w:tcPr>
          <w:p w14:paraId="0147715B" w14:textId="77777777" w:rsidR="001A1E2A" w:rsidRPr="001A1E2A" w:rsidRDefault="001A1E2A" w:rsidP="0045115B">
            <w:pPr>
              <w:contextualSpacing/>
              <w:jc w:val="right"/>
            </w:pPr>
            <w:r w:rsidRPr="001A1E2A">
              <w:t>Status</w:t>
            </w:r>
          </w:p>
        </w:tc>
        <w:tc>
          <w:tcPr>
            <w:tcW w:w="914" w:type="pct"/>
            <w:hideMark/>
          </w:tcPr>
          <w:p w14:paraId="2CD4681B" w14:textId="77777777" w:rsidR="001A1E2A" w:rsidRPr="001A1E2A" w:rsidRDefault="001A1E2A" w:rsidP="001A1E2A">
            <w:pPr>
              <w:contextualSpacing/>
            </w:pPr>
            <w:r w:rsidRPr="001A1E2A">
              <w:t>1,796</w:t>
            </w:r>
          </w:p>
        </w:tc>
        <w:tc>
          <w:tcPr>
            <w:tcW w:w="866" w:type="pct"/>
            <w:hideMark/>
          </w:tcPr>
          <w:p w14:paraId="6BAAA88D" w14:textId="77777777" w:rsidR="001A1E2A" w:rsidRPr="001A1E2A" w:rsidRDefault="001A1E2A" w:rsidP="001A1E2A">
            <w:pPr>
              <w:contextualSpacing/>
            </w:pPr>
            <w:r w:rsidRPr="001A1E2A">
              <w:t>n/a</w:t>
            </w:r>
          </w:p>
        </w:tc>
        <w:tc>
          <w:tcPr>
            <w:tcW w:w="912" w:type="pct"/>
            <w:hideMark/>
          </w:tcPr>
          <w:p w14:paraId="0D111F47" w14:textId="77777777" w:rsidR="001A1E2A" w:rsidRPr="001A1E2A" w:rsidRDefault="001A1E2A" w:rsidP="001A1E2A">
            <w:pPr>
              <w:contextualSpacing/>
            </w:pPr>
            <w:r w:rsidRPr="001A1E2A">
              <w:t>2,275</w:t>
            </w:r>
          </w:p>
        </w:tc>
      </w:tr>
      <w:tr w:rsidR="001A1E2A" w:rsidRPr="001A1E2A" w14:paraId="32CA5A2D" w14:textId="77777777" w:rsidTr="00BF4671">
        <w:trPr>
          <w:trHeight w:val="20"/>
        </w:trPr>
        <w:tc>
          <w:tcPr>
            <w:tcW w:w="2307" w:type="pct"/>
            <w:hideMark/>
          </w:tcPr>
          <w:p w14:paraId="6EF2F034" w14:textId="77777777" w:rsidR="001A1E2A" w:rsidRPr="001A1E2A" w:rsidRDefault="001A1E2A" w:rsidP="0045115B">
            <w:pPr>
              <w:contextualSpacing/>
              <w:jc w:val="right"/>
            </w:pPr>
            <w:r w:rsidRPr="001A1E2A">
              <w:t>R/O</w:t>
            </w:r>
          </w:p>
        </w:tc>
        <w:tc>
          <w:tcPr>
            <w:tcW w:w="914" w:type="pct"/>
            <w:hideMark/>
          </w:tcPr>
          <w:p w14:paraId="78F5F432" w14:textId="77777777" w:rsidR="001A1E2A" w:rsidRPr="001A1E2A" w:rsidRDefault="001A1E2A" w:rsidP="001A1E2A">
            <w:pPr>
              <w:contextualSpacing/>
            </w:pPr>
            <w:r w:rsidRPr="001A1E2A">
              <w:t>9</w:t>
            </w:r>
          </w:p>
        </w:tc>
        <w:tc>
          <w:tcPr>
            <w:tcW w:w="866" w:type="pct"/>
            <w:hideMark/>
          </w:tcPr>
          <w:p w14:paraId="0EA6255E" w14:textId="77777777" w:rsidR="001A1E2A" w:rsidRPr="001A1E2A" w:rsidRDefault="001A1E2A" w:rsidP="001A1E2A">
            <w:pPr>
              <w:contextualSpacing/>
            </w:pPr>
            <w:r w:rsidRPr="001A1E2A">
              <w:t>33</w:t>
            </w:r>
          </w:p>
        </w:tc>
        <w:tc>
          <w:tcPr>
            <w:tcW w:w="912" w:type="pct"/>
            <w:hideMark/>
          </w:tcPr>
          <w:p w14:paraId="16F43CBA" w14:textId="77777777" w:rsidR="001A1E2A" w:rsidRPr="001A1E2A" w:rsidRDefault="001A1E2A" w:rsidP="001A1E2A">
            <w:pPr>
              <w:contextualSpacing/>
            </w:pPr>
            <w:r w:rsidRPr="001A1E2A">
              <w:t>83</w:t>
            </w:r>
          </w:p>
        </w:tc>
      </w:tr>
      <w:tr w:rsidR="00BF4671" w:rsidRPr="001A1E2A" w14:paraId="44B3C658" w14:textId="77777777" w:rsidTr="00BF4671">
        <w:trPr>
          <w:trHeight w:val="20"/>
        </w:trPr>
        <w:tc>
          <w:tcPr>
            <w:tcW w:w="2307" w:type="pct"/>
            <w:hideMark/>
          </w:tcPr>
          <w:p w14:paraId="17F24971" w14:textId="77777777" w:rsidR="001A1E2A" w:rsidRPr="001A1E2A" w:rsidRDefault="001A1E2A" w:rsidP="0045115B">
            <w:pPr>
              <w:contextualSpacing/>
              <w:jc w:val="right"/>
            </w:pPr>
            <w:r w:rsidRPr="001A1E2A">
              <w:t>CoD</w:t>
            </w:r>
          </w:p>
        </w:tc>
        <w:tc>
          <w:tcPr>
            <w:tcW w:w="914" w:type="pct"/>
            <w:hideMark/>
          </w:tcPr>
          <w:p w14:paraId="44F82667" w14:textId="77777777" w:rsidR="001A1E2A" w:rsidRPr="001A1E2A" w:rsidRDefault="001A1E2A" w:rsidP="001A1E2A">
            <w:pPr>
              <w:contextualSpacing/>
            </w:pPr>
            <w:r w:rsidRPr="001A1E2A">
              <w:t>3</w:t>
            </w:r>
          </w:p>
        </w:tc>
        <w:tc>
          <w:tcPr>
            <w:tcW w:w="866" w:type="pct"/>
            <w:hideMark/>
          </w:tcPr>
          <w:p w14:paraId="7EE619A7" w14:textId="77777777" w:rsidR="001A1E2A" w:rsidRPr="001A1E2A" w:rsidRDefault="001A1E2A" w:rsidP="001A1E2A">
            <w:pPr>
              <w:contextualSpacing/>
            </w:pPr>
            <w:r w:rsidRPr="001A1E2A">
              <w:t>125</w:t>
            </w:r>
          </w:p>
        </w:tc>
        <w:tc>
          <w:tcPr>
            <w:tcW w:w="912" w:type="pct"/>
            <w:hideMark/>
          </w:tcPr>
          <w:p w14:paraId="5C730C82" w14:textId="77777777" w:rsidR="001A1E2A" w:rsidRPr="001A1E2A" w:rsidRDefault="001A1E2A" w:rsidP="001A1E2A">
            <w:pPr>
              <w:contextualSpacing/>
            </w:pPr>
            <w:r w:rsidRPr="001A1E2A">
              <w:t>220</w:t>
            </w:r>
          </w:p>
        </w:tc>
      </w:tr>
      <w:tr w:rsidR="00BF4671" w:rsidRPr="001A1E2A" w14:paraId="1825785A" w14:textId="77777777" w:rsidTr="00BF4671">
        <w:trPr>
          <w:trHeight w:val="20"/>
        </w:trPr>
        <w:tc>
          <w:tcPr>
            <w:tcW w:w="2307" w:type="pct"/>
            <w:hideMark/>
          </w:tcPr>
          <w:p w14:paraId="761A2EA4" w14:textId="77777777" w:rsidR="001A1E2A" w:rsidRPr="001A1E2A" w:rsidRDefault="001A1E2A" w:rsidP="0045115B">
            <w:pPr>
              <w:contextualSpacing/>
              <w:jc w:val="right"/>
            </w:pPr>
            <w:r w:rsidRPr="001A1E2A">
              <w:t>MHx</w:t>
            </w:r>
          </w:p>
        </w:tc>
        <w:tc>
          <w:tcPr>
            <w:tcW w:w="914" w:type="pct"/>
            <w:hideMark/>
          </w:tcPr>
          <w:p w14:paraId="657C32DA" w14:textId="77777777" w:rsidR="001A1E2A" w:rsidRPr="001A1E2A" w:rsidRDefault="001A1E2A" w:rsidP="001A1E2A">
            <w:pPr>
              <w:contextualSpacing/>
            </w:pPr>
            <w:r w:rsidRPr="001A1E2A">
              <w:t>2,304</w:t>
            </w:r>
          </w:p>
        </w:tc>
        <w:tc>
          <w:tcPr>
            <w:tcW w:w="866" w:type="pct"/>
            <w:hideMark/>
          </w:tcPr>
          <w:p w14:paraId="68B7B6F9" w14:textId="77777777" w:rsidR="001A1E2A" w:rsidRPr="001A1E2A" w:rsidRDefault="001A1E2A" w:rsidP="001A1E2A">
            <w:pPr>
              <w:contextualSpacing/>
            </w:pPr>
            <w:r w:rsidRPr="001A1E2A">
              <w:t>755</w:t>
            </w:r>
          </w:p>
        </w:tc>
        <w:tc>
          <w:tcPr>
            <w:tcW w:w="912" w:type="pct"/>
            <w:hideMark/>
          </w:tcPr>
          <w:p w14:paraId="6AF3703B" w14:textId="77777777" w:rsidR="001A1E2A" w:rsidRPr="001A1E2A" w:rsidRDefault="001A1E2A" w:rsidP="001A1E2A">
            <w:pPr>
              <w:contextualSpacing/>
            </w:pPr>
            <w:r w:rsidRPr="001A1E2A">
              <w:t>2,830</w:t>
            </w:r>
          </w:p>
        </w:tc>
      </w:tr>
      <w:tr w:rsidR="001A1E2A" w:rsidRPr="001A1E2A" w14:paraId="0D30AC26" w14:textId="77777777" w:rsidTr="00BF4671">
        <w:trPr>
          <w:trHeight w:val="20"/>
        </w:trPr>
        <w:tc>
          <w:tcPr>
            <w:tcW w:w="2307" w:type="pct"/>
            <w:hideMark/>
          </w:tcPr>
          <w:p w14:paraId="7086E457" w14:textId="77777777" w:rsidR="001A1E2A" w:rsidRPr="001A1E2A" w:rsidRDefault="001A1E2A" w:rsidP="0045115B">
            <w:pPr>
              <w:contextualSpacing/>
              <w:jc w:val="right"/>
            </w:pPr>
            <w:r w:rsidRPr="001A1E2A">
              <w:t>FHx</w:t>
            </w:r>
          </w:p>
        </w:tc>
        <w:tc>
          <w:tcPr>
            <w:tcW w:w="914" w:type="pct"/>
            <w:hideMark/>
          </w:tcPr>
          <w:p w14:paraId="01F2E109" w14:textId="77777777" w:rsidR="001A1E2A" w:rsidRPr="001A1E2A" w:rsidRDefault="001A1E2A" w:rsidP="001A1E2A">
            <w:pPr>
              <w:contextualSpacing/>
            </w:pPr>
            <w:r w:rsidRPr="001A1E2A">
              <w:t>105</w:t>
            </w:r>
          </w:p>
        </w:tc>
        <w:tc>
          <w:tcPr>
            <w:tcW w:w="866" w:type="pct"/>
            <w:hideMark/>
          </w:tcPr>
          <w:p w14:paraId="5DAFBA75" w14:textId="77777777" w:rsidR="001A1E2A" w:rsidRPr="001A1E2A" w:rsidRDefault="001A1E2A" w:rsidP="001A1E2A">
            <w:pPr>
              <w:contextualSpacing/>
            </w:pPr>
            <w:r w:rsidRPr="001A1E2A">
              <w:t>22</w:t>
            </w:r>
          </w:p>
        </w:tc>
        <w:tc>
          <w:tcPr>
            <w:tcW w:w="912" w:type="pct"/>
            <w:hideMark/>
          </w:tcPr>
          <w:p w14:paraId="39911072" w14:textId="77777777" w:rsidR="001A1E2A" w:rsidRPr="001A1E2A" w:rsidRDefault="001A1E2A" w:rsidP="001A1E2A">
            <w:pPr>
              <w:contextualSpacing/>
            </w:pPr>
            <w:r w:rsidRPr="001A1E2A">
              <w:t>24</w:t>
            </w:r>
          </w:p>
        </w:tc>
      </w:tr>
      <w:tr w:rsidR="001A1E2A" w:rsidRPr="001A1E2A" w14:paraId="049EC702" w14:textId="77777777" w:rsidTr="00BF4671">
        <w:trPr>
          <w:trHeight w:val="20"/>
        </w:trPr>
        <w:tc>
          <w:tcPr>
            <w:tcW w:w="2307" w:type="pct"/>
            <w:hideMark/>
          </w:tcPr>
          <w:p w14:paraId="20141E35" w14:textId="77777777" w:rsidR="001A1E2A" w:rsidRPr="001A1E2A" w:rsidRDefault="001A1E2A" w:rsidP="0045115B">
            <w:pPr>
              <w:contextualSpacing/>
              <w:jc w:val="right"/>
            </w:pPr>
            <w:r w:rsidRPr="001A1E2A">
              <w:t>Age</w:t>
            </w:r>
          </w:p>
        </w:tc>
        <w:tc>
          <w:tcPr>
            <w:tcW w:w="914" w:type="pct"/>
            <w:hideMark/>
          </w:tcPr>
          <w:p w14:paraId="3ED7AD59" w14:textId="77777777" w:rsidR="001A1E2A" w:rsidRPr="001A1E2A" w:rsidRDefault="001A1E2A" w:rsidP="001A1E2A">
            <w:pPr>
              <w:contextualSpacing/>
            </w:pPr>
            <w:r w:rsidRPr="001A1E2A">
              <w:t>787</w:t>
            </w:r>
          </w:p>
        </w:tc>
        <w:tc>
          <w:tcPr>
            <w:tcW w:w="866" w:type="pct"/>
            <w:hideMark/>
          </w:tcPr>
          <w:p w14:paraId="7321FDDB" w14:textId="77777777" w:rsidR="001A1E2A" w:rsidRPr="001A1E2A" w:rsidRDefault="001A1E2A" w:rsidP="001A1E2A">
            <w:pPr>
              <w:contextualSpacing/>
            </w:pPr>
            <w:r w:rsidRPr="001A1E2A">
              <w:t>n/a</w:t>
            </w:r>
          </w:p>
        </w:tc>
        <w:tc>
          <w:tcPr>
            <w:tcW w:w="912" w:type="pct"/>
            <w:hideMark/>
          </w:tcPr>
          <w:p w14:paraId="7A14A22E" w14:textId="77777777" w:rsidR="001A1E2A" w:rsidRPr="001A1E2A" w:rsidRDefault="001A1E2A" w:rsidP="001A1E2A">
            <w:pPr>
              <w:contextualSpacing/>
            </w:pPr>
            <w:r w:rsidRPr="001A1E2A">
              <w:t>811</w:t>
            </w:r>
          </w:p>
        </w:tc>
      </w:tr>
      <w:tr w:rsidR="00BF4671" w:rsidRPr="001A1E2A" w14:paraId="77579CE6" w14:textId="77777777" w:rsidTr="00BF4671">
        <w:trPr>
          <w:trHeight w:val="20"/>
        </w:trPr>
        <w:tc>
          <w:tcPr>
            <w:tcW w:w="2307" w:type="pct"/>
            <w:hideMark/>
          </w:tcPr>
          <w:p w14:paraId="5A455AC9" w14:textId="77777777" w:rsidR="001A1E2A" w:rsidRPr="001A1E2A" w:rsidRDefault="001A1E2A" w:rsidP="0045115B">
            <w:pPr>
              <w:contextualSpacing/>
              <w:jc w:val="right"/>
            </w:pPr>
            <w:r w:rsidRPr="001A1E2A">
              <w:t>Sex</w:t>
            </w:r>
          </w:p>
        </w:tc>
        <w:tc>
          <w:tcPr>
            <w:tcW w:w="914" w:type="pct"/>
            <w:hideMark/>
          </w:tcPr>
          <w:p w14:paraId="31B8C0AA" w14:textId="77777777" w:rsidR="001A1E2A" w:rsidRPr="001A1E2A" w:rsidRDefault="001A1E2A" w:rsidP="001A1E2A">
            <w:pPr>
              <w:contextualSpacing/>
            </w:pPr>
            <w:r w:rsidRPr="001A1E2A">
              <w:t>768</w:t>
            </w:r>
          </w:p>
        </w:tc>
        <w:tc>
          <w:tcPr>
            <w:tcW w:w="866" w:type="pct"/>
            <w:hideMark/>
          </w:tcPr>
          <w:p w14:paraId="17C405F6" w14:textId="77777777" w:rsidR="001A1E2A" w:rsidRPr="001A1E2A" w:rsidRDefault="001A1E2A" w:rsidP="001A1E2A">
            <w:pPr>
              <w:contextualSpacing/>
            </w:pPr>
            <w:r w:rsidRPr="001A1E2A">
              <w:t>n/a</w:t>
            </w:r>
          </w:p>
        </w:tc>
        <w:tc>
          <w:tcPr>
            <w:tcW w:w="912" w:type="pct"/>
            <w:hideMark/>
          </w:tcPr>
          <w:p w14:paraId="56257DCA" w14:textId="77777777" w:rsidR="001A1E2A" w:rsidRPr="001A1E2A" w:rsidRDefault="001A1E2A" w:rsidP="001A1E2A">
            <w:pPr>
              <w:contextualSpacing/>
            </w:pPr>
            <w:r w:rsidRPr="001A1E2A">
              <w:t>768</w:t>
            </w:r>
          </w:p>
        </w:tc>
      </w:tr>
    </w:tbl>
    <w:p w14:paraId="042F84E6" w14:textId="0E33FC8B" w:rsidR="007D7591" w:rsidRPr="00C20936" w:rsidRDefault="007D7591" w:rsidP="007D7591">
      <w:pPr>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D4400C1" w14:textId="4AE72CCC" w:rsidR="00AD2CE2" w:rsidRDefault="00AD2CE2" w:rsidP="00AD2CE2">
      <w:pPr>
        <w:pStyle w:val="Heading2"/>
      </w:pPr>
      <w:r>
        <w:t>3.2 LLM performs significantly better than ETHER</w:t>
      </w:r>
    </w:p>
    <w:p w14:paraId="54DDB431" w14:textId="0714BF30"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5856B1F6" w14:textId="2E515AF3"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6D04FF">
        <w:t xml:space="preserve">and in overall </w:t>
      </w:r>
      <w:r>
        <w:t xml:space="preserve">the </w:t>
      </w:r>
      <w:r w:rsidR="002E70EF">
        <w:t>few-shot</w:t>
      </w:r>
      <w:r w:rsidR="003E6D2D">
        <w:t>s</w:t>
      </w:r>
      <w:r>
        <w:t xml:space="preserve"> LLM demonstrated robust generalization capabilities, </w:t>
      </w:r>
      <w:r w:rsidR="004F006A">
        <w:t xml:space="preserve"> 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p>
    <w:p w14:paraId="27D10F91" w14:textId="77777777" w:rsidR="007D5693" w:rsidRDefault="007D5693" w:rsidP="00AD2CE2"/>
    <w:p w14:paraId="36A7469E" w14:textId="4225F112" w:rsidR="007D5693" w:rsidRDefault="00DD0E6C" w:rsidP="00AD2CE2">
      <w:r>
        <w:rPr>
          <w:noProof/>
        </w:rPr>
        <w:lastRenderedPageBreak/>
        <w:drawing>
          <wp:inline distT="0" distB="0" distL="0" distR="0" wp14:anchorId="229BBBF4" wp14:editId="1B78856E">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1E4EB1B9" w14:textId="77777777" w:rsidR="004F536D" w:rsidRPr="00342FDA" w:rsidRDefault="004F536D" w:rsidP="004F536D">
      <w:pPr>
        <w:rPr>
          <w:sz w:val="20"/>
          <w:szCs w:val="20"/>
        </w:rPr>
      </w:pPr>
      <w:r w:rsidRPr="005064A1">
        <w:rPr>
          <w:b/>
          <w:bCs/>
          <w:sz w:val="20"/>
          <w:szCs w:val="20"/>
        </w:rPr>
        <w:t>Figure 3.</w:t>
      </w:r>
      <w:r w:rsidRPr="00342FDA">
        <w:rPr>
          <w:sz w:val="20"/>
          <w:szCs w:val="20"/>
        </w:rPr>
        <w:t xml:space="preserve"> Overall Performance Comparison Across Three Evaluation Schemes on FAERS Narratives (N = 829). Grouped bar chart comparing the rule-based baseline ETHER (Gray), fine-tuned BioBERT (Blue), open-weight LLaMA 4 (Pink-Coral), and proprietary Claude 4.6 Sonnet (Crimson Red) across Scheme 1 (Relaxed Boundary Match), Scheme 2 (Adapted ADE-Eval Clinical Weighted Metric), and Scheme 3 (Strict Exact-Match NER). Numerical F1 scores are labeled above each bar.</w:t>
      </w:r>
    </w:p>
    <w:p w14:paraId="4B9E794F" w14:textId="18EF4798" w:rsidR="00F37A56" w:rsidRDefault="00F37A56" w:rsidP="00F37A56"/>
    <w:p w14:paraId="49495DCF" w14:textId="7662FE55" w:rsidR="00E7527C" w:rsidRDefault="00E7527C" w:rsidP="00E7527C">
      <w:pPr>
        <w:pStyle w:val="Heading2"/>
      </w:pPr>
      <w:r>
        <w:t xml:space="preserve">3.3 BERT-based NER model </w:t>
      </w:r>
      <w:r w:rsidR="005A67B0">
        <w:t>performance</w:t>
      </w:r>
    </w:p>
    <w:p w14:paraId="2BB89B8E" w14:textId="77777777" w:rsidR="00B73B5B" w:rsidRDefault="00D02538" w:rsidP="00D02538">
      <w:r>
        <w:t xml:space="preserve">We </w:t>
      </w:r>
      <w:r w:rsidR="00DC776D">
        <w:t xml:space="preserve">then </w:t>
      </w:r>
      <w:r>
        <w:t>trained a BERT-based named entity recognition (NER) model using the FAERS case series training set. Specifically, BioBERT was selected following an initial ablation study comparing multiple transformer architectures, where it achieved the strongest performance across biomedical entity categories (</w:t>
      </w:r>
      <w:r w:rsidRPr="008B3CB6">
        <w:rPr>
          <w:b/>
          <w:bCs/>
        </w:rPr>
        <w:t>Table S2</w:t>
      </w:r>
      <w:r>
        <w:t xml:space="preserve">), motivating its use as the backbone of our final NER model. </w:t>
      </w:r>
    </w:p>
    <w:p w14:paraId="12F1DCCB" w14:textId="77777777" w:rsidR="00CF4EAD" w:rsidRDefault="00CF4EAD" w:rsidP="00D02538"/>
    <w:p w14:paraId="48121708" w14:textId="3AD80ECF" w:rsidR="00CF4EAD" w:rsidRDefault="00894A8B" w:rsidP="00CF4EAD">
      <w:r>
        <w:rPr>
          <w:noProof/>
        </w:rPr>
        <w:lastRenderedPageBreak/>
        <w:drawing>
          <wp:inline distT="0" distB="0" distL="0" distR="0" wp14:anchorId="095ECAF1" wp14:editId="0D42DF84">
            <wp:extent cx="5943600" cy="4205605"/>
            <wp:effectExtent l="0" t="0" r="0" b="4445"/>
            <wp:docPr id="51058740" name="Picture 1" descr="Chart,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8740" name="Picture 1" descr="Chart, bar char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205605"/>
                    </a:xfrm>
                    <a:prstGeom prst="rect">
                      <a:avLst/>
                    </a:prstGeom>
                    <a:noFill/>
                    <a:ln>
                      <a:noFill/>
                    </a:ln>
                  </pic:spPr>
                </pic:pic>
              </a:graphicData>
            </a:graphic>
          </wp:inline>
        </w:drawing>
      </w:r>
    </w:p>
    <w:p w14:paraId="149F3107" w14:textId="66A2F4C7" w:rsidR="0064673F" w:rsidRPr="005064A1" w:rsidRDefault="0064673F" w:rsidP="00CF4EAD">
      <w:pPr>
        <w:rPr>
          <w:sz w:val="20"/>
          <w:szCs w:val="20"/>
        </w:rPr>
      </w:pPr>
      <w:r w:rsidRPr="005064A1">
        <w:rPr>
          <w:b/>
          <w:bCs/>
          <w:sz w:val="20"/>
          <w:szCs w:val="20"/>
        </w:rPr>
        <w:t>Figure 4.</w:t>
      </w:r>
      <w:r w:rsidRPr="005064A1">
        <w:rPr>
          <w:sz w:val="20"/>
          <w:szCs w:val="20"/>
        </w:rPr>
        <w:t xml:space="preserve"> </w:t>
      </w:r>
      <w:r w:rsidR="001A2BE4">
        <w:rPr>
          <w:sz w:val="20"/>
          <w:szCs w:val="20"/>
        </w:rPr>
        <w:t>comparative study between BERT and LLMs</w:t>
      </w:r>
      <w:r w:rsidR="002E7D0D">
        <w:rPr>
          <w:sz w:val="20"/>
          <w:szCs w:val="20"/>
        </w:rPr>
        <w:t xml:space="preserve"> (Llama-4 and Sonnet 4.6)</w:t>
      </w:r>
      <w:r w:rsidR="001A2BE4">
        <w:rPr>
          <w:sz w:val="20"/>
          <w:szCs w:val="20"/>
        </w:rPr>
        <w:t>.</w:t>
      </w:r>
      <w:r w:rsidR="002E7D0D">
        <w:rPr>
          <w:sz w:val="20"/>
          <w:szCs w:val="20"/>
        </w:rPr>
        <w:t xml:space="preserve"> (a) strict exact-Match F1; (b) </w:t>
      </w:r>
      <w:r w:rsidR="00281986">
        <w:rPr>
          <w:sz w:val="20"/>
          <w:szCs w:val="20"/>
        </w:rPr>
        <w:t xml:space="preserve">Adapted ADE-Eval F1, with </w:t>
      </w:r>
      <w:r w:rsidR="006D6472">
        <w:rPr>
          <w:sz w:val="20"/>
          <w:szCs w:val="20"/>
        </w:rPr>
        <w:t xml:space="preserve">weighted </w:t>
      </w:r>
      <w:r w:rsidR="005F3970">
        <w:rPr>
          <w:sz w:val="20"/>
          <w:szCs w:val="20"/>
        </w:rPr>
        <w:t>Confl</w:t>
      </w:r>
      <w:r w:rsidR="006C0B31">
        <w:rPr>
          <w:sz w:val="20"/>
          <w:szCs w:val="20"/>
        </w:rPr>
        <w:t>ation and S</w:t>
      </w:r>
      <w:r w:rsidR="0046527A">
        <w:rPr>
          <w:sz w:val="20"/>
          <w:szCs w:val="20"/>
        </w:rPr>
        <w:t>p</w:t>
      </w:r>
      <w:r w:rsidR="006C0B31">
        <w:rPr>
          <w:sz w:val="20"/>
          <w:szCs w:val="20"/>
        </w:rPr>
        <w:t>u</w:t>
      </w:r>
      <w:r w:rsidR="0046527A">
        <w:rPr>
          <w:sz w:val="20"/>
          <w:szCs w:val="20"/>
        </w:rPr>
        <w:t>r</w:t>
      </w:r>
      <w:r w:rsidR="006C0B31">
        <w:rPr>
          <w:sz w:val="20"/>
          <w:szCs w:val="20"/>
        </w:rPr>
        <w:t>i</w:t>
      </w:r>
      <w:r w:rsidR="0046527A">
        <w:rPr>
          <w:sz w:val="20"/>
          <w:szCs w:val="20"/>
        </w:rPr>
        <w:t>o</w:t>
      </w:r>
      <w:r w:rsidR="006C0B31">
        <w:rPr>
          <w:sz w:val="20"/>
          <w:szCs w:val="20"/>
        </w:rPr>
        <w:t>us</w:t>
      </w:r>
      <w:r w:rsidR="0046527A">
        <w:rPr>
          <w:sz w:val="20"/>
          <w:szCs w:val="20"/>
        </w:rPr>
        <w:t xml:space="preserve"> Predictions.</w:t>
      </w:r>
      <w:r w:rsidR="000A7577">
        <w:rPr>
          <w:sz w:val="20"/>
          <w:szCs w:val="20"/>
        </w:rPr>
        <w:t xml:space="preserve"> </w:t>
      </w:r>
      <w:r w:rsidR="006C0B31">
        <w:rPr>
          <w:sz w:val="20"/>
          <w:szCs w:val="20"/>
        </w:rPr>
        <w:t xml:space="preserve"> </w:t>
      </w:r>
      <w:r w:rsidR="000A7577">
        <w:rPr>
          <w:sz w:val="20"/>
          <w:szCs w:val="20"/>
        </w:rPr>
        <w:t xml:space="preserve">The Adapted ADE-Eval F1 reflects the real-world impact of wrongly or missing annotated terms in </w:t>
      </w:r>
      <w:r w:rsidR="009049BF">
        <w:rPr>
          <w:sz w:val="20"/>
          <w:szCs w:val="20"/>
        </w:rPr>
        <w:t>PV</w:t>
      </w:r>
      <w:r w:rsidR="000A7577">
        <w:rPr>
          <w:sz w:val="20"/>
          <w:szCs w:val="20"/>
        </w:rPr>
        <w:t xml:space="preserve"> study.</w:t>
      </w:r>
    </w:p>
    <w:p w14:paraId="700BE9FA" w14:textId="091A8FA7" w:rsidR="00472A41" w:rsidRPr="00472A41" w:rsidRDefault="00831330" w:rsidP="00472A41">
      <w:pPr>
        <w:pStyle w:val="Heading2"/>
      </w:pPr>
      <w:r>
        <w:t xml:space="preserve">3.4 </w:t>
      </w:r>
      <w:r w:rsidR="00472A41" w:rsidRPr="00472A41">
        <w:t>Error analysis</w:t>
      </w:r>
    </w:p>
    <w:p w14:paraId="141C161B" w14:textId="78575AC4" w:rsidR="00472A41" w:rsidRPr="00472A41" w:rsidRDefault="00413F31" w:rsidP="00472A41">
      <w:r>
        <w:t>Next</w:t>
      </w:r>
      <w:r w:rsidR="00472A41" w:rsidRPr="00472A41">
        <w:t>, we conducted a detailed error analysis to characterize how the BERT model and the zero-shot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w:t>
      </w:r>
      <w:r w:rsidRPr="00155734">
        <w:lastRenderedPageBreak/>
        <w:t xml:space="preserve">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as a 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 xml:space="preserve">error </w:t>
      </w:r>
      <w:commentRangeStart w:id="0"/>
      <w:r w:rsidR="00E062C3">
        <w:t xml:space="preserve">C </w:t>
      </w:r>
      <w:commentRangeEnd w:id="0"/>
      <w:r>
        <w:rPr>
          <w:rStyle w:val="CommentReference"/>
          <w:sz w:val="24"/>
          <w:szCs w:val="24"/>
        </w:rPr>
        <w:commentReference w:id="0"/>
      </w:r>
      <w:r w:rsidR="00E062C3">
        <w:t>(boundary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1D56FF63" w:rsidR="00CA63BA" w:rsidRDefault="00CA63BA" w:rsidP="00CA63BA">
      <w:r w:rsidRPr="00472A41">
        <w:t xml:space="preserve">Overall, </w:t>
      </w:r>
      <w:r>
        <w:t>t</w:t>
      </w:r>
      <w:r w:rsidRPr="00472A41">
        <w:t xml:space="preserve">he LLM’s zero-shot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7952B2AC" w:rsidR="00924F71" w:rsidRPr="00924F71" w:rsidRDefault="00871950" w:rsidP="00432731">
      <w:pPr>
        <w:jc w:val="center"/>
      </w:pPr>
      <w:r>
        <w:rPr>
          <w:noProof/>
        </w:rPr>
        <w:lastRenderedPageBreak/>
        <w:drawing>
          <wp:inline distT="0" distB="0" distL="0" distR="0" wp14:anchorId="4069F0A4" wp14:editId="680828C8">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D301302" w14:textId="0EA7D92D" w:rsidR="009960A2" w:rsidRPr="005064A1" w:rsidRDefault="00E07D8E" w:rsidP="0034182A">
      <w:pPr>
        <w:spacing w:line="240" w:lineRule="auto"/>
        <w:rPr>
          <w:sz w:val="20"/>
          <w:szCs w:val="20"/>
        </w:rPr>
      </w:pPr>
      <w:r w:rsidRPr="005064A1">
        <w:rPr>
          <w:b/>
          <w:bCs/>
          <w:sz w:val="20"/>
          <w:szCs w:val="20"/>
        </w:rPr>
        <w:t xml:space="preserve">Figure 5. </w:t>
      </w:r>
      <w:r w:rsidRPr="005064A1">
        <w:rPr>
          <w:sz w:val="20"/>
          <w:szCs w:val="20"/>
        </w:rPr>
        <w:t xml:space="preserve">Error Analysis on FAERS </w:t>
      </w:r>
      <w:r w:rsidR="00523D4F" w:rsidRPr="005064A1">
        <w:rPr>
          <w:sz w:val="20"/>
          <w:szCs w:val="20"/>
        </w:rPr>
        <w:t xml:space="preserve">annotations. </w:t>
      </w:r>
      <w:r w:rsidR="002F6718" w:rsidRPr="005064A1">
        <w:rPr>
          <w:sz w:val="20"/>
          <w:szCs w:val="20"/>
        </w:rPr>
        <w:t xml:space="preserve">(a) </w:t>
      </w:r>
      <w:r w:rsidR="006341D8" w:rsidRPr="005064A1">
        <w:rPr>
          <w:sz w:val="20"/>
          <w:szCs w:val="20"/>
        </w:rPr>
        <w:t>annotation errors break down by four categories. (b) top misclassifications for BERT; (c) top misclassifications for LLM</w:t>
      </w:r>
      <w:r w:rsidR="008D1DBD">
        <w:rPr>
          <w:sz w:val="20"/>
          <w:szCs w:val="20"/>
        </w:rPr>
        <w:t xml:space="preserve"> (Llama-4)</w:t>
      </w:r>
      <w:r w:rsidR="006341D8" w:rsidRPr="005064A1">
        <w:rPr>
          <w:sz w:val="20"/>
          <w:szCs w:val="20"/>
        </w:rPr>
        <w:t xml:space="preserve">; (d) </w:t>
      </w:r>
      <w:r w:rsidR="00B16126" w:rsidRPr="005064A1">
        <w:rPr>
          <w:sz w:val="20"/>
          <w:szCs w:val="20"/>
        </w:rPr>
        <w:t>typical terms that w</w:t>
      </w:r>
      <w:r w:rsidR="00234F35" w:rsidRPr="005064A1">
        <w:rPr>
          <w:sz w:val="20"/>
          <w:szCs w:val="20"/>
        </w:rPr>
        <w:t>ere</w:t>
      </w:r>
      <w:r w:rsidR="00B16126" w:rsidRPr="005064A1">
        <w:rPr>
          <w:sz w:val="20"/>
          <w:szCs w:val="20"/>
        </w:rPr>
        <w:t xml:space="preserve"> misclassified as </w:t>
      </w:r>
      <w:r w:rsidR="000C7C3D" w:rsidRPr="005064A1">
        <w:rPr>
          <w:sz w:val="20"/>
          <w:szCs w:val="20"/>
        </w:rPr>
        <w:t>DRUG</w:t>
      </w:r>
      <w:r w:rsidR="00B16126" w:rsidRPr="005064A1">
        <w:rPr>
          <w:sz w:val="20"/>
          <w:szCs w:val="20"/>
        </w:rPr>
        <w:t xml:space="preserve"> instead of DX by LLM; (e) typical terms that w</w:t>
      </w:r>
      <w:r w:rsidR="00234F35" w:rsidRPr="005064A1">
        <w:rPr>
          <w:sz w:val="20"/>
          <w:szCs w:val="20"/>
        </w:rPr>
        <w:t>ere</w:t>
      </w:r>
      <w:r w:rsidR="00B16126" w:rsidRPr="005064A1">
        <w:rPr>
          <w:sz w:val="20"/>
          <w:szCs w:val="20"/>
        </w:rPr>
        <w:t xml:space="preserve"> misclassified as MHX instead of DX.</w:t>
      </w:r>
      <w:r w:rsidR="009D01E9" w:rsidRPr="005064A1">
        <w:rPr>
          <w:sz w:val="20"/>
          <w:szCs w:val="20"/>
        </w:rPr>
        <w:t xml:space="preserve"> </w:t>
      </w:r>
    </w:p>
    <w:p w14:paraId="752DE7C5" w14:textId="77777777" w:rsidR="003B3AC7" w:rsidRDefault="003B3AC7" w:rsidP="0034182A">
      <w:pPr>
        <w:spacing w:line="240" w:lineRule="auto"/>
      </w:pPr>
    </w:p>
    <w:p w14:paraId="3499E910" w14:textId="6868D1F1" w:rsidR="00413F31" w:rsidRDefault="00413F31" w:rsidP="00EC4E8F">
      <w:pPr>
        <w:pStyle w:val="Heading2"/>
      </w:pPr>
      <w:r>
        <w:t>3.5 VAER</w:t>
      </w:r>
      <w:r w:rsidR="00B019D5">
        <w:t>S</w:t>
      </w:r>
      <w:r>
        <w:t xml:space="preserve"> </w:t>
      </w:r>
      <w:r w:rsidR="00B07BC3">
        <w:t>Evaluation</w:t>
      </w:r>
    </w:p>
    <w:p w14:paraId="2FA420D3" w14:textId="184B04B0" w:rsidR="00426F20" w:rsidRDefault="00426F20" w:rsidP="00426F20">
      <w:r>
        <w:t xml:space="preserve">To examine whether the observed patterns extend beyond drug-related FAERS narratives, we repeated our analysis on the VAERS vaccine corpus. As in the FAERS setting, we trained the BERT-based model on 80% of the human-annotated narratives and compared it against LLM-generated annotations on the same held-out 20% test set. As shown in </w:t>
      </w:r>
      <w:r w:rsidRPr="00426F20">
        <w:rPr>
          <w:b/>
          <w:bCs/>
        </w:rPr>
        <w:t>Figure 6</w:t>
      </w:r>
      <w:r>
        <w:t>, the BERT-based model achieved a substantially higher overall F1-score than the LLM baseline. This difference reflects consistent gains across both precision and recall, resulting in an absolute F1 improvement of approximately 0.22, and highlighting the advantages of supervised, domain-specific training for vaccine safety narratives.</w:t>
      </w:r>
    </w:p>
    <w:p w14:paraId="725088E8" w14:textId="77777777" w:rsidR="00426F20" w:rsidRDefault="00426F20" w:rsidP="00413F31"/>
    <w:p w14:paraId="238A9B2F" w14:textId="02C4E108" w:rsidR="00413F31" w:rsidRPr="0085396C" w:rsidRDefault="00871950" w:rsidP="00413F31">
      <w:r>
        <w:rPr>
          <w:noProof/>
        </w:rPr>
        <w:drawing>
          <wp:inline distT="0" distB="0" distL="0" distR="0" wp14:anchorId="7F29C378" wp14:editId="49FC1D98">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7702528" w14:textId="0745B15D" w:rsidR="00413F31" w:rsidRPr="005064A1" w:rsidRDefault="00413F31" w:rsidP="00413F31">
      <w:pPr>
        <w:rPr>
          <w:sz w:val="20"/>
          <w:szCs w:val="20"/>
        </w:rPr>
      </w:pPr>
      <w:r w:rsidRPr="005064A1">
        <w:rPr>
          <w:b/>
          <w:bCs/>
          <w:sz w:val="20"/>
          <w:szCs w:val="20"/>
        </w:rPr>
        <w:t xml:space="preserve">Figure </w:t>
      </w:r>
      <w:r w:rsidR="00924F71" w:rsidRPr="005064A1">
        <w:rPr>
          <w:b/>
          <w:bCs/>
          <w:sz w:val="20"/>
          <w:szCs w:val="20"/>
        </w:rPr>
        <w:t>6</w:t>
      </w:r>
      <w:r w:rsidRPr="005064A1">
        <w:rPr>
          <w:sz w:val="20"/>
          <w:szCs w:val="20"/>
        </w:rPr>
        <w:t xml:space="preserve">. </w:t>
      </w:r>
      <w:r w:rsidR="0025657C" w:rsidRPr="00C81984">
        <w:rPr>
          <w:sz w:val="20"/>
          <w:szCs w:val="20"/>
        </w:rPr>
        <w:t xml:space="preserve">Error Analysis on </w:t>
      </w:r>
      <w:r w:rsidR="0025657C">
        <w:rPr>
          <w:sz w:val="20"/>
          <w:szCs w:val="20"/>
        </w:rPr>
        <w:t>V</w:t>
      </w:r>
      <w:r w:rsidR="0025657C" w:rsidRPr="00C81984">
        <w:rPr>
          <w:sz w:val="20"/>
          <w:szCs w:val="20"/>
        </w:rPr>
        <w:t>AERS annotations.</w:t>
      </w:r>
      <w:r w:rsidR="003B7426">
        <w:rPr>
          <w:sz w:val="20"/>
          <w:szCs w:val="20"/>
        </w:rPr>
        <w:t xml:space="preserve"> (a)</w:t>
      </w:r>
      <w:r w:rsidR="003B7426" w:rsidRPr="003B7426">
        <w:rPr>
          <w:sz w:val="20"/>
          <w:szCs w:val="20"/>
        </w:rPr>
        <w:t xml:space="preserve"> </w:t>
      </w:r>
      <w:r w:rsidR="003B7426" w:rsidRPr="00C81984">
        <w:rPr>
          <w:sz w:val="20"/>
          <w:szCs w:val="20"/>
        </w:rPr>
        <w:t xml:space="preserve">BERT and LLM annotation performance. </w:t>
      </w:r>
      <w:r w:rsidR="0025657C" w:rsidRPr="00C81984">
        <w:rPr>
          <w:sz w:val="20"/>
          <w:szCs w:val="20"/>
        </w:rPr>
        <w:t>(</w:t>
      </w:r>
      <w:r w:rsidR="0025657C">
        <w:rPr>
          <w:sz w:val="20"/>
          <w:szCs w:val="20"/>
        </w:rPr>
        <w:t>b</w:t>
      </w:r>
      <w:r w:rsidR="0025657C" w:rsidRPr="00C81984">
        <w:rPr>
          <w:sz w:val="20"/>
          <w:szCs w:val="20"/>
        </w:rPr>
        <w:t>) annotation errors break down by four categories. (</w:t>
      </w:r>
      <w:r w:rsidR="0025657C">
        <w:rPr>
          <w:sz w:val="20"/>
          <w:szCs w:val="20"/>
        </w:rPr>
        <w:t>c</w:t>
      </w:r>
      <w:r w:rsidR="0025657C" w:rsidRPr="00C81984">
        <w:rPr>
          <w:sz w:val="20"/>
          <w:szCs w:val="20"/>
        </w:rPr>
        <w:t>) top misclassifications for BERT; (</w:t>
      </w:r>
      <w:r w:rsidR="0025657C">
        <w:rPr>
          <w:sz w:val="20"/>
          <w:szCs w:val="20"/>
        </w:rPr>
        <w:t>d</w:t>
      </w:r>
      <w:r w:rsidR="0025657C" w:rsidRPr="00C81984">
        <w:rPr>
          <w:sz w:val="20"/>
          <w:szCs w:val="20"/>
        </w:rPr>
        <w:t>) top misclassifications for LLM</w:t>
      </w:r>
      <w:r w:rsidR="008D1DBD">
        <w:rPr>
          <w:sz w:val="20"/>
          <w:szCs w:val="20"/>
        </w:rPr>
        <w:t xml:space="preserve"> (Llama-4)</w:t>
      </w:r>
      <w:r w:rsidR="00967929">
        <w:rPr>
          <w:sz w:val="20"/>
          <w:szCs w:val="20"/>
        </w:rPr>
        <w:t>.</w:t>
      </w:r>
    </w:p>
    <w:p w14:paraId="19767CA5" w14:textId="77777777" w:rsidR="00CD0715" w:rsidRDefault="00CD0715" w:rsidP="00413F31"/>
    <w:p w14:paraId="3F8A2213" w14:textId="6252D2E7" w:rsidR="003C4EB5" w:rsidRDefault="003C4EB5" w:rsidP="00787130">
      <w:pPr>
        <w:pStyle w:val="Heading2"/>
      </w:pPr>
      <w:r>
        <w:t xml:space="preserve">3.6 </w:t>
      </w:r>
      <w:r w:rsidR="00355FD6">
        <w:t>Ablation Studies</w:t>
      </w:r>
    </w:p>
    <w:p w14:paraId="2CE4085F" w14:textId="5EE3C34E" w:rsidR="00303BAD" w:rsidRPr="00303BAD" w:rsidRDefault="00303BAD" w:rsidP="005064A1">
      <w:pPr>
        <w:pStyle w:val="Heading3"/>
      </w:pPr>
      <w:r>
        <w:t xml:space="preserve">Leave-One-Drug-Event-Pair-Out </w:t>
      </w:r>
      <w:r w:rsidR="007B374C">
        <w:t>in BERT</w:t>
      </w:r>
    </w:p>
    <w:p w14:paraId="2DBB6966" w14:textId="75E15B29" w:rsidR="00303BAD" w:rsidRDefault="00303BAD" w:rsidP="00303BAD">
      <w:r>
        <w:t xml:space="preserve">We applied a repeated Leave-One-Drug-Event-Pair-Out approach in FAERS data analysis. For each of 4 reported drug-event pairs, they would be considered as validation set and excluded from the training process. The experiment therefore consisted of 4 folds to cover all cases the be included in the validation set once. </w:t>
      </w:r>
    </w:p>
    <w:p w14:paraId="09C746A0" w14:textId="77777777" w:rsidR="00303BAD" w:rsidRDefault="00303BAD" w:rsidP="00303BAD">
      <w:r w:rsidRPr="003144FF">
        <w:t xml:space="preserve">Mean strict exact-match F1 across the five seeds was 0.6280 ± 0.0097 for azacitidine–QT prolongation, 0.6563 ± 0.0178 for baricitinib–hypersensitivity, 0.5602 ± 0.0091 for tramadol–hypoglycemia, and 0.5274 ± 0.0105 for erenumab–stroke. The between-series </w:t>
      </w:r>
      <w:r w:rsidRPr="003144FF">
        <w:lastRenderedPageBreak/>
        <w:t>spread was larger than the within-fold seed variation, indicating that case-series difficulty contributed more variation than stochastic initialization in these runs.</w:t>
      </w:r>
    </w:p>
    <w:p w14:paraId="44C3461E" w14:textId="77777777" w:rsidR="00E50399" w:rsidRPr="00E50399" w:rsidRDefault="00E50399" w:rsidP="005064A1"/>
    <w:p w14:paraId="5EA0112E" w14:textId="33757335" w:rsidR="00977ABD" w:rsidRDefault="005E7BC1" w:rsidP="00587C00">
      <w:pPr>
        <w:pStyle w:val="Heading3"/>
      </w:pPr>
      <w:r>
        <w:t>Random seed</w:t>
      </w:r>
      <w:r w:rsidR="00BE1A8A">
        <w:t xml:space="preserve"> in BERT Training</w:t>
      </w:r>
    </w:p>
    <w:p w14:paraId="78DF8FE1" w14:textId="77777777" w:rsidR="008A16A5" w:rsidRDefault="00BE1A8A" w:rsidP="00BE1A8A">
      <w:r>
        <w:t>For Both FAERs and VAERS BERT model training, we repeated the training process 5 times with different random seeds</w:t>
      </w:r>
      <w:r w:rsidR="008A16A5">
        <w:t xml:space="preserve"> (42, 123, 456, 789,1011)</w:t>
      </w:r>
      <w:r>
        <w:t>.</w:t>
      </w:r>
    </w:p>
    <w:p w14:paraId="08E4E6EB" w14:textId="77777777" w:rsidR="008A16A5" w:rsidRDefault="008A16A5" w:rsidP="00BE1A8A"/>
    <w:p w14:paraId="1360ABBF" w14:textId="30BDFC37" w:rsidR="00BE1A8A" w:rsidRPr="00BE1A8A" w:rsidRDefault="008A16A5" w:rsidP="005064A1">
      <w:pPr>
        <w:pStyle w:val="Heading3"/>
      </w:pPr>
      <w:r>
        <w:t xml:space="preserve">LLM Output Format Impact </w:t>
      </w:r>
    </w:p>
    <w:p w14:paraId="0213B025" w14:textId="287A4B41" w:rsidR="00355FD6" w:rsidRDefault="008A16A5" w:rsidP="00413F31">
      <w:r>
        <w:t xml:space="preserve">We investigated whether the output format </w:t>
      </w:r>
      <w:r w:rsidR="00EF6AE3">
        <w:t xml:space="preserve">designed in </w:t>
      </w:r>
      <w:r>
        <w:t xml:space="preserve">LLM prompt </w:t>
      </w:r>
      <w:r w:rsidR="00EF6AE3">
        <w:t>will affect the final performance. We compared in-text tagging (which we used in the main study) and json output.</w:t>
      </w:r>
    </w:p>
    <w:p w14:paraId="632D620A" w14:textId="77777777" w:rsidR="00EF6AE3" w:rsidRDefault="00EF6AE3" w:rsidP="00413F31"/>
    <w:p w14:paraId="66057E6D" w14:textId="73F8201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63A6C28A" w:rsidR="00443EF3" w:rsidRPr="00443EF3" w:rsidRDefault="00EC3536" w:rsidP="00443EF3">
      <w:r>
        <w:t xml:space="preserve">In this study, </w:t>
      </w:r>
      <w:r w:rsidR="00443EF3" w:rsidRPr="00443EF3">
        <w:t xml:space="preserve">we </w:t>
      </w:r>
      <w:r w:rsidR="00D14FE6">
        <w:t>observed</w:t>
      </w:r>
      <w:r w:rsidR="00443EF3" w:rsidRPr="00443EF3">
        <w:t xml:space="preserve"> that a zero-shot,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r>
        <w:t xml:space="preserve">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w:t>
      </w:r>
      <w:r>
        <w:lastRenderedPageBreak/>
        <w:t>human-labeled data for medical NER and highlight the effectiveness of supervised transformer models for large-scale safety narrative processing in real-world biomedical applications.</w:t>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where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 xml:space="preserve">as a linear </w:t>
      </w:r>
      <w:r w:rsidR="00CD06EC" w:rsidRPr="00CD06EC">
        <w:lastRenderedPageBreak/>
        <w:t>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lastRenderedPageBreak/>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21"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22"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0A04EE30" w14:textId="617182BA" w:rsidR="000079B2" w:rsidRDefault="006434F9" w:rsidP="00FF70DA">
      <w:r>
        <w:fldChar w:fldCharType="end"/>
      </w:r>
    </w:p>
    <w:p w14:paraId="3D97712B" w14:textId="77777777" w:rsidR="006A29A7" w:rsidRDefault="006A29A7" w:rsidP="00FF70DA"/>
    <w:p w14:paraId="767A52E3" w14:textId="77777777" w:rsidR="000079B2" w:rsidRPr="00C32E22" w:rsidRDefault="000079B2" w:rsidP="000079B2">
      <w:pPr>
        <w:pStyle w:val="Caption"/>
      </w:pPr>
      <w:r>
        <w:rPr>
          <w:noProof/>
        </w:rPr>
        <mc:AlternateContent>
          <mc:Choice Requires="wps">
            <w:drawing>
              <wp:anchor distT="45720" distB="45720" distL="114300" distR="114300" simplePos="0" relativeHeight="251658240" behindDoc="0" locked="0" layoutInCell="1" allowOverlap="1" wp14:anchorId="2395167B" wp14:editId="298C2DA6">
                <wp:simplePos x="0" y="0"/>
                <wp:positionH relativeFrom="column">
                  <wp:posOffset>-157480</wp:posOffset>
                </wp:positionH>
                <wp:positionV relativeFrom="paragraph">
                  <wp:posOffset>477520</wp:posOffset>
                </wp:positionV>
                <wp:extent cx="6035040" cy="6481445"/>
                <wp:effectExtent l="0" t="0" r="22860" b="15240"/>
                <wp:wrapTopAndBottom/>
                <wp:docPr id="18644189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481445"/>
                        </a:xfrm>
                        <a:prstGeom prst="rect">
                          <a:avLst/>
                        </a:prstGeom>
                        <a:solidFill>
                          <a:srgbClr val="FFFFFF"/>
                        </a:solidFill>
                        <a:ln w="9525">
                          <a:solidFill>
                            <a:srgbClr val="000000"/>
                          </a:solidFill>
                          <a:miter lim="800000"/>
                          <a:headEnd/>
                          <a:tailEnd/>
                        </a:ln>
                      </wps:spPr>
                      <wps:txbx>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167B" id="_x0000_t202" coordsize="21600,21600" o:spt="202" path="m,l,21600r21600,l21600,xe">
                <v:stroke joinstyle="miter"/>
                <v:path gradientshapeok="t" o:connecttype="rect"/>
              </v:shapetype>
              <v:shape id="Text Box 1" o:spid="_x0000_s1026" type="#_x0000_t202" style="position:absolute;margin-left:-12.4pt;margin-top:37.6pt;width:475.2pt;height:510.3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">
                <v:textbox style="mso-fit-shape-to-text:t">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v:textbox>
                <w10:wrap type="topAndBottom"/>
              </v:shape>
            </w:pict>
          </mc:Fallback>
        </mc:AlternateContent>
      </w:r>
      <w:r w:rsidRPr="00C32E22">
        <w:t xml:space="preserve">Supplementary File </w:t>
      </w:r>
      <w:r>
        <w:t xml:space="preserve">1. LLM Prompt for Narrative Annotation </w:t>
      </w:r>
    </w:p>
    <w:p w14:paraId="4DCAB2A5" w14:textId="77777777" w:rsidR="000079B2" w:rsidRDefault="000079B2" w:rsidP="000079B2"/>
    <w:p w14:paraId="665956B6" w14:textId="77777777" w:rsidR="0008720F" w:rsidRDefault="0008720F">
      <w:pPr>
        <w:rPr>
          <w:b/>
          <w:bCs/>
        </w:rPr>
      </w:pPr>
      <w:r>
        <w:rPr>
          <w:b/>
          <w:bCs/>
        </w:rPr>
        <w:br w:type="page"/>
      </w:r>
    </w:p>
    <w:p w14:paraId="7434383C" w14:textId="7A81F322" w:rsidR="000079B2" w:rsidRPr="00352B24" w:rsidRDefault="000079B2" w:rsidP="000079B2">
      <w:pPr>
        <w:rPr>
          <w:b/>
          <w:bCs/>
        </w:rPr>
      </w:pPr>
      <w:r w:rsidRPr="00352B24">
        <w:rPr>
          <w:b/>
          <w:bCs/>
        </w:rPr>
        <w:lastRenderedPageBreak/>
        <w:t xml:space="preserve">Table </w:t>
      </w:r>
      <w:r>
        <w:rPr>
          <w:b/>
          <w:bCs/>
        </w:rPr>
        <w:t>S1</w:t>
      </w:r>
      <w:r w:rsidRPr="00352B24">
        <w:rPr>
          <w:b/>
          <w:bCs/>
        </w:rPr>
        <w:t>. Annotation Categories and Definitions</w:t>
      </w:r>
    </w:p>
    <w:tbl>
      <w:tblPr>
        <w:tblStyle w:val="PlainTable3"/>
        <w:tblW w:w="0" w:type="auto"/>
        <w:tblLook w:val="04A0" w:firstRow="1" w:lastRow="0" w:firstColumn="1" w:lastColumn="0" w:noHBand="0" w:noVBand="1"/>
      </w:tblPr>
      <w:tblGrid>
        <w:gridCol w:w="2641"/>
        <w:gridCol w:w="6719"/>
      </w:tblGrid>
      <w:tr w:rsidR="000079B2" w:rsidRPr="00EB3EE8" w14:paraId="433F8180" w14:textId="77777777" w:rsidTr="00FE06B6">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641" w:type="dxa"/>
            <w:hideMark/>
          </w:tcPr>
          <w:p w14:paraId="125E3CE7" w14:textId="77777777" w:rsidR="000079B2" w:rsidRPr="00415620" w:rsidRDefault="000079B2">
            <w:pPr>
              <w:contextualSpacing/>
              <w:rPr>
                <w:sz w:val="18"/>
                <w:szCs w:val="18"/>
              </w:rPr>
            </w:pPr>
            <w:r w:rsidRPr="00415620">
              <w:rPr>
                <w:sz w:val="18"/>
                <w:szCs w:val="18"/>
              </w:rPr>
              <w:t>Clinical Concept </w:t>
            </w:r>
          </w:p>
        </w:tc>
        <w:tc>
          <w:tcPr>
            <w:tcW w:w="6719" w:type="dxa"/>
            <w:hideMark/>
          </w:tcPr>
          <w:p w14:paraId="44531AFF" w14:textId="77777777" w:rsidR="000079B2" w:rsidRPr="00A33A12" w:rsidRDefault="000079B2">
            <w:pPr>
              <w:contextualSpacing/>
              <w:cnfStyle w:val="100000000000" w:firstRow="1" w:lastRow="0" w:firstColumn="0" w:lastColumn="0" w:oddVBand="0" w:evenVBand="0" w:oddHBand="0" w:evenHBand="0" w:firstRowFirstColumn="0" w:firstRowLastColumn="0" w:lastRowFirstColumn="0" w:lastRowLastColumn="0"/>
              <w:rPr>
                <w:b w:val="0"/>
                <w:bCs w:val="0"/>
              </w:rPr>
            </w:pPr>
            <w:r w:rsidRPr="001E1C02">
              <w:t>Definitions</w:t>
            </w:r>
          </w:p>
        </w:tc>
      </w:tr>
      <w:tr w:rsidR="000079B2" w:rsidRPr="00EB3EE8" w14:paraId="3AC1FA8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7657F5AC" w14:textId="77777777" w:rsidR="000079B2" w:rsidRPr="00415620" w:rsidRDefault="000079B2">
            <w:pPr>
              <w:contextualSpacing/>
              <w:rPr>
                <w:b w:val="0"/>
                <w:bCs w:val="0"/>
                <w:sz w:val="18"/>
                <w:szCs w:val="18"/>
              </w:rPr>
            </w:pPr>
            <w:r w:rsidRPr="00415620">
              <w:rPr>
                <w:sz w:val="18"/>
                <w:szCs w:val="18"/>
              </w:rPr>
              <w:t>sDrug: Suspect Drug Products</w:t>
            </w:r>
          </w:p>
          <w:p w14:paraId="2778B016" w14:textId="77777777" w:rsidR="000079B2" w:rsidRPr="00415620" w:rsidRDefault="000079B2">
            <w:pPr>
              <w:contextualSpacing/>
              <w:rPr>
                <w:b w:val="0"/>
                <w:bCs w:val="0"/>
                <w:sz w:val="18"/>
                <w:szCs w:val="18"/>
              </w:rPr>
            </w:pPr>
          </w:p>
        </w:tc>
        <w:tc>
          <w:tcPr>
            <w:tcW w:w="6719" w:type="dxa"/>
            <w:hideMark/>
          </w:tcPr>
          <w:p w14:paraId="5C08055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A drug or biological product believed to have caused, contributed to, or been associated with the adverse event. Often discontinued, changed, or adjusted after the AE. May have explicit causal language linking it to the AE. </w:t>
            </w:r>
          </w:p>
        </w:tc>
      </w:tr>
      <w:tr w:rsidR="000079B2" w:rsidRPr="00EB3EE8" w14:paraId="6E9DBF6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EB3F22B" w14:textId="77777777" w:rsidR="000079B2" w:rsidRPr="00415620" w:rsidRDefault="000079B2">
            <w:pPr>
              <w:contextualSpacing/>
              <w:rPr>
                <w:b w:val="0"/>
                <w:bCs w:val="0"/>
                <w:sz w:val="18"/>
                <w:szCs w:val="18"/>
              </w:rPr>
            </w:pPr>
            <w:r w:rsidRPr="00415620">
              <w:rPr>
                <w:sz w:val="18"/>
                <w:szCs w:val="18"/>
              </w:rPr>
              <w:t>cDrug: Concomitant Drug Products </w:t>
            </w:r>
          </w:p>
        </w:tc>
        <w:tc>
          <w:tcPr>
            <w:tcW w:w="6719" w:type="dxa"/>
            <w:hideMark/>
          </w:tcPr>
          <w:p w14:paraId="185E2428"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Drugs that were concurrently administered with other drugs (e.g., suspect drugs), as part of the patient’s ongoing or routine regimen. May include chronic medications, maintenance therapy, or background treatments. Some may have a potential or implicit causal relationship with the AE, as per applicant report. </w:t>
            </w:r>
          </w:p>
        </w:tc>
      </w:tr>
      <w:tr w:rsidR="000079B2" w:rsidRPr="00EB3EE8" w14:paraId="5DA35D92"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34C517C8" w14:textId="77777777" w:rsidR="000079B2" w:rsidRPr="00415620" w:rsidRDefault="000079B2">
            <w:pPr>
              <w:contextualSpacing/>
              <w:rPr>
                <w:b w:val="0"/>
                <w:bCs w:val="0"/>
                <w:sz w:val="18"/>
                <w:szCs w:val="18"/>
              </w:rPr>
            </w:pPr>
            <w:r w:rsidRPr="00415620">
              <w:rPr>
                <w:sz w:val="18"/>
                <w:szCs w:val="18"/>
              </w:rPr>
              <w:t>oDrug: Other Drug Products </w:t>
            </w:r>
          </w:p>
        </w:tc>
        <w:tc>
          <w:tcPr>
            <w:tcW w:w="6719" w:type="dxa"/>
          </w:tcPr>
          <w:p w14:paraId="082E183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Drugs mentioned but not clearly linked to current adverse event, concomitant drugs or therapy, or explicit treatment purpose. </w:t>
            </w:r>
          </w:p>
          <w:p w14:paraId="6B63D789"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Illicit substances (e.g. Methamphetamine in its non-medical form) should also be included, as they may act as important confounding factors or be relevant to future drug approvals involving such substances (e.g. psychedelics).  </w:t>
            </w:r>
          </w:p>
          <w:p w14:paraId="70508FA3" w14:textId="7A0D6CB6"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xml:space="preserve">Typically </w:t>
            </w:r>
            <w:r w:rsidR="00812F02" w:rsidRPr="00A33A12">
              <w:rPr>
                <w:sz w:val="18"/>
                <w:szCs w:val="18"/>
              </w:rPr>
              <w:t>include</w:t>
            </w:r>
            <w:r w:rsidRPr="00A33A12">
              <w:rPr>
                <w:sz w:val="18"/>
                <w:szCs w:val="18"/>
              </w:rPr>
              <w:t xml:space="preserve"> historical drug use or drug references without any specified clinical context.  </w:t>
            </w:r>
          </w:p>
        </w:tc>
      </w:tr>
      <w:tr w:rsidR="000079B2" w:rsidRPr="00EB3EE8" w14:paraId="3AD537E0"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F497F88" w14:textId="77777777" w:rsidR="000079B2" w:rsidRPr="00415620" w:rsidRDefault="000079B2">
            <w:pPr>
              <w:contextualSpacing/>
              <w:rPr>
                <w:b w:val="0"/>
                <w:bCs w:val="0"/>
                <w:sz w:val="18"/>
                <w:szCs w:val="18"/>
              </w:rPr>
            </w:pPr>
            <w:r w:rsidRPr="00415620">
              <w:rPr>
                <w:sz w:val="18"/>
                <w:szCs w:val="18"/>
              </w:rPr>
              <w:t>Dose: Dose Administered </w:t>
            </w:r>
          </w:p>
        </w:tc>
        <w:tc>
          <w:tcPr>
            <w:tcW w:w="6719" w:type="dxa"/>
            <w:hideMark/>
          </w:tcPr>
          <w:p w14:paraId="21AE67EA"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Explicitly stated dosage information of any drugs. </w:t>
            </w:r>
          </w:p>
        </w:tc>
      </w:tr>
      <w:tr w:rsidR="009C09DC" w:rsidRPr="00EB3EE8" w14:paraId="0FF3E77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BD2B649" w14:textId="6313E616" w:rsidR="009C09DC" w:rsidRPr="00415620" w:rsidRDefault="009C09DC" w:rsidP="009C09DC">
            <w:pPr>
              <w:contextualSpacing/>
              <w:rPr>
                <w:sz w:val="18"/>
                <w:szCs w:val="18"/>
              </w:rPr>
            </w:pPr>
            <w:r w:rsidRPr="00415620">
              <w:rPr>
                <w:sz w:val="18"/>
                <w:szCs w:val="18"/>
              </w:rPr>
              <w:t>IND: indication </w:t>
            </w:r>
          </w:p>
        </w:tc>
        <w:tc>
          <w:tcPr>
            <w:tcW w:w="6719" w:type="dxa"/>
          </w:tcPr>
          <w:p w14:paraId="5DA7F877" w14:textId="0D6EC093"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reason or intended medical purpose for which a drug, treatment, or procedure is used. This includes explicit statements like "used for fever" or "given for infection." Also includes cases where the indication is unknown or unspecified but clearly referenced. </w:t>
            </w:r>
          </w:p>
        </w:tc>
      </w:tr>
      <w:tr w:rsidR="000079B2" w:rsidRPr="00EB3EE8" w14:paraId="6E071FBB"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0CD6B3D" w14:textId="77777777" w:rsidR="000079B2" w:rsidRPr="00415620" w:rsidRDefault="000079B2">
            <w:pPr>
              <w:contextualSpacing/>
              <w:rPr>
                <w:b w:val="0"/>
                <w:bCs w:val="0"/>
                <w:sz w:val="18"/>
                <w:szCs w:val="18"/>
              </w:rPr>
            </w:pPr>
            <w:r w:rsidRPr="00415620">
              <w:rPr>
                <w:sz w:val="18"/>
                <w:szCs w:val="18"/>
              </w:rPr>
              <w:t>Treatment: Drug used for treatment </w:t>
            </w:r>
          </w:p>
        </w:tc>
        <w:tc>
          <w:tcPr>
            <w:tcW w:w="6719" w:type="dxa"/>
            <w:hideMark/>
          </w:tcPr>
          <w:p w14:paraId="0397B4F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 only drug products/ drug administration explicitly described as treatments addressing disease, adverse events or symptoms.   </w:t>
            </w:r>
          </w:p>
        </w:tc>
      </w:tr>
      <w:tr w:rsidR="009C09DC" w:rsidRPr="00EB3EE8" w14:paraId="3CD5EDF6"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240D28B4" w14:textId="77777777" w:rsidR="009C09DC" w:rsidRPr="00415620" w:rsidRDefault="009C09DC">
            <w:pPr>
              <w:contextualSpacing/>
              <w:rPr>
                <w:sz w:val="18"/>
                <w:szCs w:val="18"/>
              </w:rPr>
            </w:pPr>
          </w:p>
        </w:tc>
        <w:tc>
          <w:tcPr>
            <w:tcW w:w="6719" w:type="dxa"/>
            <w:shd w:val="clear" w:color="auto" w:fill="7F7F7F" w:themeFill="text1" w:themeFillTint="80"/>
          </w:tcPr>
          <w:p w14:paraId="27DF4E92"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0079B2" w:rsidRPr="00EB3EE8" w14:paraId="75BC5C86"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2593043" w14:textId="77777777" w:rsidR="000079B2" w:rsidRPr="00415620" w:rsidRDefault="000079B2">
            <w:pPr>
              <w:contextualSpacing/>
              <w:rPr>
                <w:b w:val="0"/>
                <w:bCs w:val="0"/>
                <w:sz w:val="18"/>
                <w:szCs w:val="18"/>
              </w:rPr>
            </w:pPr>
            <w:r w:rsidRPr="00415620">
              <w:rPr>
                <w:sz w:val="18"/>
                <w:szCs w:val="18"/>
              </w:rPr>
              <w:t>AE: Adverse Event </w:t>
            </w:r>
          </w:p>
        </w:tc>
        <w:tc>
          <w:tcPr>
            <w:tcW w:w="6719" w:type="dxa"/>
            <w:hideMark/>
          </w:tcPr>
          <w:p w14:paraId="529D4066"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Any negative health outcome, condition, or symptom that could represent an adverse event, regardless of their relation to the drug or baseline status. This category includes all clinically relevant events, including baseline symptoms, new diagnoses, and patient-reported symptoms. An adverse event may be a formally diagnosed condition or a subjective symptom reported by the patient, indicating a potential impact on the patient’s health. </w:t>
            </w:r>
          </w:p>
        </w:tc>
      </w:tr>
      <w:tr w:rsidR="000079B2" w:rsidRPr="00EB3EE8" w14:paraId="0B61D6A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3667DB" w14:textId="77777777" w:rsidR="000079B2" w:rsidRPr="00415620" w:rsidRDefault="000079B2">
            <w:pPr>
              <w:contextualSpacing/>
              <w:rPr>
                <w:b w:val="0"/>
                <w:bCs w:val="0"/>
                <w:sz w:val="18"/>
                <w:szCs w:val="18"/>
              </w:rPr>
            </w:pPr>
            <w:r w:rsidRPr="00415620">
              <w:rPr>
                <w:sz w:val="18"/>
                <w:szCs w:val="18"/>
              </w:rPr>
              <w:t>mAE: AE Manifestations/Sequelae </w:t>
            </w:r>
          </w:p>
          <w:p w14:paraId="003B1B0C" w14:textId="77777777" w:rsidR="000079B2" w:rsidRPr="00415620" w:rsidRDefault="000079B2">
            <w:pPr>
              <w:contextualSpacing/>
              <w:rPr>
                <w:b w:val="0"/>
                <w:bCs w:val="0"/>
                <w:sz w:val="18"/>
                <w:szCs w:val="18"/>
              </w:rPr>
            </w:pPr>
          </w:p>
        </w:tc>
        <w:tc>
          <w:tcPr>
            <w:tcW w:w="6719" w:type="dxa"/>
            <w:hideMark/>
          </w:tcPr>
          <w:p w14:paraId="768950B5"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mAE-Manifestations: immediate signs, symptoms that appear as part of the adverse event. Observable or measurable effects associated with the AE. May include physiological changes or specific clinical findings. Documented at or near the time of the AE onset. </w:t>
            </w:r>
          </w:p>
          <w:p w14:paraId="0CEA1630"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mAE-Sequelae: consequences or complications resulting from the adverse event. Persistent or secondary effects occurring after the acute phase of the AE. May develop days, weeks, or even years after the AE. </w:t>
            </w:r>
          </w:p>
        </w:tc>
      </w:tr>
      <w:tr w:rsidR="000079B2" w:rsidRPr="00EB3EE8" w14:paraId="530737C4"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0C0BD39" w14:textId="77777777" w:rsidR="000079B2" w:rsidRPr="00415620" w:rsidRDefault="000079B2">
            <w:pPr>
              <w:contextualSpacing/>
              <w:rPr>
                <w:b w:val="0"/>
                <w:bCs w:val="0"/>
                <w:sz w:val="18"/>
                <w:szCs w:val="18"/>
              </w:rPr>
            </w:pPr>
            <w:r w:rsidRPr="00415620">
              <w:rPr>
                <w:sz w:val="18"/>
                <w:szCs w:val="18"/>
              </w:rPr>
              <w:t>Dx: diagnostic test results </w:t>
            </w:r>
          </w:p>
        </w:tc>
        <w:tc>
          <w:tcPr>
            <w:tcW w:w="6719" w:type="dxa"/>
            <w:hideMark/>
          </w:tcPr>
          <w:p w14:paraId="0D2802FC"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Captured only the names of diagnostic procedures performed to evaluate or confirm a medical condition or diagnosis.   </w:t>
            </w:r>
          </w:p>
        </w:tc>
      </w:tr>
      <w:tr w:rsidR="009C09DC" w:rsidRPr="00EB3EE8" w14:paraId="17F2749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6449BE2" w14:textId="02DFBDFA" w:rsidR="009C09DC" w:rsidRPr="00415620" w:rsidRDefault="009C09DC" w:rsidP="009C09DC">
            <w:pPr>
              <w:contextualSpacing/>
              <w:rPr>
                <w:sz w:val="18"/>
                <w:szCs w:val="18"/>
              </w:rPr>
            </w:pPr>
            <w:r w:rsidRPr="00415620">
              <w:rPr>
                <w:sz w:val="18"/>
                <w:szCs w:val="18"/>
              </w:rPr>
              <w:t>Lab: Laboratory Finding </w:t>
            </w:r>
          </w:p>
        </w:tc>
        <w:tc>
          <w:tcPr>
            <w:tcW w:w="6719" w:type="dxa"/>
          </w:tcPr>
          <w:p w14:paraId="411D3120" w14:textId="5C87D026"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Results (test named and specific results) specifically from laboratory tests indicating quantitative measurements or biochemical markers, such as blood tests, enzyme levels, height, weight and other routine or other clinical parameters. Regardless of whether the results are normal, abnormal, positive, or negative. Laboratory findings provide objective data about the patient’s health status and can support the assessment of adverse events when combined with symptoms or diagnoses. This category captures information related to specific measurements, test outcomes, and diagnostic indicators but doesn’t imply an adverse event on its own. </w:t>
            </w:r>
          </w:p>
        </w:tc>
      </w:tr>
      <w:tr w:rsidR="009C09DC" w:rsidRPr="00EB3EE8" w14:paraId="698693CC"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4B6EAC24" w14:textId="2CA5DC66" w:rsidR="009C09DC" w:rsidRPr="00415620" w:rsidRDefault="009C09DC" w:rsidP="009C09DC">
            <w:pPr>
              <w:contextualSpacing/>
              <w:rPr>
                <w:sz w:val="18"/>
                <w:szCs w:val="18"/>
              </w:rPr>
            </w:pPr>
            <w:r w:rsidRPr="00415620">
              <w:rPr>
                <w:sz w:val="18"/>
                <w:szCs w:val="18"/>
              </w:rPr>
              <w:t>Status: patient status </w:t>
            </w:r>
          </w:p>
        </w:tc>
        <w:tc>
          <w:tcPr>
            <w:tcW w:w="6719" w:type="dxa"/>
          </w:tcPr>
          <w:p w14:paraId="6FCEBF1C" w14:textId="7204EE13"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captures statements about the progression or outcome of either the patient’s overall clinical condition or the adverse event status after a treatment, or intervention. This category captures many references to how the patient’s condition has progressed over time, whether they recover, worsened, remained stable, or experienced long-term effects. Outcome data helps to understand the impacts and severity of adverse events and provide insight into the efficacy of treatments. </w:t>
            </w:r>
          </w:p>
        </w:tc>
      </w:tr>
      <w:tr w:rsidR="009C09DC" w:rsidRPr="00EB3EE8" w14:paraId="1D7B8A15"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0CB41EB" w14:textId="353EE646" w:rsidR="009C09DC" w:rsidRPr="00415620" w:rsidRDefault="009C09DC" w:rsidP="009C09DC">
            <w:pPr>
              <w:contextualSpacing/>
              <w:rPr>
                <w:sz w:val="18"/>
                <w:szCs w:val="18"/>
              </w:rPr>
            </w:pPr>
            <w:r w:rsidRPr="00415620">
              <w:rPr>
                <w:sz w:val="18"/>
                <w:szCs w:val="18"/>
              </w:rPr>
              <w:t>R/O: Rule-out diagnosis </w:t>
            </w:r>
          </w:p>
        </w:tc>
        <w:tc>
          <w:tcPr>
            <w:tcW w:w="6719" w:type="dxa"/>
          </w:tcPr>
          <w:p w14:paraId="20ACBA80" w14:textId="4914DCA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Conditions considered but ultimately ruled out as causes of symptoms or adverse events. </w:t>
            </w:r>
          </w:p>
        </w:tc>
      </w:tr>
      <w:tr w:rsidR="000079B2" w:rsidRPr="00EB3EE8" w14:paraId="6C6412F7"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F33936" w14:textId="77777777" w:rsidR="000079B2" w:rsidRPr="00415620" w:rsidRDefault="000079B2">
            <w:pPr>
              <w:contextualSpacing/>
              <w:rPr>
                <w:b w:val="0"/>
                <w:bCs w:val="0"/>
                <w:sz w:val="18"/>
                <w:szCs w:val="18"/>
              </w:rPr>
            </w:pPr>
            <w:r w:rsidRPr="00415620">
              <w:rPr>
                <w:sz w:val="18"/>
                <w:szCs w:val="18"/>
              </w:rPr>
              <w:lastRenderedPageBreak/>
              <w:t>CoD: Cause of Death </w:t>
            </w:r>
          </w:p>
        </w:tc>
        <w:tc>
          <w:tcPr>
            <w:tcW w:w="6719" w:type="dxa"/>
            <w:hideMark/>
          </w:tcPr>
          <w:p w14:paraId="4BE6B2B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Specific cause or reason for patient death that may be related to the drug.  </w:t>
            </w:r>
          </w:p>
        </w:tc>
      </w:tr>
      <w:tr w:rsidR="009C09DC" w:rsidRPr="00EB3EE8" w14:paraId="336290C7"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5EF542DE" w14:textId="77777777" w:rsidR="009C09DC" w:rsidRPr="00415620" w:rsidRDefault="009C09DC">
            <w:pPr>
              <w:contextualSpacing/>
              <w:rPr>
                <w:sz w:val="18"/>
                <w:szCs w:val="18"/>
              </w:rPr>
            </w:pPr>
          </w:p>
        </w:tc>
        <w:tc>
          <w:tcPr>
            <w:tcW w:w="6719" w:type="dxa"/>
            <w:shd w:val="clear" w:color="auto" w:fill="7F7F7F" w:themeFill="text1" w:themeFillTint="80"/>
          </w:tcPr>
          <w:p w14:paraId="02132441"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9C09DC" w:rsidRPr="00EB3EE8" w14:paraId="24C81F9B"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63875CE" w14:textId="49848846" w:rsidR="009C09DC" w:rsidRPr="00415620" w:rsidRDefault="009C09DC" w:rsidP="009C09DC">
            <w:pPr>
              <w:contextualSpacing/>
              <w:rPr>
                <w:b w:val="0"/>
                <w:bCs w:val="0"/>
                <w:sz w:val="18"/>
                <w:szCs w:val="18"/>
              </w:rPr>
            </w:pPr>
            <w:r w:rsidRPr="00415620">
              <w:rPr>
                <w:sz w:val="18"/>
                <w:szCs w:val="18"/>
              </w:rPr>
              <w:t>MHx: Medical History </w:t>
            </w:r>
          </w:p>
        </w:tc>
        <w:tc>
          <w:tcPr>
            <w:tcW w:w="6719" w:type="dxa"/>
          </w:tcPr>
          <w:p w14:paraId="4F0C4537" w14:textId="7C6CC1D0"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Symptoms, conditions, or medical findings that pre-existed before the adverse event and are not caused by it. This includes the patient's past or chronic conditions, prior diagnoses, pre-existing diseases, or stable ongoing symptoms. Helps differentiate between background health status and AE-related events.</w:t>
            </w:r>
          </w:p>
        </w:tc>
      </w:tr>
      <w:tr w:rsidR="009C09DC" w:rsidRPr="00EB3EE8" w14:paraId="55658EC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C7141DF" w14:textId="77777777" w:rsidR="009C09DC" w:rsidRPr="00415620" w:rsidRDefault="009C09DC" w:rsidP="009C09DC">
            <w:pPr>
              <w:contextualSpacing/>
              <w:rPr>
                <w:b w:val="0"/>
                <w:bCs w:val="0"/>
                <w:sz w:val="18"/>
                <w:szCs w:val="18"/>
              </w:rPr>
            </w:pPr>
            <w:r w:rsidRPr="00415620">
              <w:rPr>
                <w:sz w:val="18"/>
                <w:szCs w:val="18"/>
              </w:rPr>
              <w:t>FHx: Family History </w:t>
            </w:r>
          </w:p>
        </w:tc>
        <w:tc>
          <w:tcPr>
            <w:tcW w:w="6719" w:type="dxa"/>
            <w:hideMark/>
          </w:tcPr>
          <w:p w14:paraId="0FF8C335"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Patient’s family medical history, often related to genetic predispositions. </w:t>
            </w:r>
          </w:p>
        </w:tc>
      </w:tr>
      <w:tr w:rsidR="009C09DC" w:rsidRPr="00EB3EE8" w14:paraId="4EAB51C1"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3422A5C2" w14:textId="75A15714" w:rsidR="009C09DC" w:rsidRPr="00415620" w:rsidRDefault="009C09DC" w:rsidP="009C09DC">
            <w:pPr>
              <w:contextualSpacing/>
              <w:rPr>
                <w:b w:val="0"/>
                <w:bCs w:val="0"/>
                <w:sz w:val="18"/>
                <w:szCs w:val="18"/>
              </w:rPr>
            </w:pPr>
          </w:p>
        </w:tc>
        <w:tc>
          <w:tcPr>
            <w:tcW w:w="6719" w:type="dxa"/>
            <w:shd w:val="clear" w:color="auto" w:fill="7F7F7F" w:themeFill="text1" w:themeFillTint="80"/>
          </w:tcPr>
          <w:p w14:paraId="303DD1EE" w14:textId="6BE97102"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p>
        </w:tc>
      </w:tr>
      <w:tr w:rsidR="009C09DC" w:rsidRPr="00EB3EE8" w14:paraId="6AFE6B5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40B2BAF7" w14:textId="77777777" w:rsidR="009C09DC" w:rsidRPr="00415620" w:rsidRDefault="009C09DC" w:rsidP="009C09DC">
            <w:pPr>
              <w:contextualSpacing/>
              <w:rPr>
                <w:b w:val="0"/>
                <w:bCs w:val="0"/>
                <w:sz w:val="18"/>
                <w:szCs w:val="18"/>
              </w:rPr>
            </w:pPr>
            <w:r w:rsidRPr="00415620">
              <w:rPr>
                <w:sz w:val="18"/>
                <w:szCs w:val="18"/>
              </w:rPr>
              <w:t>Age: Age </w:t>
            </w:r>
          </w:p>
        </w:tc>
        <w:tc>
          <w:tcPr>
            <w:tcW w:w="6719" w:type="dxa"/>
            <w:hideMark/>
          </w:tcPr>
          <w:p w14:paraId="23BB7EDB"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age of the patient when the AE occurred or during the described event. </w:t>
            </w:r>
          </w:p>
        </w:tc>
      </w:tr>
      <w:tr w:rsidR="009C09DC" w:rsidRPr="00EB3EE8" w14:paraId="69ACA20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D685234" w14:textId="77777777" w:rsidR="009C09DC" w:rsidRPr="00415620" w:rsidRDefault="009C09DC" w:rsidP="009C09DC">
            <w:pPr>
              <w:contextualSpacing/>
              <w:rPr>
                <w:b w:val="0"/>
                <w:bCs w:val="0"/>
                <w:sz w:val="18"/>
                <w:szCs w:val="18"/>
              </w:rPr>
            </w:pPr>
            <w:r w:rsidRPr="00415620">
              <w:rPr>
                <w:sz w:val="18"/>
                <w:szCs w:val="18"/>
              </w:rPr>
              <w:t>Sex: sex </w:t>
            </w:r>
          </w:p>
        </w:tc>
        <w:tc>
          <w:tcPr>
            <w:tcW w:w="6719" w:type="dxa"/>
            <w:hideMark/>
          </w:tcPr>
          <w:p w14:paraId="662662E4" w14:textId="77777777"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The biological sex of the patient, as described in the clinical narrative. </w:t>
            </w:r>
          </w:p>
        </w:tc>
      </w:tr>
    </w:tbl>
    <w:p w14:paraId="388385D9" w14:textId="77777777" w:rsidR="000079B2" w:rsidRDefault="000079B2" w:rsidP="000079B2"/>
    <w:p w14:paraId="28B29932" w14:textId="77777777" w:rsidR="000079B2" w:rsidRDefault="000079B2" w:rsidP="000079B2">
      <w:pPr>
        <w:rPr>
          <w:b/>
          <w:bCs/>
        </w:rPr>
      </w:pPr>
    </w:p>
    <w:p w14:paraId="66ABD1F4" w14:textId="77777777" w:rsidR="000079B2" w:rsidRPr="00514D02" w:rsidRDefault="000079B2" w:rsidP="000079B2">
      <w:pPr>
        <w:rPr>
          <w:b/>
          <w:bCs/>
        </w:rPr>
      </w:pPr>
      <w:r w:rsidRPr="00514D02">
        <w:rPr>
          <w:b/>
          <w:bCs/>
        </w:rPr>
        <w:t xml:space="preserve">Table </w:t>
      </w:r>
      <w:r>
        <w:rPr>
          <w:b/>
          <w:bCs/>
        </w:rPr>
        <w:t>S2</w:t>
      </w:r>
      <w:r w:rsidRPr="00514D02">
        <w:rPr>
          <w:rFonts w:hint="eastAsia"/>
          <w:b/>
          <w:bCs/>
        </w:rPr>
        <w:t xml:space="preserve">. </w:t>
      </w:r>
      <w:r w:rsidRPr="00514D02">
        <w:rPr>
          <w:b/>
          <w:bCs/>
        </w:rPr>
        <w:t xml:space="preserve">Performance </w:t>
      </w:r>
      <w:r w:rsidRPr="00514D02">
        <w:rPr>
          <w:rFonts w:hint="eastAsia"/>
          <w:b/>
          <w:bCs/>
        </w:rPr>
        <w:t xml:space="preserve">comparison </w:t>
      </w:r>
      <w:r w:rsidRPr="00514D02">
        <w:rPr>
          <w:b/>
          <w:bCs/>
        </w:rPr>
        <w:t>between Bert</w:t>
      </w:r>
      <w:r w:rsidRPr="00514D02">
        <w:rPr>
          <w:rFonts w:hint="eastAsia"/>
          <w:b/>
          <w:bCs/>
        </w:rPr>
        <w:t xml:space="preserve"> </w:t>
      </w:r>
      <w:r w:rsidRPr="00514D02">
        <w:rPr>
          <w:b/>
          <w:bCs/>
        </w:rPr>
        <w:t>models on VAERS Dataset (Regular Metrics).</w:t>
      </w:r>
    </w:p>
    <w:tbl>
      <w:tblPr>
        <w:tblStyle w:val="GridTable1Light"/>
        <w:tblW w:w="5000" w:type="pct"/>
        <w:tblLook w:val="04A0" w:firstRow="1" w:lastRow="0" w:firstColumn="1" w:lastColumn="0" w:noHBand="0" w:noVBand="1"/>
      </w:tblPr>
      <w:tblGrid>
        <w:gridCol w:w="1978"/>
        <w:gridCol w:w="1154"/>
        <w:gridCol w:w="842"/>
        <w:gridCol w:w="819"/>
        <w:gridCol w:w="871"/>
        <w:gridCol w:w="1154"/>
        <w:gridCol w:w="842"/>
        <w:gridCol w:w="819"/>
        <w:gridCol w:w="871"/>
      </w:tblGrid>
      <w:tr w:rsidR="000079B2" w:rsidRPr="00F52214" w14:paraId="7EDC7F4E" w14:textId="7777777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tcPr>
          <w:p w14:paraId="68A25FB8" w14:textId="77777777" w:rsidR="000079B2" w:rsidRPr="00F52214" w:rsidRDefault="000079B2">
            <w:pPr>
              <w:jc w:val="center"/>
            </w:pPr>
          </w:p>
        </w:tc>
        <w:tc>
          <w:tcPr>
            <w:tcW w:w="1971" w:type="pct"/>
            <w:gridSpan w:val="4"/>
            <w:vAlign w:val="center"/>
          </w:tcPr>
          <w:p w14:paraId="383F0D21"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Precisio</w:t>
            </w:r>
            <w:r>
              <w:t>n</w:t>
            </w:r>
          </w:p>
        </w:tc>
        <w:tc>
          <w:tcPr>
            <w:tcW w:w="1971" w:type="pct"/>
            <w:gridSpan w:val="4"/>
            <w:vAlign w:val="center"/>
          </w:tcPr>
          <w:p w14:paraId="65E78B6B"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Recall</w:t>
            </w:r>
          </w:p>
        </w:tc>
      </w:tr>
      <w:tr w:rsidR="000079B2" w:rsidRPr="00F52214" w14:paraId="1A16A90A"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6C0CC1B4" w14:textId="77777777" w:rsidR="000079B2" w:rsidRPr="00F52214" w:rsidRDefault="000079B2">
            <w:pPr>
              <w:jc w:val="center"/>
            </w:pPr>
            <w:r w:rsidRPr="00F52214">
              <w:t>Model</w:t>
            </w:r>
          </w:p>
        </w:tc>
        <w:tc>
          <w:tcPr>
            <w:tcW w:w="617" w:type="pct"/>
            <w:vAlign w:val="center"/>
            <w:hideMark/>
          </w:tcPr>
          <w:p w14:paraId="407005A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2495F43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27C5E6C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6" w:type="pct"/>
            <w:vAlign w:val="center"/>
            <w:hideMark/>
          </w:tcPr>
          <w:p w14:paraId="6E3408A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c>
          <w:tcPr>
            <w:tcW w:w="617" w:type="pct"/>
            <w:vAlign w:val="center"/>
            <w:hideMark/>
          </w:tcPr>
          <w:p w14:paraId="5D3C179A"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6562466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06331CD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5" w:type="pct"/>
            <w:vAlign w:val="center"/>
            <w:hideMark/>
          </w:tcPr>
          <w:p w14:paraId="71E5DB3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r>
      <w:tr w:rsidR="000079B2" w:rsidRPr="00F52214" w14:paraId="2024CF17"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725FADFC" w14:textId="77777777" w:rsidR="000079B2" w:rsidRPr="00F52214" w:rsidRDefault="000079B2">
            <w:pPr>
              <w:jc w:val="center"/>
            </w:pPr>
            <w:r w:rsidRPr="00F52214">
              <w:t>BioBERT</w:t>
            </w:r>
          </w:p>
        </w:tc>
        <w:tc>
          <w:tcPr>
            <w:tcW w:w="617" w:type="pct"/>
            <w:vAlign w:val="center"/>
            <w:hideMark/>
          </w:tcPr>
          <w:p w14:paraId="5BA2961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0.485</w:t>
            </w:r>
          </w:p>
        </w:tc>
        <w:tc>
          <w:tcPr>
            <w:tcW w:w="450" w:type="pct"/>
            <w:vAlign w:val="center"/>
            <w:hideMark/>
          </w:tcPr>
          <w:p w14:paraId="07646F1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0.598</w:t>
            </w:r>
          </w:p>
        </w:tc>
        <w:tc>
          <w:tcPr>
            <w:tcW w:w="438" w:type="pct"/>
            <w:vAlign w:val="center"/>
            <w:hideMark/>
          </w:tcPr>
          <w:p w14:paraId="33064F1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0.462</w:t>
            </w:r>
          </w:p>
        </w:tc>
        <w:tc>
          <w:tcPr>
            <w:tcW w:w="466" w:type="pct"/>
            <w:vAlign w:val="center"/>
            <w:hideMark/>
          </w:tcPr>
          <w:p w14:paraId="14153D17"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0.422</w:t>
            </w:r>
          </w:p>
        </w:tc>
        <w:tc>
          <w:tcPr>
            <w:tcW w:w="617" w:type="pct"/>
            <w:vAlign w:val="center"/>
            <w:hideMark/>
          </w:tcPr>
          <w:p w14:paraId="0DD54804"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0.655</w:t>
            </w:r>
          </w:p>
        </w:tc>
        <w:tc>
          <w:tcPr>
            <w:tcW w:w="450" w:type="pct"/>
            <w:vAlign w:val="center"/>
            <w:hideMark/>
          </w:tcPr>
          <w:p w14:paraId="4A387ED2"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0.858</w:t>
            </w:r>
          </w:p>
        </w:tc>
        <w:tc>
          <w:tcPr>
            <w:tcW w:w="438" w:type="pct"/>
            <w:vAlign w:val="center"/>
            <w:hideMark/>
          </w:tcPr>
          <w:p w14:paraId="74660F0F"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0.561</w:t>
            </w:r>
          </w:p>
        </w:tc>
        <w:tc>
          <w:tcPr>
            <w:tcW w:w="465" w:type="pct"/>
            <w:vAlign w:val="center"/>
            <w:hideMark/>
          </w:tcPr>
          <w:p w14:paraId="0A5CAB5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0.577</w:t>
            </w:r>
          </w:p>
        </w:tc>
      </w:tr>
      <w:tr w:rsidR="000079B2" w:rsidRPr="00F52214" w14:paraId="717B3258"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3F297395" w14:textId="77777777" w:rsidR="000079B2" w:rsidRPr="00F52214" w:rsidRDefault="000079B2">
            <w:pPr>
              <w:jc w:val="center"/>
            </w:pPr>
            <w:r w:rsidRPr="00F52214">
              <w:t>ClinicalBERT</w:t>
            </w:r>
          </w:p>
        </w:tc>
        <w:tc>
          <w:tcPr>
            <w:tcW w:w="617" w:type="pct"/>
            <w:vAlign w:val="center"/>
            <w:hideMark/>
          </w:tcPr>
          <w:p w14:paraId="3443E6E2"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0.509</w:t>
            </w:r>
          </w:p>
        </w:tc>
        <w:tc>
          <w:tcPr>
            <w:tcW w:w="450" w:type="pct"/>
            <w:vAlign w:val="center"/>
            <w:hideMark/>
          </w:tcPr>
          <w:p w14:paraId="2BFD3815"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0.610</w:t>
            </w:r>
          </w:p>
        </w:tc>
        <w:tc>
          <w:tcPr>
            <w:tcW w:w="438" w:type="pct"/>
            <w:vAlign w:val="center"/>
            <w:hideMark/>
          </w:tcPr>
          <w:p w14:paraId="2C5D382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0.474</w:t>
            </w:r>
          </w:p>
        </w:tc>
        <w:tc>
          <w:tcPr>
            <w:tcW w:w="466" w:type="pct"/>
            <w:vAlign w:val="center"/>
            <w:hideMark/>
          </w:tcPr>
          <w:p w14:paraId="0F3FDE5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0.450</w:t>
            </w:r>
          </w:p>
        </w:tc>
        <w:tc>
          <w:tcPr>
            <w:tcW w:w="617" w:type="pct"/>
            <w:vAlign w:val="center"/>
            <w:hideMark/>
          </w:tcPr>
          <w:p w14:paraId="2040EBC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0.610</w:t>
            </w:r>
          </w:p>
        </w:tc>
        <w:tc>
          <w:tcPr>
            <w:tcW w:w="450" w:type="pct"/>
            <w:vAlign w:val="center"/>
            <w:hideMark/>
          </w:tcPr>
          <w:p w14:paraId="75A2BC2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0.840</w:t>
            </w:r>
          </w:p>
        </w:tc>
        <w:tc>
          <w:tcPr>
            <w:tcW w:w="438" w:type="pct"/>
            <w:vAlign w:val="center"/>
            <w:hideMark/>
          </w:tcPr>
          <w:p w14:paraId="7F1A576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0.533</w:t>
            </w:r>
          </w:p>
        </w:tc>
        <w:tc>
          <w:tcPr>
            <w:tcW w:w="465" w:type="pct"/>
            <w:vAlign w:val="center"/>
            <w:hideMark/>
          </w:tcPr>
          <w:p w14:paraId="3098D048"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0.507</w:t>
            </w:r>
          </w:p>
        </w:tc>
      </w:tr>
      <w:tr w:rsidR="000079B2" w:rsidRPr="00F52214" w14:paraId="0111D914"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1E475228" w14:textId="77777777" w:rsidR="000079B2" w:rsidRPr="00F52214" w:rsidRDefault="000079B2">
            <w:pPr>
              <w:jc w:val="center"/>
            </w:pPr>
            <w:r w:rsidRPr="00F52214">
              <w:t>BERT</w:t>
            </w:r>
          </w:p>
        </w:tc>
        <w:tc>
          <w:tcPr>
            <w:tcW w:w="617" w:type="pct"/>
            <w:vAlign w:val="center"/>
            <w:hideMark/>
          </w:tcPr>
          <w:p w14:paraId="3127897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0.483</w:t>
            </w:r>
          </w:p>
        </w:tc>
        <w:tc>
          <w:tcPr>
            <w:tcW w:w="450" w:type="pct"/>
            <w:vAlign w:val="center"/>
            <w:hideMark/>
          </w:tcPr>
          <w:p w14:paraId="54D2931E"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0.596</w:t>
            </w:r>
          </w:p>
        </w:tc>
        <w:tc>
          <w:tcPr>
            <w:tcW w:w="438" w:type="pct"/>
            <w:vAlign w:val="center"/>
            <w:hideMark/>
          </w:tcPr>
          <w:p w14:paraId="2D62D8C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0.503</w:t>
            </w:r>
          </w:p>
        </w:tc>
        <w:tc>
          <w:tcPr>
            <w:tcW w:w="466" w:type="pct"/>
            <w:vAlign w:val="center"/>
            <w:hideMark/>
          </w:tcPr>
          <w:p w14:paraId="44229C23"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0.409</w:t>
            </w:r>
          </w:p>
        </w:tc>
        <w:tc>
          <w:tcPr>
            <w:tcW w:w="617" w:type="pct"/>
            <w:vAlign w:val="center"/>
            <w:hideMark/>
          </w:tcPr>
          <w:p w14:paraId="7ECCC8B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0.636</w:t>
            </w:r>
          </w:p>
        </w:tc>
        <w:tc>
          <w:tcPr>
            <w:tcW w:w="450" w:type="pct"/>
            <w:vAlign w:val="center"/>
            <w:hideMark/>
          </w:tcPr>
          <w:p w14:paraId="113E460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0.832</w:t>
            </w:r>
          </w:p>
        </w:tc>
        <w:tc>
          <w:tcPr>
            <w:tcW w:w="438" w:type="pct"/>
            <w:vAlign w:val="center"/>
            <w:hideMark/>
          </w:tcPr>
          <w:p w14:paraId="1D10E06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0.482</w:t>
            </w:r>
          </w:p>
        </w:tc>
        <w:tc>
          <w:tcPr>
            <w:tcW w:w="465" w:type="pct"/>
            <w:vAlign w:val="center"/>
            <w:hideMark/>
          </w:tcPr>
          <w:p w14:paraId="2B7D4D79"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0.592</w:t>
            </w:r>
          </w:p>
        </w:tc>
      </w:tr>
      <w:tr w:rsidR="000079B2" w:rsidRPr="00F52214" w14:paraId="7A0DB02E"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24C177A2" w14:textId="77777777" w:rsidR="000079B2" w:rsidRPr="00F52214" w:rsidRDefault="000079B2">
            <w:pPr>
              <w:jc w:val="center"/>
            </w:pPr>
            <w:r w:rsidRPr="00F52214">
              <w:t>Bio_ClinicalBERT</w:t>
            </w:r>
          </w:p>
        </w:tc>
        <w:tc>
          <w:tcPr>
            <w:tcW w:w="617" w:type="pct"/>
            <w:vAlign w:val="center"/>
            <w:hideMark/>
          </w:tcPr>
          <w:p w14:paraId="2D175181"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0.481</w:t>
            </w:r>
          </w:p>
        </w:tc>
        <w:tc>
          <w:tcPr>
            <w:tcW w:w="450" w:type="pct"/>
            <w:vAlign w:val="center"/>
            <w:hideMark/>
          </w:tcPr>
          <w:p w14:paraId="729E840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0.601</w:t>
            </w:r>
          </w:p>
        </w:tc>
        <w:tc>
          <w:tcPr>
            <w:tcW w:w="438" w:type="pct"/>
            <w:vAlign w:val="center"/>
            <w:hideMark/>
          </w:tcPr>
          <w:p w14:paraId="463D32D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0.451</w:t>
            </w:r>
          </w:p>
        </w:tc>
        <w:tc>
          <w:tcPr>
            <w:tcW w:w="466" w:type="pct"/>
            <w:vAlign w:val="center"/>
            <w:hideMark/>
          </w:tcPr>
          <w:p w14:paraId="34D530D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0.414</w:t>
            </w:r>
          </w:p>
        </w:tc>
        <w:tc>
          <w:tcPr>
            <w:tcW w:w="617" w:type="pct"/>
            <w:vAlign w:val="center"/>
            <w:hideMark/>
          </w:tcPr>
          <w:p w14:paraId="71BE5DF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0.641</w:t>
            </w:r>
          </w:p>
        </w:tc>
        <w:tc>
          <w:tcPr>
            <w:tcW w:w="450" w:type="pct"/>
            <w:vAlign w:val="center"/>
            <w:hideMark/>
          </w:tcPr>
          <w:p w14:paraId="2F270A9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0.864</w:t>
            </w:r>
          </w:p>
        </w:tc>
        <w:tc>
          <w:tcPr>
            <w:tcW w:w="438" w:type="pct"/>
            <w:vAlign w:val="center"/>
            <w:hideMark/>
          </w:tcPr>
          <w:p w14:paraId="07CD4E0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0.546</w:t>
            </w:r>
          </w:p>
        </w:tc>
        <w:tc>
          <w:tcPr>
            <w:tcW w:w="465" w:type="pct"/>
            <w:vAlign w:val="center"/>
            <w:hideMark/>
          </w:tcPr>
          <w:p w14:paraId="6A37CF0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0.552</w:t>
            </w:r>
          </w:p>
        </w:tc>
      </w:tr>
    </w:tbl>
    <w:p w14:paraId="7A2CCBD8" w14:textId="77777777" w:rsidR="000079B2" w:rsidRDefault="000079B2" w:rsidP="000079B2"/>
    <w:p w14:paraId="072C7EF5" w14:textId="77777777" w:rsidR="00644DF6" w:rsidRDefault="00644DF6" w:rsidP="00FF70DA"/>
    <w:p w14:paraId="4E819354" w14:textId="77777777" w:rsidR="00644DF6" w:rsidRDefault="00644DF6" w:rsidP="00FF70D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nny, Brandon *" w:date="2026-08-28T10:25:00Z" w:initials="PB">
    <w:p w14:paraId="061C72EF" w14:textId="50F359B3" w:rsidR="00201270" w:rsidRDefault="00201270">
      <w:pPr>
        <w:pStyle w:val="CommentText"/>
      </w:pPr>
      <w:r>
        <w:rPr>
          <w:rStyle w:val="CommentReference"/>
        </w:rPr>
        <w:annotationRef/>
      </w:r>
      <w:r w:rsidRPr="49D7770A">
        <w:rPr>
          <w:i/>
          <w:iCs/>
        </w:rPr>
        <w:t>Comment 2.11: Please, use italics when citing words and corpus examples, i.e., isoniazid, hepatitis...</w:t>
      </w:r>
      <w:r w:rsidRPr="745B89A0">
        <w: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1C72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C23D58" w16cex:dateUtc="2026-08-28T15: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1C72EF" w16cid:durableId="5FC23D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6"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nny, Brandon *">
    <w15:presenceInfo w15:providerId="AD" w15:userId="S::brandon.penny@fda.gov::00f4bfdd-4323-48fc-b59c-ce939e7ca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157E"/>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947"/>
    <w:rsid w:val="0015085A"/>
    <w:rsid w:val="00151E99"/>
    <w:rsid w:val="00153150"/>
    <w:rsid w:val="001544E5"/>
    <w:rsid w:val="0015458F"/>
    <w:rsid w:val="001545EB"/>
    <w:rsid w:val="00154D97"/>
    <w:rsid w:val="00155734"/>
    <w:rsid w:val="00162FD6"/>
    <w:rsid w:val="00163272"/>
    <w:rsid w:val="00166564"/>
    <w:rsid w:val="00166D66"/>
    <w:rsid w:val="00170282"/>
    <w:rsid w:val="00171BE6"/>
    <w:rsid w:val="00171D8D"/>
    <w:rsid w:val="00173186"/>
    <w:rsid w:val="00173F54"/>
    <w:rsid w:val="0017679F"/>
    <w:rsid w:val="0018020E"/>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362C"/>
    <w:rsid w:val="001B457B"/>
    <w:rsid w:val="001B4742"/>
    <w:rsid w:val="001B5DED"/>
    <w:rsid w:val="001B692F"/>
    <w:rsid w:val="001C1FA2"/>
    <w:rsid w:val="001C1FC5"/>
    <w:rsid w:val="001C2C23"/>
    <w:rsid w:val="001C3A74"/>
    <w:rsid w:val="001C79D3"/>
    <w:rsid w:val="001D445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3FF4"/>
    <w:rsid w:val="002D71C6"/>
    <w:rsid w:val="002E2163"/>
    <w:rsid w:val="002E2AB9"/>
    <w:rsid w:val="002E2EA5"/>
    <w:rsid w:val="002E34BE"/>
    <w:rsid w:val="002E3C2C"/>
    <w:rsid w:val="002E6DF0"/>
    <w:rsid w:val="002E70EF"/>
    <w:rsid w:val="002E7300"/>
    <w:rsid w:val="002E7C52"/>
    <w:rsid w:val="002E7D0D"/>
    <w:rsid w:val="002F2545"/>
    <w:rsid w:val="002F3436"/>
    <w:rsid w:val="002F6718"/>
    <w:rsid w:val="002F7410"/>
    <w:rsid w:val="00300A06"/>
    <w:rsid w:val="00301848"/>
    <w:rsid w:val="00301D42"/>
    <w:rsid w:val="00303366"/>
    <w:rsid w:val="003038A2"/>
    <w:rsid w:val="003039A7"/>
    <w:rsid w:val="00303BAD"/>
    <w:rsid w:val="00304222"/>
    <w:rsid w:val="00305957"/>
    <w:rsid w:val="00305CC6"/>
    <w:rsid w:val="00306AA9"/>
    <w:rsid w:val="00306D43"/>
    <w:rsid w:val="0031132B"/>
    <w:rsid w:val="003122A5"/>
    <w:rsid w:val="00313F76"/>
    <w:rsid w:val="003144FF"/>
    <w:rsid w:val="0032239E"/>
    <w:rsid w:val="00325804"/>
    <w:rsid w:val="00326ABB"/>
    <w:rsid w:val="003275E6"/>
    <w:rsid w:val="003279DF"/>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60D68"/>
    <w:rsid w:val="003705C2"/>
    <w:rsid w:val="003737AD"/>
    <w:rsid w:val="0037517F"/>
    <w:rsid w:val="00375858"/>
    <w:rsid w:val="00377547"/>
    <w:rsid w:val="003806D8"/>
    <w:rsid w:val="00380B65"/>
    <w:rsid w:val="0038289A"/>
    <w:rsid w:val="00384920"/>
    <w:rsid w:val="003911BF"/>
    <w:rsid w:val="00392439"/>
    <w:rsid w:val="00394FC9"/>
    <w:rsid w:val="00396B16"/>
    <w:rsid w:val="00397019"/>
    <w:rsid w:val="00397EF3"/>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2A01"/>
    <w:rsid w:val="0048577A"/>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7634"/>
    <w:rsid w:val="004C08B3"/>
    <w:rsid w:val="004C0AF5"/>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584F"/>
    <w:rsid w:val="00595C3A"/>
    <w:rsid w:val="0059664C"/>
    <w:rsid w:val="005A1202"/>
    <w:rsid w:val="005A12BB"/>
    <w:rsid w:val="005A6418"/>
    <w:rsid w:val="005A67B0"/>
    <w:rsid w:val="005A6A57"/>
    <w:rsid w:val="005A711E"/>
    <w:rsid w:val="005B25F5"/>
    <w:rsid w:val="005B2B1B"/>
    <w:rsid w:val="005B2DBA"/>
    <w:rsid w:val="005B437A"/>
    <w:rsid w:val="005B53AB"/>
    <w:rsid w:val="005B64F5"/>
    <w:rsid w:val="005C3794"/>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50BA"/>
    <w:rsid w:val="00625D39"/>
    <w:rsid w:val="006262B2"/>
    <w:rsid w:val="0062750A"/>
    <w:rsid w:val="00627C99"/>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B33D3"/>
    <w:rsid w:val="006C0B31"/>
    <w:rsid w:val="006C143C"/>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704"/>
    <w:rsid w:val="007247DA"/>
    <w:rsid w:val="0072508A"/>
    <w:rsid w:val="007278C6"/>
    <w:rsid w:val="00732614"/>
    <w:rsid w:val="0073635B"/>
    <w:rsid w:val="00736E23"/>
    <w:rsid w:val="00736F27"/>
    <w:rsid w:val="007441BD"/>
    <w:rsid w:val="00744428"/>
    <w:rsid w:val="0074537C"/>
    <w:rsid w:val="00750398"/>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2D08"/>
    <w:rsid w:val="008C5DAD"/>
    <w:rsid w:val="008C7919"/>
    <w:rsid w:val="008D0C52"/>
    <w:rsid w:val="008D1DBD"/>
    <w:rsid w:val="008D4423"/>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6A82"/>
    <w:rsid w:val="00936F00"/>
    <w:rsid w:val="00936F38"/>
    <w:rsid w:val="00937C38"/>
    <w:rsid w:val="009427AB"/>
    <w:rsid w:val="00942D82"/>
    <w:rsid w:val="009438BD"/>
    <w:rsid w:val="009445BD"/>
    <w:rsid w:val="00944784"/>
    <w:rsid w:val="00944B33"/>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6322"/>
    <w:rsid w:val="00A57EF6"/>
    <w:rsid w:val="00A6186E"/>
    <w:rsid w:val="00A64732"/>
    <w:rsid w:val="00A650AC"/>
    <w:rsid w:val="00A655F9"/>
    <w:rsid w:val="00A66DF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90C70"/>
    <w:rsid w:val="00C92A4B"/>
    <w:rsid w:val="00C97446"/>
    <w:rsid w:val="00C97867"/>
    <w:rsid w:val="00CA0929"/>
    <w:rsid w:val="00CA0E01"/>
    <w:rsid w:val="00CA262B"/>
    <w:rsid w:val="00CA2BB4"/>
    <w:rsid w:val="00CA4727"/>
    <w:rsid w:val="00CA519B"/>
    <w:rsid w:val="00CA5594"/>
    <w:rsid w:val="00CA617A"/>
    <w:rsid w:val="00CA63BA"/>
    <w:rsid w:val="00CB013D"/>
    <w:rsid w:val="00CB130B"/>
    <w:rsid w:val="00CB20F0"/>
    <w:rsid w:val="00CB22DA"/>
    <w:rsid w:val="00CB4997"/>
    <w:rsid w:val="00CC1581"/>
    <w:rsid w:val="00CC2879"/>
    <w:rsid w:val="00CC2BA7"/>
    <w:rsid w:val="00CC4DBB"/>
    <w:rsid w:val="00CD06EC"/>
    <w:rsid w:val="00CD0715"/>
    <w:rsid w:val="00CD12A5"/>
    <w:rsid w:val="00CD2F50"/>
    <w:rsid w:val="00CD3EFF"/>
    <w:rsid w:val="00CD4A9A"/>
    <w:rsid w:val="00CD6C34"/>
    <w:rsid w:val="00CE0368"/>
    <w:rsid w:val="00CE0AC4"/>
    <w:rsid w:val="00CE0F11"/>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739B"/>
    <w:rsid w:val="00D87E23"/>
    <w:rsid w:val="00D91267"/>
    <w:rsid w:val="00D91389"/>
    <w:rsid w:val="00D91B22"/>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D0E6C"/>
    <w:rsid w:val="00DD345F"/>
    <w:rsid w:val="00DD4A2D"/>
    <w:rsid w:val="00DD689A"/>
    <w:rsid w:val="00DD6EB4"/>
    <w:rsid w:val="00DE1B06"/>
    <w:rsid w:val="00DE37FF"/>
    <w:rsid w:val="00DE644B"/>
    <w:rsid w:val="00DE7634"/>
    <w:rsid w:val="00DF2076"/>
    <w:rsid w:val="00DF302E"/>
    <w:rsid w:val="00DF3E77"/>
    <w:rsid w:val="00DF5609"/>
    <w:rsid w:val="00DF5DD7"/>
    <w:rsid w:val="00E017EE"/>
    <w:rsid w:val="00E04912"/>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9B9"/>
    <w:rsid w:val="00E92C16"/>
    <w:rsid w:val="00E93768"/>
    <w:rsid w:val="00E96352"/>
    <w:rsid w:val="00EA0ED3"/>
    <w:rsid w:val="00EA2EEF"/>
    <w:rsid w:val="00EA3281"/>
    <w:rsid w:val="00EA4168"/>
    <w:rsid w:val="00EB1258"/>
    <w:rsid w:val="00EB5006"/>
    <w:rsid w:val="00EB59BA"/>
    <w:rsid w:val="00EC0CBC"/>
    <w:rsid w:val="00EC0D10"/>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E30"/>
    <w:rsid w:val="00EF4E51"/>
    <w:rsid w:val="00EF5966"/>
    <w:rsid w:val="00EF5C7F"/>
    <w:rsid w:val="00EF6048"/>
    <w:rsid w:val="00EF6319"/>
    <w:rsid w:val="00EF63A1"/>
    <w:rsid w:val="00EF6AE3"/>
    <w:rsid w:val="00F02033"/>
    <w:rsid w:val="00F02A52"/>
    <w:rsid w:val="00F05829"/>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B37"/>
    <w:rsid w:val="00FC2638"/>
    <w:rsid w:val="00FC2DF7"/>
    <w:rsid w:val="00FC33F6"/>
    <w:rsid w:val="00FC4104"/>
    <w:rsid w:val="00FC5989"/>
    <w:rsid w:val="00FC5DD6"/>
    <w:rsid w:val="00FD1DB3"/>
    <w:rsid w:val="00FD596F"/>
    <w:rsid w:val="00FD5B6E"/>
    <w:rsid w:val="00FD60AA"/>
    <w:rsid w:val="00FE06B6"/>
    <w:rsid w:val="00FE0F1A"/>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C2BA0ED"/>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rFonts w:eastAsiaTheme="minorEastAsia"/>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rFonts w:eastAsiaTheme="minorEastAsia"/>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rFonts w:eastAsiaTheme="minorEastAsia"/>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rFonts w:eastAsiaTheme="minorEastAsia"/>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rFonts w:eastAsiaTheme="minorEastAsia"/>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hyperlink" Target="https://github.com/seldas/LLM4AE" TargetMode="Externa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hyperlink" Target="https://huggingface.co/collections/meta-llama/llama-4"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www.fda.gov/drugs/surveillance/fdas-adverse-event-reporting-system-fa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25</Pages>
  <Words>9329</Words>
  <Characters>53180</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62385</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Wu, Leihong</cp:lastModifiedBy>
  <cp:revision>3</cp:revision>
  <dcterms:created xsi:type="dcterms:W3CDTF">2026-08-31T18:35:00Z</dcterms:created>
  <dcterms:modified xsi:type="dcterms:W3CDTF">2026-08-31T18:36:00Z</dcterms:modified>
</cp:coreProperties>
</file>