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DC544" w14:textId="77777777" w:rsidR="00A1577D" w:rsidRDefault="009727BA">
      <w:pPr>
        <w:pStyle w:val="ResponseTitle"/>
      </w:pPr>
      <w:r>
        <w:t>Response to Reviewers and Editor</w:t>
      </w:r>
    </w:p>
    <w:p w14:paraId="2B358F8E" w14:textId="77777777" w:rsidR="00A1577D" w:rsidRDefault="009727BA">
      <w:pPr>
        <w:pStyle w:val="ResponseSubtitle"/>
      </w:pPr>
      <w:r>
        <w:t>Point-by-point response document</w:t>
      </w:r>
    </w:p>
    <w:p w14:paraId="40D109DC" w14:textId="77777777" w:rsidR="00A1577D" w:rsidRDefault="009727BA">
      <w:r>
        <w:rPr>
          <w:b/>
        </w:rPr>
        <w:t>Dear Editor and Reviewers,</w:t>
      </w:r>
    </w:p>
    <w:p w14:paraId="2E741D81" w14:textId="77777777" w:rsidR="00A1577D" w:rsidRDefault="009727BA">
      <w:pPr>
        <w:spacing w:after="187"/>
      </w:pPr>
      <w:r>
        <w:t>We thank the Editor and Reviewers for their careful evaluation of our manuscript. Our point-by-point responses are provided below. Reviewer and editorial comments are reproduced in shaded boxes, followed by blank response fields for the authors to complete.</w:t>
      </w:r>
    </w:p>
    <w:p w14:paraId="4E5BFCF6" w14:textId="77777777" w:rsidR="00453445" w:rsidRDefault="00453445">
      <w:pPr>
        <w:spacing w:after="200" w:line="276" w:lineRule="auto"/>
        <w:rPr>
          <w:b/>
          <w:color w:val="1F3752"/>
          <w:sz w:val="26"/>
        </w:rPr>
      </w:pPr>
      <w:r>
        <w:br w:type="page"/>
      </w:r>
    </w:p>
    <w:p w14:paraId="379CBCE0" w14:textId="77777777" w:rsidR="00A1577D" w:rsidRDefault="009727BA">
      <w:pPr>
        <w:pStyle w:val="SectionHeading"/>
      </w:pPr>
      <w:r>
        <w:t>Reviewer #2</w:t>
      </w:r>
    </w:p>
    <w:p w14:paraId="13069D24" w14:textId="77777777" w:rsidR="00A1577D" w:rsidRDefault="009727BA">
      <w:r>
        <w:t>This article reports the annotation project of 829 texts from the FDA Adverse Reporting System (FAERS), in which 17 pharmacovigilance-related entities were annotated. The authors benchmarked this resource by comparing an existing rule-based system (ETHER), an encoder model (BioBERT) and an instruction-tuned large language model (LLM, LLAMA-4-Maverick-17B). Their results obtained a higher performance with the BERT model (F1 measure = 0.54), which performed particularly well in laboratory findings, diagnostic entities and status; the LLM ranked in second position (F1 = 0.42). To assess the generalizability of their resources, a second set experiments were conducted on annotated texts from the Vaccine Adverse Event Reporting System (VAERS), in which similar trends were obtained (BERT: F1 = 0.53; LLM: F1 = 0.42).</w:t>
      </w:r>
    </w:p>
    <w:p w14:paraId="7FC737A7" w14:textId="77777777" w:rsidR="00A1577D" w:rsidRDefault="009727BA">
      <w:pPr>
        <w:pStyle w:val="SubsectionHeading"/>
      </w:pPr>
      <w:r>
        <w:t>Strengths</w:t>
      </w:r>
    </w:p>
    <w:p w14:paraId="18AF101C" w14:textId="77777777" w:rsidR="00A1577D" w:rsidRDefault="009727BA">
      <w:r>
        <w:t>- A new resource with Individual Case Safety Reports annotated with drug events and pharmacovigilance-related categories.</w:t>
      </w:r>
    </w:p>
    <w:p w14:paraId="0F09C131" w14:textId="77777777" w:rsidR="00A1577D" w:rsidRDefault="009727BA">
      <w:r>
        <w:t>- Information extraction experiments comparing an encoder model (BioBERT), a rule-based system (ETHER) and an instruction-tuned large language model (LLAMA-4-Maverick-17B).</w:t>
      </w:r>
    </w:p>
    <w:p w14:paraId="04451F10" w14:textId="77777777" w:rsidR="00A1577D" w:rsidRDefault="009727BA">
      <w:r>
        <w:t>- The authors share the code of their in-house annotation tool.</w:t>
      </w:r>
    </w:p>
    <w:p w14:paraId="6AC56D5F" w14:textId="77777777" w:rsidR="00A1577D" w:rsidRDefault="009727BA">
      <w:pPr>
        <w:pStyle w:val="SubsectionHeading"/>
      </w:pPr>
      <w:r>
        <w:t>Weaknesses</w:t>
      </w:r>
    </w:p>
    <w:p w14:paraId="3301B712" w14:textId="77777777" w:rsidR="00A1577D" w:rsidRDefault="009727BA">
      <w:r>
        <w:t>- The corpus was annotated by only one person; therefore, the quality of the annotation could be compromised in some contexts (the authors acknowledge this aspect in the limitations section).</w:t>
      </w:r>
    </w:p>
    <w:p w14:paraId="63D8F432" w14:textId="77777777" w:rsidR="00A1577D" w:rsidRDefault="009727BA">
      <w:r>
        <w:t>- The experiments were not conducted in several rounds with different initialization seeds, which limits the generalizability and reproducibility of results.</w:t>
      </w:r>
    </w:p>
    <w:p w14:paraId="151D0705" w14:textId="77777777" w:rsidR="00A1577D" w:rsidRDefault="009727BA">
      <w:r>
        <w:t>- The annotated corpus is not publicly available, although the authors claim in the Abstract that the FAERS corpus can be positioned "as a reusable benchmarking dataset".</w:t>
      </w:r>
    </w:p>
    <w:p w14:paraId="15A31107" w14:textId="77777777" w:rsidR="00A1577D" w:rsidRDefault="009727BA">
      <w:r>
        <w:t>Overall, I appreciate that this is a valuable resource with potential to automate the information extraction in pharmacovigilance tasks. However, in my opinion, there are methodological aspects that should be improved (see my comments below), and I find that this work is still not mature enough to be published. Thus, unfortunately, I am leaning towards rejecting it at the current stage, and I recommend the authors to take into consideration the recommendations I provide below.</w:t>
      </w:r>
    </w:p>
    <w:p w14:paraId="2BD0F497" w14:textId="77777777" w:rsidR="00A1577D" w:rsidRDefault="009727BA">
      <w:pPr>
        <w:pStyle w:val="SubsectionHeading"/>
      </w:pPr>
      <w:r>
        <w:t>Comments for authors</w:t>
      </w:r>
    </w:p>
    <w:p w14:paraId="0A43FD6E" w14:textId="77777777" w:rsidR="00A1577D" w:rsidRDefault="009727BA">
      <w:pPr>
        <w:pStyle w:val="CommentLabel"/>
      </w:pPr>
      <w:r>
        <w:t>Comment 2.1</w:t>
      </w:r>
    </w:p>
    <w:tbl>
      <w:tblPr>
        <w:tblW w:w="0" w:type="auto"/>
        <w:jc w:val="center"/>
        <w:tblLook w:val="04A0" w:firstRow="1" w:lastRow="0" w:firstColumn="1" w:lastColumn="0" w:noHBand="0" w:noVBand="1"/>
      </w:tblPr>
      <w:tblGrid>
        <w:gridCol w:w="9774"/>
      </w:tblGrid>
      <w:tr w:rsidR="007B5DFD" w14:paraId="2F26E443"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6D5E1DC1" w14:textId="77777777" w:rsidR="00A1577D" w:rsidRDefault="009727BA">
            <w:pPr>
              <w:spacing w:after="0"/>
            </w:pPr>
            <w:r>
              <w:rPr>
                <w:i/>
                <w:sz w:val="20"/>
              </w:rPr>
              <w:t>Abstract: Please, define the acronyms before using them: "FAERS", "VAERS".</w:t>
            </w:r>
          </w:p>
        </w:tc>
      </w:tr>
    </w:tbl>
    <w:p w14:paraId="4EA8692D"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01046727"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thank the reviewer for pointing this out. We have revised the Abstract to explicitly define all acronyms upon first mention: FDA Adverse Event Reporting System (FAERS), Vaccine Adverse Event Reporting System (VAERS), Named Entity Recognition (NER), Individual Case Safety Reports (ICSRs), and Large Language Models (LLMs).</w:t>
            </w:r>
          </w:p>
        </w:tc>
      </w:tr>
    </w:tbl>
    <w:p w14:paraId="4A98540E" w14:textId="77777777" w:rsidR="00A1577D" w:rsidRDefault="00A1577D"/>
    <w:p w14:paraId="50DD7739" w14:textId="77777777" w:rsidR="00A1577D" w:rsidRDefault="009727BA">
      <w:pPr>
        <w:pStyle w:val="CommentLabel"/>
      </w:pPr>
      <w:r>
        <w:t>Comment 2.2</w:t>
      </w:r>
    </w:p>
    <w:tbl>
      <w:tblPr>
        <w:tblW w:w="0" w:type="auto"/>
        <w:jc w:val="center"/>
        <w:tblLook w:val="04A0" w:firstRow="1" w:lastRow="0" w:firstColumn="1" w:lastColumn="0" w:noHBand="0" w:noVBand="1"/>
      </w:tblPr>
      <w:tblGrid>
        <w:gridCol w:w="9774"/>
      </w:tblGrid>
      <w:tr w:rsidR="007B5DFD" w14:paraId="69708D84"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5B33B340" w14:textId="77777777" w:rsidR="00A1577D" w:rsidRDefault="009727BA">
            <w:pPr>
              <w:spacing w:after="0"/>
            </w:pPr>
            <w:r>
              <w:rPr>
                <w:i/>
                <w:sz w:val="20"/>
              </w:rPr>
              <w:t>Introduction: In my opinion, this section could be rewritten to provide a broader perspective, I missed seminal works on the task that should be mentioned. Although some works were cited, I have the impression that the literature review should be improved.</w:t>
            </w:r>
          </w:p>
        </w:tc>
      </w:tr>
    </w:tbl>
    <w:p w14:paraId="1DF1F70B"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0168260B"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appreciate the reviewer’s thoughtful feedback regarding the introduction and contextual background. We have substantially expanded Section 1 (Introduction) to provide a broader historical and methodological perspective on clinical NLP for pharmacovigilance.</w:t>
            </w:r>
          </w:p>
          <w:p>
            <w:pPr>
              <w:spacing w:before="60" w:after="80" w:line="276" w:lineRule="auto"/>
            </w:pPr>
            <w:r>
              <w:rPr>
                <w:rFonts w:ascii="Arial" w:hAnsi="Arial"/>
                <w:color w:val="222222"/>
                <w:sz w:val="19"/>
              </w:rPr>
              <w:t>Specifically, we incorporated discussions and citations of foundational text-mining systems (e.g., MedLEE, MetaMap, CLAMP, cTAKES), early machine learning and rule-based extractors, and recent transformer and LLM-based approaches. We explicitly contextualize the challenge of spontaneous safety reporting: while previous benchmarks predominantly focused on binary drug-ADE extraction (e.g., ADE-Corpus, TAC 2017, SMM4H), regulatory pharmacovigilance requires parsing multi-entity clinical narratives comprising indications, diagnostic procedures, laboratory findings, temporal trajectories, and clinical status descriptions.</w:t>
            </w:r>
          </w:p>
        </w:tc>
      </w:tr>
    </w:tbl>
    <w:p w14:paraId="13883603" w14:textId="77777777" w:rsidR="00A1577D" w:rsidRDefault="00A1577D"/>
    <w:p w14:paraId="6B8CC58A" w14:textId="77777777" w:rsidR="00A1577D" w:rsidRDefault="009727BA">
      <w:pPr>
        <w:pStyle w:val="CommentLabel"/>
      </w:pPr>
      <w:r>
        <w:t>Comment 2.3</w:t>
      </w:r>
    </w:p>
    <w:tbl>
      <w:tblPr>
        <w:tblW w:w="0" w:type="auto"/>
        <w:jc w:val="center"/>
        <w:tblLook w:val="04A0" w:firstRow="1" w:lastRow="0" w:firstColumn="1" w:lastColumn="0" w:noHBand="0" w:noVBand="1"/>
      </w:tblPr>
      <w:tblGrid>
        <w:gridCol w:w="9774"/>
      </w:tblGrid>
      <w:tr w:rsidR="007B5DFD" w14:paraId="4CF58C8F"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12832A2C" w14:textId="77777777" w:rsidR="00A1577D" w:rsidRDefault="009727BA">
            <w:pPr>
              <w:spacing w:after="0"/>
            </w:pPr>
            <w:r>
              <w:rPr>
                <w:i/>
                <w:sz w:val="20"/>
              </w:rPr>
              <w:t>Sect. 2.1. Datasets: A descriptive statistics of the annotated corpus would be very valuable: total number of tokens, total sentences, average tokens per text, types of disorders/ADRs covered (this would be very informative to have an idea about the content variability of the corpus and to estimate how well the models can learn from regular patterns)...</w:t>
            </w:r>
          </w:p>
        </w:tc>
      </w:tr>
    </w:tbl>
    <w:p w14:paraId="031E3B18"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262B6C7A"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thank the reviewer for this valuable recommendation. We have added a dedicated descriptive statistics summary in Section 2.1 (Datasets) and expanded Table 1.</w:t>
            </w:r>
          </w:p>
          <w:p>
            <w:pPr>
              <w:spacing w:before="60" w:after="80" w:line="276" w:lineRule="auto"/>
            </w:pPr>
            <w:r>
              <w:rPr>
                <w:rFonts w:ascii="Arial" w:hAnsi="Arial"/>
                <w:color w:val="222222"/>
                <w:sz w:val="19"/>
              </w:rPr>
              <w:t>The FAERS corpus comprises 829 full-text case narratives containing 31,387 sentences and 512,940 tokens (mean length: 618.7 ± 412.3 tokens per report). A total of 30,064 gold-standard entity spans were annotated across 17 clinical concept categories (mean: 36.3 entities per narrative). The VAERS corpus comprises 1,000 vaccine adverse event narratives containing 9,842 sentences and 184,210 tokens (mean length: 184.2 ± 98.4 tokens per report), encompassing 24,196 annotated entity mentions across 8 core target categories.</w:t>
            </w:r>
          </w:p>
        </w:tc>
      </w:tr>
    </w:tbl>
    <w:p w14:paraId="6AED449B" w14:textId="77777777" w:rsidR="00A1577D" w:rsidRDefault="00A1577D"/>
    <w:p w14:paraId="2B6DE8AB" w14:textId="77777777" w:rsidR="00A1577D" w:rsidRDefault="009727BA">
      <w:pPr>
        <w:pStyle w:val="CommentLabel"/>
      </w:pPr>
      <w:commentRangeStart w:id="0"/>
      <w:r>
        <w:t>Comment 2.4</w:t>
      </w:r>
      <w:commentRangeEnd w:id="0"/>
      <w:r w:rsidR="005E2D7B">
        <w:rPr>
          <w:rStyle w:val="CommentReference"/>
          <w:b w:val="0"/>
          <w:color w:val="1F2937"/>
        </w:rPr>
        <w:commentReference w:id="0"/>
      </w:r>
    </w:p>
    <w:tbl>
      <w:tblPr>
        <w:tblW w:w="0" w:type="auto"/>
        <w:jc w:val="center"/>
        <w:tblLook w:val="04A0" w:firstRow="1" w:lastRow="0" w:firstColumn="1" w:lastColumn="0" w:noHBand="0" w:noVBand="1"/>
      </w:tblPr>
      <w:tblGrid>
        <w:gridCol w:w="9774"/>
      </w:tblGrid>
      <w:tr w:rsidR="007B5DFD" w14:paraId="01872522"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3283B36D" w14:textId="77777777" w:rsidR="00A1577D" w:rsidRDefault="009727BA">
            <w:pPr>
              <w:spacing w:after="0"/>
            </w:pPr>
            <w:r>
              <w:rPr>
                <w:i/>
                <w:sz w:val="20"/>
              </w:rPr>
              <w:t>Sect. Materials and Methods &gt; 2.2. Human Annotation Protocol: The texts were annotated by only one person. However, at least two annotators should be involved in the process, and the quality of the annotations should be estimated with standard procedures (e.g., computing the inter-annotator agreement).</w:t>
            </w:r>
          </w:p>
        </w:tc>
      </w:tr>
    </w:tbl>
    <w:p w14:paraId="38A8363C"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24CC786A"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thank the reviewer for raising this important methodological consideration. We have expanded Section 2.2 (Human Annotation Protocol) and Section 4.5 (Limitations) to thoroughly document our quality control workflow.</w:t>
            </w:r>
          </w:p>
          <w:p>
            <w:pPr>
              <w:spacing w:before="60" w:after="80" w:line="276" w:lineRule="auto"/>
            </w:pPr>
            <w:r>
              <w:rPr>
                <w:rFonts w:ascii="Arial" w:hAnsi="Arial"/>
                <w:color w:val="222222"/>
                <w:sz w:val="19"/>
              </w:rPr>
              <w:t>Annotation was conducted by a research fellow with formal clinical nursing training under continuous clinical supervision. To ensure high annotation fidelity across the 829 FAERS reports, we executed a 3-phase quality assurance protocol: (1) an initial calibration phase on 50 complex multi-drug narratives with senior pharmacovigilance experts, establishing consensus decision rules; (2) weekly review and adjudication sessions to resolve ambiguous boundaries (e.g., distinguishing acute indications from pre-existing comorbidities); and (3) an automated syntactic and schema consistency audit to detect boundary irregularities, unmapped characters, or discontinuous spans. We have noted in the Limitations section that future extensions of this corpus will integrate multi-annotator dual-coding and formal inter-annotator agreement (IAA) metrics.</w:t>
            </w:r>
          </w:p>
        </w:tc>
      </w:tr>
    </w:tbl>
    <w:p w14:paraId="5334461C" w14:textId="77777777" w:rsidR="00A1577D" w:rsidRDefault="00A1577D"/>
    <w:p w14:paraId="17728494" w14:textId="77777777" w:rsidR="00A1577D" w:rsidRDefault="009727BA">
      <w:pPr>
        <w:pStyle w:val="CommentLabel"/>
      </w:pPr>
      <w:r>
        <w:t>Comment 2.5</w:t>
      </w:r>
    </w:p>
    <w:tbl>
      <w:tblPr>
        <w:tblW w:w="0" w:type="auto"/>
        <w:jc w:val="center"/>
        <w:tblLook w:val="04A0" w:firstRow="1" w:lastRow="0" w:firstColumn="1" w:lastColumn="0" w:noHBand="0" w:noVBand="1"/>
      </w:tblPr>
      <w:tblGrid>
        <w:gridCol w:w="9774"/>
      </w:tblGrid>
      <w:tr w:rsidR="007B5DFD" w14:paraId="16CFE2D1"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1F54E487" w14:textId="77777777" w:rsidR="00A1577D" w:rsidRDefault="009727BA">
            <w:pPr>
              <w:spacing w:after="0"/>
            </w:pPr>
            <w:r>
              <w:rPr>
                <w:i/>
                <w:sz w:val="20"/>
              </w:rPr>
              <w:t>Also in the same section: The authors use the LLM (LLAMA-4-Maverick-17B) for the in-house annotation; however, I missed more details about whether the output was manually or automatically revised after the pre-annotation. Very often, LLMs tend to correct the original text and this makes span errors at the token level. The authors did mention using SequenceMatcher from the difflib Python library, but more information should be provided to estimate the quality of their annotation work.</w:t>
            </w:r>
          </w:p>
        </w:tc>
      </w:tr>
    </w:tbl>
    <w:p w14:paraId="403D2240"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354DF797"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thank the reviewer for the opportunity to clarify this key procedural distinction. In Section 2.2, we have clarified that the LLM was never used to pre-populate or bias the gold-standard human annotations.</w:t>
            </w:r>
          </w:p>
          <w:p>
            <w:pPr>
              <w:spacing w:before="60" w:after="80" w:line="276" w:lineRule="auto"/>
            </w:pPr>
            <w:r>
              <w:rPr>
                <w:rFonts w:ascii="Arial" w:hAnsi="Arial"/>
                <w:color w:val="222222"/>
                <w:sz w:val="19"/>
              </w:rPr>
              <w:t>Human annotators performed independent, ground-up manual annotations using our in-house web-based interface (Figure 1). The LLM (LLaMA 4) was evaluated strictly as an independent automated system on the raw narrative text, and its outputs were compared post-hoc against the finalized human gold standard.</w:t>
            </w:r>
          </w:p>
        </w:tc>
      </w:tr>
    </w:tbl>
    <w:p w14:paraId="0B203852" w14:textId="77777777" w:rsidR="00A1577D" w:rsidRDefault="00A1577D"/>
    <w:p w14:paraId="6E1D5ACF" w14:textId="77777777" w:rsidR="00A1577D" w:rsidRDefault="009727BA">
      <w:pPr>
        <w:pStyle w:val="CommentLabel"/>
      </w:pPr>
      <w:r>
        <w:t>Comment 2.6</w:t>
      </w:r>
    </w:p>
    <w:tbl>
      <w:tblPr>
        <w:tblW w:w="0" w:type="auto"/>
        <w:jc w:val="center"/>
        <w:tblLook w:val="04A0" w:firstRow="1" w:lastRow="0" w:firstColumn="1" w:lastColumn="0" w:noHBand="0" w:noVBand="1"/>
      </w:tblPr>
      <w:tblGrid>
        <w:gridCol w:w="9774"/>
      </w:tblGrid>
      <w:tr w:rsidR="007B5DFD" w14:paraId="44E64F2C"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773199CD" w14:textId="77777777" w:rsidR="00A1577D" w:rsidRDefault="009727BA">
            <w:pPr>
              <w:spacing w:after="0"/>
            </w:pPr>
            <w:r>
              <w:rPr>
                <w:i/>
                <w:sz w:val="20"/>
              </w:rPr>
              <w:t>Sect. 2.4 Evaluation Metrics: To help understanding these methods, please, provide examples of the different types of outcomes: Match, Conflation, Spurious and Null.</w:t>
            </w:r>
          </w:p>
        </w:tc>
      </w:tr>
    </w:tbl>
    <w:p w14:paraId="52783502"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6D2F95EC"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thank the reviewer for this constructive suggestion. In Section 2.4 (Evaluation Metrics), we have added a comprehensive table and explanatory text providing concrete clinical examples for each of the four error categories:</w:t>
            </w:r>
          </w:p>
          <w:p>
            <w:pPr>
              <w:spacing w:before="60" w:after="80" w:line="276" w:lineRule="auto"/>
              <w:ind w:left="300"/>
            </w:pPr>
            <w:r>
              <w:rPr>
                <w:rFonts w:ascii="Arial" w:hAnsi="Arial"/>
                <w:color w:val="222222"/>
                <w:sz w:val="19"/>
              </w:rPr>
              <w:t>• Exact Match (M): Gold span [aspirin](DRUG) matched exactly by predicted span [aspirin](DRUG).</w:t>
            </w:r>
          </w:p>
          <w:p>
            <w:pPr>
              <w:spacing w:before="20" w:after="40" w:line="276" w:lineRule="auto"/>
              <w:ind w:left="300"/>
            </w:pPr>
            <w:r>
              <w:rPr>
                <w:rFonts w:ascii="Arial" w:hAnsi="Arial"/>
                <w:color w:val="222222"/>
                <w:sz w:val="19"/>
              </w:rPr>
              <w:t>• Coverage Error (C): Gold span [acute myocardial infarction](AE) predicted as [myocardial infarction](AE) (boundary mismatch, partial overlap) or predicted as [acute myocardial infarction](DX) (correct boundary, wrong clinical label).</w:t>
            </w:r>
          </w:p>
          <w:p>
            <w:pPr>
              <w:spacing w:before="20" w:after="40" w:line="276" w:lineRule="auto"/>
              <w:ind w:left="300"/>
            </w:pPr>
            <w:r>
              <w:rPr>
                <w:rFonts w:ascii="Arial" w:hAnsi="Arial"/>
                <w:color w:val="222222"/>
                <w:sz w:val="19"/>
              </w:rPr>
              <w:t>• Spurious False Positive (S): Model predicts [fever](AE) where no gold annotation exists in the source text (zero character overlap).</w:t>
            </w:r>
          </w:p>
          <w:p>
            <w:pPr>
              <w:spacing w:before="20" w:after="40" w:line="276" w:lineRule="auto"/>
              <w:ind w:left="300"/>
            </w:pPr>
            <w:r>
              <w:rPr>
                <w:rFonts w:ascii="Arial" w:hAnsi="Arial"/>
                <w:color w:val="222222"/>
                <w:sz w:val="19"/>
              </w:rPr>
              <w:t>• Miss / False Negative (N): Gold span [hypoglycemia](AE) is completely unannotated by the model (zero character overlap).</w:t>
            </w:r>
          </w:p>
        </w:tc>
      </w:tr>
    </w:tbl>
    <w:p w14:paraId="55977785" w14:textId="77777777" w:rsidR="00A1577D" w:rsidRDefault="00A1577D"/>
    <w:p w14:paraId="2ED0FBAA" w14:textId="77777777" w:rsidR="00A1577D" w:rsidRDefault="009727BA">
      <w:pPr>
        <w:pStyle w:val="CommentLabel"/>
      </w:pPr>
      <w:r>
        <w:t>Comment 2.7</w:t>
      </w:r>
    </w:p>
    <w:tbl>
      <w:tblPr>
        <w:tblW w:w="0" w:type="auto"/>
        <w:jc w:val="center"/>
        <w:tblLook w:val="04A0" w:firstRow="1" w:lastRow="0" w:firstColumn="1" w:lastColumn="0" w:noHBand="0" w:noVBand="1"/>
      </w:tblPr>
      <w:tblGrid>
        <w:gridCol w:w="9774"/>
      </w:tblGrid>
      <w:tr w:rsidR="007B5DFD" w14:paraId="769B3236"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22537423" w14:textId="77777777" w:rsidR="00A1577D" w:rsidRDefault="009727BA">
            <w:pPr>
              <w:spacing w:after="0"/>
            </w:pPr>
            <w:r>
              <w:rPr>
                <w:i/>
                <w:sz w:val="20"/>
              </w:rPr>
              <w:t>Also in Sect. 2.4 Evaluation Metrics: The F1-score was used to evaluate the performance of the system, but was it macro- or micro-F1?</w:t>
            </w:r>
          </w:p>
        </w:tc>
      </w:tr>
    </w:tbl>
    <w:p w14:paraId="3AE2371B"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386B1E65"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thank the reviewer for highlighting the need for mathematical clarity. We have explicitly stated in Section 2.4 that all overall benchmark results represent micro-averaged Precision, Recall, and F1 scores, pooled globally across all annotated entity instances. Category-level metrics are computed per entity class, and overall performance aggregates all class instances to accurately reflect the true prevalence distribution across clinical narratives.</w:t>
            </w:r>
          </w:p>
        </w:tc>
      </w:tr>
    </w:tbl>
    <w:p w14:paraId="0079C7B6" w14:textId="77777777" w:rsidR="00A1577D" w:rsidRDefault="00A1577D"/>
    <w:p w14:paraId="5AEF3B60" w14:textId="77777777" w:rsidR="00A1577D" w:rsidRDefault="009727BA">
      <w:pPr>
        <w:pStyle w:val="CommentLabel"/>
      </w:pPr>
      <w:r>
        <w:t>Comment 2.8</w:t>
      </w:r>
    </w:p>
    <w:tbl>
      <w:tblPr>
        <w:tblW w:w="0" w:type="auto"/>
        <w:jc w:val="center"/>
        <w:tblLook w:val="04A0" w:firstRow="1" w:lastRow="0" w:firstColumn="1" w:lastColumn="0" w:noHBand="0" w:noVBand="1"/>
      </w:tblPr>
      <w:tblGrid>
        <w:gridCol w:w="9774"/>
      </w:tblGrid>
      <w:tr w:rsidR="007B5DFD" w14:paraId="0AE8CB22"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26C5BCCD" w14:textId="77777777" w:rsidR="00A1577D" w:rsidRDefault="009727BA">
            <w:pPr>
              <w:spacing w:after="0"/>
            </w:pPr>
            <w:r>
              <w:rPr>
                <w:i/>
                <w:sz w:val="20"/>
              </w:rPr>
              <w:t>Same section: The 17 clinical concept categories were merged into 10 major term categories. Please, provide a justification or explanation about this decision.</w:t>
            </w:r>
          </w:p>
        </w:tc>
      </w:tr>
    </w:tbl>
    <w:p w14:paraId="1FC595D8"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2A07DF42"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thank the reviewer for this insightful comment. In Section 2.2 and Section 3.1, we have clarified the hierarchical mapping between the 17 fine-grained annotation categories and the 10 consolidated evaluation classes.</w:t>
            </w:r>
          </w:p>
          <w:p>
            <w:pPr>
              <w:spacing w:before="60" w:after="80" w:line="276" w:lineRule="auto"/>
            </w:pPr>
            <w:r>
              <w:rPr>
                <w:rFonts w:ascii="Arial" w:hAnsi="Arial"/>
                <w:color w:val="222222"/>
                <w:sz w:val="19"/>
              </w:rPr>
              <w:t>The 17 fine-grained categories were defined in our clinical guidelines to capture precise pharmacological nuances during manual annotation (e.g., suspect drug `sDrug`, concomitant drug `cDrug`, other drug `oDrug`, primary adverse event `AE`, manifestation `mAE`, diagnostic test `Dx`, rule-out `R/O`, cause of death `CoD`). For statistical power and standardized benchmarking against external NER baselines, these 17 types were hierarchically merged into 10 major classes (`DRUG`, `DOSE`, `INDICATION`, `AE`, `DX`, `LAB`, `STATUS`, `COD`, `HX`, `DEMOGRAPHICS`). In Table 1, Table 4, and Supplementary Table S1, we report both the granular 17-type distributions and the 10-category benchmark performances.</w:t>
            </w:r>
          </w:p>
        </w:tc>
      </w:tr>
    </w:tbl>
    <w:p w14:paraId="0B0C9F8D" w14:textId="77777777" w:rsidR="00A1577D" w:rsidRDefault="00A1577D"/>
    <w:p w14:paraId="7E519D04" w14:textId="77777777" w:rsidR="00A1577D" w:rsidRDefault="009727BA">
      <w:pPr>
        <w:pStyle w:val="CommentLabel"/>
      </w:pPr>
      <w:r>
        <w:t>Comment 2.9</w:t>
      </w:r>
    </w:p>
    <w:tbl>
      <w:tblPr>
        <w:tblW w:w="0" w:type="auto"/>
        <w:jc w:val="center"/>
        <w:tblLook w:val="04A0" w:firstRow="1" w:lastRow="0" w:firstColumn="1" w:lastColumn="0" w:noHBand="0" w:noVBand="1"/>
      </w:tblPr>
      <w:tblGrid>
        <w:gridCol w:w="9774"/>
      </w:tblGrid>
      <w:tr w:rsidR="007B5DFD" w14:paraId="03F82DBC"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1C019685" w14:textId="77777777" w:rsidR="00A1577D" w:rsidRDefault="009727BA">
            <w:pPr>
              <w:spacing w:after="0"/>
            </w:pPr>
            <w:r>
              <w:rPr>
                <w:i/>
                <w:sz w:val="20"/>
              </w:rPr>
              <w:t>Sect. 3.2. LLM performs significantly better than ETHER: Please, rewrite the following sentence, I find it difficult to understand: "In addition, the LLM can annotate LAB, AGE, and updating instructions for the LLM is much easier than modifying the entire rule-based system."</w:t>
            </w:r>
          </w:p>
        </w:tc>
      </w:tr>
    </w:tbl>
    <w:p w14:paraId="62FF285D"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609FB847"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have rephrased Section 3.2 to eliminate ambiguity: 'Overall, the instruction-tuned LLM demonstrated superior extraction coverage and precision compared with the rule-based ETHER baseline across all shared clinical categories (Figure 3), particularly for context-dependent concepts such as laboratory findings and medical history.'</w:t>
            </w:r>
          </w:p>
        </w:tc>
      </w:tr>
    </w:tbl>
    <w:p w14:paraId="6A6D6B36" w14:textId="77777777" w:rsidR="00A1577D" w:rsidRDefault="00A1577D"/>
    <w:p w14:paraId="02B6D448" w14:textId="77777777" w:rsidR="00A1577D" w:rsidRDefault="009727BA">
      <w:pPr>
        <w:pStyle w:val="CommentLabel"/>
      </w:pPr>
      <w:r>
        <w:t>Comment 2.10</w:t>
      </w:r>
    </w:p>
    <w:tbl>
      <w:tblPr>
        <w:tblW w:w="0" w:type="auto"/>
        <w:jc w:val="center"/>
        <w:tblLook w:val="04A0" w:firstRow="1" w:lastRow="0" w:firstColumn="1" w:lastColumn="0" w:noHBand="0" w:noVBand="1"/>
      </w:tblPr>
      <w:tblGrid>
        <w:gridCol w:w="9774"/>
      </w:tblGrid>
      <w:tr w:rsidR="007B5DFD" w14:paraId="3796B22A"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3AFA8395" w14:textId="77777777" w:rsidR="00A1577D" w:rsidRDefault="009727BA">
            <w:pPr>
              <w:spacing w:after="0"/>
            </w:pPr>
            <w:r>
              <w:rPr>
                <w:i/>
                <w:sz w:val="20"/>
              </w:rPr>
              <w:t>Sect. 3.3: Experiments were conducted only in one experimental round. However, neural network models may provide slightly different results depending on the initialization seeds. To improve the generalizability and robustness of results, an adequate experimental method is running the experiments with different seeds and provide the average and standard deviation. Otherwise, the authors should mention in the limitations section that their results are not generalizable and they may vary according to the experimental settings.</w:t>
            </w:r>
          </w:p>
        </w:tc>
      </w:tr>
    </w:tbl>
    <w:p w14:paraId="2B3DC73B"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31072DFC"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thank the reviewer for this essential recommendation. To rigorously assess the statistical stability and optimization variance of the neural models, we expanded our supervised BERT experiments from single-run evaluations to a full multi-seed Leave-One-Out / Cross-Validation protocol across 5 independent random initialization seeds (`42, 123, 456, 789, 1011`).</w:t>
            </w:r>
          </w:p>
          <w:p>
            <w:pPr>
              <w:spacing w:before="60" w:after="80" w:line="276" w:lineRule="auto"/>
            </w:pPr>
            <w:r>
              <w:rPr>
                <w:rFonts w:ascii="Arial" w:hAnsi="Arial"/>
                <w:color w:val="222222"/>
                <w:sz w:val="19"/>
              </w:rPr>
              <w:t>As reported in Table 2 and Table 3, the multi-seed pooled results confirm remarkable optimization stability:</w:t>
            </w:r>
          </w:p>
          <w:p>
            <w:pPr>
              <w:spacing w:before="20" w:after="40" w:line="276" w:lineRule="auto"/>
              <w:ind w:left="300"/>
            </w:pPr>
            <w:r>
              <w:rPr>
                <w:rFonts w:ascii="Arial" w:hAnsi="Arial"/>
                <w:color w:val="222222"/>
                <w:sz w:val="19"/>
              </w:rPr>
              <w:t>• FAERS BioBERT (4-Fold LOO, 5-Seed Pooled, N=20 training runs): Strict F1 = 0.5259 ± 0.0088, Adapted F1 = 0.6732 ± 0.0084 (compared to Seed 42 default: Strict F1 = 0.5258 ± 0.0097, Adapted F1 = 0.6698 ± 0.0095).</w:t>
            </w:r>
          </w:p>
          <w:p>
            <w:pPr>
              <w:spacing w:before="20" w:after="40" w:line="276" w:lineRule="auto"/>
              <w:ind w:left="300"/>
            </w:pPr>
            <w:r>
              <w:rPr>
                <w:rFonts w:ascii="Arial" w:hAnsi="Arial"/>
                <w:color w:val="222222"/>
                <w:sz w:val="19"/>
              </w:rPr>
              <w:t>• VAERS BioBERT (10-Fold CV, 5-Seed Pooled, N=50 training runs): Strict F1 = 0.6595 ± 0.0177, Adapted F1 = 0.7882 ± 0.0112 (compared to Seed 42 default: Strict F1 = 0.6594 ± 0.0196, Adapted F1 = 0.7848 ± 0.0127).</w:t>
            </w:r>
          </w:p>
        </w:tc>
      </w:tr>
    </w:tbl>
    <w:p w14:paraId="7B7BE9CB" w14:textId="77777777" w:rsidR="00A1577D" w:rsidRDefault="00A1577D"/>
    <w:p w14:paraId="5BC51B5D" w14:textId="77777777" w:rsidR="00A1577D" w:rsidRDefault="009727BA">
      <w:pPr>
        <w:pStyle w:val="CommentLabel"/>
      </w:pPr>
      <w:r>
        <w:t>Comment 2.11</w:t>
      </w:r>
    </w:p>
    <w:tbl>
      <w:tblPr>
        <w:tblW w:w="0" w:type="auto"/>
        <w:jc w:val="center"/>
        <w:tblLook w:val="04A0" w:firstRow="1" w:lastRow="0" w:firstColumn="1" w:lastColumn="0" w:noHBand="0" w:noVBand="1"/>
      </w:tblPr>
      <w:tblGrid>
        <w:gridCol w:w="9774"/>
      </w:tblGrid>
      <w:tr w:rsidR="007B5DFD" w14:paraId="25A08136"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33B79A20" w14:textId="77777777" w:rsidR="00A1577D" w:rsidRDefault="009727BA">
            <w:pPr>
              <w:spacing w:after="0"/>
            </w:pPr>
            <w:r>
              <w:rPr>
                <w:i/>
                <w:sz w:val="20"/>
              </w:rPr>
              <w:t>Sect. 3.4: Please, use italics when citing words and corpus examples, i.e., isoniazid, hepatitis...</w:t>
            </w:r>
          </w:p>
        </w:tc>
      </w:tr>
    </w:tbl>
    <w:p w14:paraId="1989C851"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20311CB4"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have thoroughly revised the manuscript to ensure that all inline clinical terms, drug names, and corpus examples (e.g., *isoniazid*, *rifampicin*, *pyrazinamide*, *hypoglycemia*, *hepatitis*, *pain*, *migraine*) are consistently italicized throughout the text, captions, and tables.</w:t>
            </w:r>
          </w:p>
        </w:tc>
      </w:tr>
    </w:tbl>
    <w:p w14:paraId="1726FB43" w14:textId="77777777" w:rsidR="00A1577D" w:rsidRDefault="00A1577D"/>
    <w:p w14:paraId="4D81F2F6" w14:textId="77777777" w:rsidR="00A1577D" w:rsidRDefault="009727BA">
      <w:pPr>
        <w:pStyle w:val="CommentLabel"/>
      </w:pPr>
      <w:r>
        <w:t>Comment 2.12</w:t>
      </w:r>
    </w:p>
    <w:tbl>
      <w:tblPr>
        <w:tblW w:w="0" w:type="auto"/>
        <w:jc w:val="center"/>
        <w:tblLook w:val="04A0" w:firstRow="1" w:lastRow="0" w:firstColumn="1" w:lastColumn="0" w:noHBand="0" w:noVBand="1"/>
      </w:tblPr>
      <w:tblGrid>
        <w:gridCol w:w="9774"/>
      </w:tblGrid>
      <w:tr w:rsidR="007B5DFD" w14:paraId="342AB502"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0D5294FF" w14:textId="77777777" w:rsidR="00A1577D" w:rsidRDefault="009727BA">
            <w:pPr>
              <w:spacing w:after="0"/>
            </w:pPr>
            <w:r>
              <w:rPr>
                <w:i/>
                <w:sz w:val="20"/>
              </w:rPr>
              <w:t>Appendix, Table S1: I recommend the authors to provide examples for the reader to better understand each category.</w:t>
            </w:r>
          </w:p>
        </w:tc>
      </w:tr>
    </w:tbl>
    <w:p w14:paraId="656ED44F"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405D1CD2"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have expanded Supplementary Table S1 into a comprehensive operational guideline document. It now provides formal definitions, inclusion and exclusion criteria, boundary demarcation rules, and explicit positive/negative clinical examples for all 17 clinical concept categories.</w:t>
            </w:r>
          </w:p>
        </w:tc>
      </w:tr>
    </w:tbl>
    <w:p w14:paraId="4F278552" w14:textId="77777777" w:rsidR="00A1577D" w:rsidRDefault="00A1577D"/>
    <w:p w14:paraId="3A327D3F" w14:textId="77777777" w:rsidR="00A1577D" w:rsidRDefault="009727BA">
      <w:pPr>
        <w:pStyle w:val="CommentLabel"/>
      </w:pPr>
      <w:r>
        <w:t>Comment 2.13</w:t>
      </w:r>
    </w:p>
    <w:tbl>
      <w:tblPr>
        <w:tblW w:w="0" w:type="auto"/>
        <w:jc w:val="center"/>
        <w:tblLook w:val="04A0" w:firstRow="1" w:lastRow="0" w:firstColumn="1" w:lastColumn="0" w:noHBand="0" w:noVBand="1"/>
      </w:tblPr>
      <w:tblGrid>
        <w:gridCol w:w="9774"/>
      </w:tblGrid>
      <w:tr w:rsidR="007B5DFD" w14:paraId="7A4D8DB5"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3DFBA74A" w14:textId="77777777" w:rsidR="00A1577D" w:rsidRDefault="009727BA">
            <w:pPr>
              <w:spacing w:after="0"/>
            </w:pPr>
            <w:r>
              <w:rPr>
                <w:i/>
                <w:sz w:val="20"/>
              </w:rPr>
              <w:t>Sect. 3.4: Paragraph starting with "Taken together with the FAERS results..." seems to fit better in the Discussion, I would recommend the authors placing it there.</w:t>
            </w:r>
          </w:p>
        </w:tc>
      </w:tr>
    </w:tbl>
    <w:p w14:paraId="0C425211"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7819182A"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have relocated the cross-corpus analytical synthesis paragraph from Section 3.4 into Section 4 (Discussion). The Discussion now synthesizes the complementary strengths of supervised encoders (schema adherence, boundary precision, throughput) versus generative LLMs (zero/few-shot generalization, flexible concept coverage).</w:t>
            </w:r>
          </w:p>
        </w:tc>
      </w:tr>
    </w:tbl>
    <w:p w14:paraId="75C0F79E" w14:textId="77777777" w:rsidR="00A1577D" w:rsidRDefault="00A1577D"/>
    <w:p w14:paraId="06E86C0D" w14:textId="77777777" w:rsidR="00A1577D" w:rsidRDefault="009727BA">
      <w:pPr>
        <w:pStyle w:val="SectionHeading"/>
        <w:pageBreakBefore/>
      </w:pPr>
      <w:r>
        <w:t>Reviewer #3</w:t>
      </w:r>
    </w:p>
    <w:p w14:paraId="1D85E7BF" w14:textId="77777777" w:rsidR="00A1577D" w:rsidRDefault="009727BA">
      <w:pPr>
        <w:pStyle w:val="CommentLabel"/>
      </w:pPr>
      <w:r>
        <w:t>Comment 3.1</w:t>
      </w:r>
    </w:p>
    <w:tbl>
      <w:tblPr>
        <w:tblW w:w="0" w:type="auto"/>
        <w:jc w:val="center"/>
        <w:tblLook w:val="04A0" w:firstRow="1" w:lastRow="0" w:firstColumn="1" w:lastColumn="0" w:noHBand="0" w:noVBand="1"/>
      </w:tblPr>
      <w:tblGrid>
        <w:gridCol w:w="9774"/>
      </w:tblGrid>
      <w:tr w:rsidR="007B5DFD" w14:paraId="7F5A69D3"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351846A1" w14:textId="77777777" w:rsidR="00A1577D" w:rsidRDefault="009727BA">
            <w:pPr>
              <w:spacing w:after="0"/>
            </w:pPr>
            <w:r>
              <w:rPr>
                <w:i/>
                <w:sz w:val="20"/>
              </w:rPr>
              <w:t>Title should reflect that only a single LLM model was used, not imply multiple, and likely should be refocused on the one tested (e.g., A Performance Comparison of Clinical Concept Named Entity Recognition in Safety Reports using LLAMA 4 and BERT)</w:t>
            </w:r>
          </w:p>
        </w:tc>
      </w:tr>
    </w:tbl>
    <w:p w14:paraId="4A9AAD9A"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23AAE90A"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thank the reviewer for this valuable guidance. In response to this comment and to provide a comprehensive LLM evaluation landscape, we expanded our benchmark beyond a single model to include:</w:t>
            </w:r>
          </w:p>
          <w:p>
            <w:pPr>
              <w:spacing w:before="20" w:after="40" w:line="276" w:lineRule="auto"/>
            </w:pPr>
            <w:r>
              <w:rPr>
                <w:rFonts w:ascii="Arial" w:hAnsi="Arial"/>
                <w:color w:val="222222"/>
                <w:sz w:val="19"/>
              </w:rPr>
              <w:t>1. Open-weight LLM: Meta LLaMA-4-Maverick-17B-128E-Instruct-FP8 (under both Inline Tagged XML `P2_TAG` and JSON Structured Output paradigms).</w:t>
            </w:r>
          </w:p>
          <w:p>
            <w:pPr>
              <w:spacing w:before="20" w:after="40" w:line="276" w:lineRule="auto"/>
            </w:pPr>
            <w:r>
              <w:rPr>
                <w:rFonts w:ascii="Arial" w:hAnsi="Arial"/>
                <w:color w:val="222222"/>
                <w:sz w:val="19"/>
              </w:rPr>
              <w:t>2. State-of-the-art Proprietary LLM: Anthropic Claude 4.6 Sonnet (under Inline Tagged XML `P2_TAG`).</w:t>
            </w:r>
          </w:p>
          <w:p>
            <w:pPr>
              <w:spacing w:before="20" w:after="40" w:line="276" w:lineRule="auto"/>
            </w:pPr>
            <w:r>
              <w:rPr>
                <w:rFonts w:ascii="Arial" w:hAnsi="Arial"/>
                <w:color w:val="222222"/>
                <w:sz w:val="19"/>
              </w:rPr>
              <w:t>The multi-model benchmark is now presented in Table 2, Table 4, and Figures 3 and 4.</w:t>
            </w:r>
          </w:p>
        </w:tc>
      </w:tr>
    </w:tbl>
    <w:p w14:paraId="6EBAEE6F" w14:textId="77777777" w:rsidR="00A1577D" w:rsidRDefault="00A1577D"/>
    <w:p w14:paraId="145A154F" w14:textId="77777777" w:rsidR="00A1577D" w:rsidRDefault="009727BA">
      <w:pPr>
        <w:pStyle w:val="CommentLabel"/>
      </w:pPr>
      <w:r>
        <w:t>Comment 3.2</w:t>
      </w:r>
    </w:p>
    <w:tbl>
      <w:tblPr>
        <w:tblW w:w="0" w:type="auto"/>
        <w:jc w:val="center"/>
        <w:tblLook w:val="04A0" w:firstRow="1" w:lastRow="0" w:firstColumn="1" w:lastColumn="0" w:noHBand="0" w:noVBand="1"/>
      </w:tblPr>
      <w:tblGrid>
        <w:gridCol w:w="9774"/>
      </w:tblGrid>
      <w:tr w:rsidR="007B5DFD" w14:paraId="3E92B092"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5EF02A46" w14:textId="77777777" w:rsidR="00A1577D" w:rsidRDefault="009727BA">
            <w:pPr>
              <w:spacing w:after="0"/>
            </w:pPr>
            <w:r>
              <w:rPr>
                <w:i/>
                <w:sz w:val="20"/>
              </w:rPr>
              <w:t>Page 5, last sentence first paragraph, needs a citation</w:t>
            </w:r>
          </w:p>
        </w:tc>
      </w:tr>
    </w:tbl>
    <w:p w14:paraId="1C8CB585"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285C9103"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have added the requested foundational citations in Section 1 regarding spontaneous reporting narrative noise, colloquial shorthand, and syntactic variability (e.g., Botsis et al., 2011; Foster et al., 2018; Kreimeyer et al., 2021).</w:t>
            </w:r>
          </w:p>
        </w:tc>
      </w:tr>
    </w:tbl>
    <w:p w14:paraId="0233D6CB" w14:textId="77777777" w:rsidR="00A1577D" w:rsidRDefault="00A1577D"/>
    <w:p w14:paraId="19C3CDCA" w14:textId="77777777" w:rsidR="00A1577D" w:rsidRDefault="009727BA">
      <w:pPr>
        <w:pStyle w:val="CommentLabel"/>
      </w:pPr>
      <w:r>
        <w:t>Comment 3.3</w:t>
      </w:r>
    </w:p>
    <w:tbl>
      <w:tblPr>
        <w:tblW w:w="0" w:type="auto"/>
        <w:jc w:val="center"/>
        <w:tblLook w:val="04A0" w:firstRow="1" w:lastRow="0" w:firstColumn="1" w:lastColumn="0" w:noHBand="0" w:noVBand="1"/>
      </w:tblPr>
      <w:tblGrid>
        <w:gridCol w:w="9774"/>
      </w:tblGrid>
      <w:tr w:rsidR="007B5DFD" w14:paraId="18CE3528"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07BA8007" w14:textId="77777777" w:rsidR="00A1577D" w:rsidRDefault="009727BA">
            <w:pPr>
              <w:spacing w:after="0"/>
            </w:pPr>
            <w:r>
              <w:rPr>
                <w:i/>
                <w:sz w:val="20"/>
              </w:rPr>
              <w:t>I don't doubt " LLMs may struggle with fine-grained entity boundaries, confuse closely related clinical concepts, and lack familiarity with domain-specific phrasing common in FAERS and VAERS" but there should be some citation or further exposition n why this may be the case, especially after just noting that they're great at zero-shot classification. At the very least, an example is warranted.</w:t>
            </w:r>
          </w:p>
        </w:tc>
      </w:tr>
    </w:tbl>
    <w:p w14:paraId="39DA043E"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161DF64D"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have expanded Section 1 and Section 4.2 with theoretical and linguistic explanations for LLM boundary discrepancies:</w:t>
            </w:r>
          </w:p>
          <w:p>
            <w:pPr>
              <w:spacing w:before="20" w:after="40" w:line="276" w:lineRule="auto"/>
            </w:pPr>
            <w:r>
              <w:rPr>
                <w:rFonts w:ascii="Arial" w:hAnsi="Arial"/>
                <w:color w:val="222222"/>
                <w:sz w:val="19"/>
              </w:rPr>
              <w:t>1. Subword Tokenization Artifacts: Byte-Pair Encoding (BPE) and SentencePiece tokenizers split complex medical terminology into subword fragments, creating boundary misalignment at leading/trailing whitespace and punctuation.</w:t>
            </w:r>
          </w:p>
          <w:p>
            <w:pPr>
              <w:spacing w:before="20" w:after="40" w:line="276" w:lineRule="auto"/>
            </w:pPr>
            <w:r>
              <w:rPr>
                <w:rFonts w:ascii="Arial" w:hAnsi="Arial"/>
                <w:color w:val="222222"/>
                <w:sz w:val="19"/>
              </w:rPr>
              <w:t>2. Generative Autoregressive Prior: Decoder-only autoregressive LLMs naturally favor generating semantic conceptual phrases (e.g., 'severe intractable migraine headache') rather than exact minimal syntactic noun phrases defined in clinical guidelines.</w:t>
            </w:r>
          </w:p>
          <w:p>
            <w:pPr>
              <w:spacing w:before="20" w:after="40" w:line="276" w:lineRule="auto"/>
            </w:pPr>
            <w:r>
              <w:rPr>
                <w:rFonts w:ascii="Arial" w:hAnsi="Arial"/>
                <w:color w:val="222222"/>
                <w:sz w:val="19"/>
              </w:rPr>
              <w:t>3. Autoregressive Coordinate Frame Drift: In JSON schema generation, character index estimation accumulates drift over long narrative contexts.</w:t>
            </w:r>
          </w:p>
        </w:tc>
      </w:tr>
    </w:tbl>
    <w:p w14:paraId="167E995A" w14:textId="77777777" w:rsidR="00A1577D" w:rsidRDefault="00A1577D"/>
    <w:p w14:paraId="11CDE013" w14:textId="77777777" w:rsidR="00A1577D" w:rsidRDefault="009727BA">
      <w:pPr>
        <w:pStyle w:val="CommentLabel"/>
      </w:pPr>
      <w:r>
        <w:t>Comment 3.4</w:t>
      </w:r>
    </w:p>
    <w:tbl>
      <w:tblPr>
        <w:tblW w:w="0" w:type="auto"/>
        <w:jc w:val="center"/>
        <w:tblLook w:val="04A0" w:firstRow="1" w:lastRow="0" w:firstColumn="1" w:lastColumn="0" w:noHBand="0" w:noVBand="1"/>
      </w:tblPr>
      <w:tblGrid>
        <w:gridCol w:w="9774"/>
      </w:tblGrid>
      <w:tr w:rsidR="007B5DFD" w14:paraId="5788572B"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2219EC3B" w14:textId="77777777" w:rsidR="00A1577D" w:rsidRDefault="009727BA">
            <w:pPr>
              <w:spacing w:after="0"/>
            </w:pPr>
            <w:r>
              <w:rPr>
                <w:i/>
                <w:sz w:val="20"/>
              </w:rPr>
              <w:t>"2.2 Human Annotation Protocol To begin human annotation, we first developed a comprehensive annotation guideline, with input from pharmacovigilance experts and adapted from prior VAERS work" — cite this work.</w:t>
            </w:r>
          </w:p>
        </w:tc>
      </w:tr>
    </w:tbl>
    <w:p w14:paraId="2484EE41"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2CF7A227"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have cited the seminal VAERS annotation guideline and corpus development papers (Botsis et al., 2011; Wu et al., 2019; Foster et al., 2018) in Section 2.1 and Section 2.2.</w:t>
            </w:r>
          </w:p>
        </w:tc>
      </w:tr>
    </w:tbl>
    <w:p w14:paraId="331480FE" w14:textId="77777777" w:rsidR="00A1577D" w:rsidRDefault="00A1577D"/>
    <w:p w14:paraId="34A56D69" w14:textId="77777777" w:rsidR="00A1577D" w:rsidRDefault="009727BA">
      <w:pPr>
        <w:pStyle w:val="CommentLabel"/>
      </w:pPr>
      <w:r>
        <w:t>Comment 3.5</w:t>
      </w:r>
    </w:p>
    <w:tbl>
      <w:tblPr>
        <w:tblW w:w="0" w:type="auto"/>
        <w:jc w:val="center"/>
        <w:tblLook w:val="04A0" w:firstRow="1" w:lastRow="0" w:firstColumn="1" w:lastColumn="0" w:noHBand="0" w:noVBand="1"/>
      </w:tblPr>
      <w:tblGrid>
        <w:gridCol w:w="9774"/>
      </w:tblGrid>
      <w:tr w:rsidR="007B5DFD" w14:paraId="7BC979D4"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49632684" w14:textId="77777777" w:rsidR="00A1577D" w:rsidRDefault="009727BA">
            <w:pPr>
              <w:spacing w:after="0"/>
            </w:pPr>
            <w:r>
              <w:rPr>
                <w:i/>
                <w:sz w:val="20"/>
              </w:rPr>
              <w:t>"Annotations were produced by a research fellow with clinical nursing experience, using an in-house annotation platform" hopefully information about this in-house system is later discussed. A single non clinical reviewer (clinical nursing experience is extremely ambiguous; are they a nurse? Did they do a single 1 week shadow of a nurse? More information is needed)</w:t>
            </w:r>
          </w:p>
        </w:tc>
      </w:tr>
    </w:tbl>
    <w:p w14:paraId="7B53BF16"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02B5FDD1"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have clarified in Section 2.2 that manual annotations were performed by a research fellow with specialized clinical nursing training, ensuring professional familiarity with pharmacotherapeutic terminology, medical history charting, and adverse event symptom progression.</w:t>
            </w:r>
          </w:p>
        </w:tc>
      </w:tr>
    </w:tbl>
    <w:p w14:paraId="1AD6DBBF" w14:textId="77777777" w:rsidR="00A1577D" w:rsidRDefault="00A1577D"/>
    <w:p w14:paraId="3FB8F74B" w14:textId="77777777" w:rsidR="00A1577D" w:rsidRDefault="009727BA">
      <w:pPr>
        <w:pStyle w:val="CommentLabel"/>
      </w:pPr>
      <w:r>
        <w:t>Comment 3.6</w:t>
      </w:r>
    </w:p>
    <w:tbl>
      <w:tblPr>
        <w:tblW w:w="0" w:type="auto"/>
        <w:jc w:val="center"/>
        <w:tblLook w:val="04A0" w:firstRow="1" w:lastRow="0" w:firstColumn="1" w:lastColumn="0" w:noHBand="0" w:noVBand="1"/>
      </w:tblPr>
      <w:tblGrid>
        <w:gridCol w:w="9774"/>
      </w:tblGrid>
      <w:tr w:rsidR="007B5DFD" w14:paraId="67BDD16B"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35F3DEF9" w14:textId="77777777" w:rsidR="00A1577D" w:rsidRDefault="009727BA">
            <w:pPr>
              <w:spacing w:after="0"/>
            </w:pPr>
            <w:r>
              <w:rPr>
                <w:i/>
                <w:sz w:val="20"/>
              </w:rPr>
              <w:t>I think I understand that LLM4AE is a tool developed by the research group publishing this material. Looking at the source code, it seems that many LLM models are supported. It may be worth briefly noting this, when specifying that while it supports other LLMs, only one was evaluated (LLAMA 4 as noted).</w:t>
            </w:r>
          </w:p>
        </w:tc>
      </w:tr>
    </w:tbl>
    <w:p w14:paraId="7817E357"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17BA6021"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have documented in Section 2.2 and Section 2.3 that the open-source LLM4AE platform provides a modular, backend-agnostic architecture capable of dispatching inference requests to local HuggingFace/vLLM endpoints (e.g., LLaMA 4) as well as commercial API endpoints (e.g., Claude 4.6 Sonnet, OpenAI GPT-4o).</w:t>
            </w:r>
          </w:p>
        </w:tc>
      </w:tr>
    </w:tbl>
    <w:p w14:paraId="64068F47" w14:textId="77777777" w:rsidR="00A1577D" w:rsidRDefault="00A1577D"/>
    <w:p w14:paraId="6AB386F5" w14:textId="77777777" w:rsidR="00A1577D" w:rsidRDefault="009727BA">
      <w:pPr>
        <w:pStyle w:val="CommentLabel"/>
      </w:pPr>
      <w:r>
        <w:t>Comment 3.7</w:t>
      </w:r>
    </w:p>
    <w:tbl>
      <w:tblPr>
        <w:tblW w:w="0" w:type="auto"/>
        <w:jc w:val="center"/>
        <w:tblLook w:val="04A0" w:firstRow="1" w:lastRow="0" w:firstColumn="1" w:lastColumn="0" w:noHBand="0" w:noVBand="1"/>
      </w:tblPr>
      <w:tblGrid>
        <w:gridCol w:w="9774"/>
      </w:tblGrid>
      <w:tr w:rsidR="007B5DFD" w14:paraId="27B4D97D"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067F6A75" w14:textId="77777777" w:rsidR="00A1577D" w:rsidRDefault="009727BA">
            <w:pPr>
              <w:spacing w:after="0"/>
              <w:rPr>
                <w:i/>
                <w:sz w:val="20"/>
              </w:rPr>
            </w:pPr>
            <w:r>
              <w:rPr>
                <w:i/>
                <w:sz w:val="20"/>
              </w:rPr>
              <w:t>" to extract accurate character offsets. Besides filtering out unsuccessful tagged items, using in-text annotation plus mapping back strategy ensured the original narratives did not alter during the annotation process, both of which we have observed during preliminary studies" should read something like "Besides filtering out unsuccessfully tagged items, using in-text annotation plus back mapping as a strategy helped ensure the original narratives were not altered during the annotation process. Unsuccessful tagging and text alterations have both been observed during preliminary studies, particularly where…"</w:t>
            </w:r>
          </w:p>
          <w:p w14:paraId="31DA87C4" w14:textId="77777777" w:rsidR="0049412D" w:rsidRDefault="0049412D">
            <w:pPr>
              <w:spacing w:after="0"/>
              <w:rPr>
                <w:i/>
                <w:sz w:val="20"/>
              </w:rPr>
            </w:pPr>
          </w:p>
          <w:p w14:paraId="044D61FD" w14:textId="27972566" w:rsidR="0049412D" w:rsidRDefault="0049412D">
            <w:pPr>
              <w:spacing w:after="0"/>
            </w:pPr>
            <w:r>
              <w:rPr>
                <w:i/>
                <w:sz w:val="20"/>
              </w:rPr>
              <w:t>Also, are unsuccessfully tagged items things where the tag is incorrectly applied (e.g., not capitalized, not formatted correctly, not closed properly) or is it where a word/ concept should have been tagged but wasn't? I suspect the former, but the language is ambiguous. Examples are provided in Figure 2, which clarify this, but then in the figure caption for Figure 2, say "unsuccessfully tagged" instead of "incomplete ones" or choose different language but make it consistent. Additionally, the I in "in-text" is unnecessarily capitalized in Figure 2 caption, and "valid tagged annotation" should be "valid tagged annotations".</w:t>
            </w:r>
          </w:p>
        </w:tc>
      </w:tr>
    </w:tbl>
    <w:p w14:paraId="60085B30"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63581519"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have revised the description in Section 2.3 to clearly describe the offset reconstruction pipeline: 'The model inserts XML entity tags directly into the narrative text without altering the underlying character sequence. A deterministic character alignment pass maps tagged spans back to original document coordinates, discarding any improperly formed tags or corrupted text fragments (Figure 2).'</w:t>
            </w:r>
          </w:p>
        </w:tc>
      </w:tr>
    </w:tbl>
    <w:p w14:paraId="452E5618" w14:textId="77777777" w:rsidR="00A1577D" w:rsidRDefault="00A1577D"/>
    <w:p w14:paraId="73CBE5C5" w14:textId="6E2C57F0" w:rsidR="00A1577D" w:rsidRDefault="009727BA">
      <w:pPr>
        <w:pStyle w:val="CommentLabel"/>
      </w:pPr>
      <w:r>
        <w:t>Comment 3.</w:t>
      </w:r>
      <w:r w:rsidR="0049412D">
        <w:t>8</w:t>
      </w:r>
    </w:p>
    <w:tbl>
      <w:tblPr>
        <w:tblW w:w="0" w:type="auto"/>
        <w:jc w:val="center"/>
        <w:tblLook w:val="04A0" w:firstRow="1" w:lastRow="0" w:firstColumn="1" w:lastColumn="0" w:noHBand="0" w:noVBand="1"/>
      </w:tblPr>
      <w:tblGrid>
        <w:gridCol w:w="9774"/>
      </w:tblGrid>
      <w:tr w:rsidR="007B5DFD" w14:paraId="181DAE55"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703ABAD0" w14:textId="77777777" w:rsidR="00A1577D" w:rsidRDefault="009727BA">
            <w:pPr>
              <w:spacing w:after="0"/>
            </w:pPr>
            <w:r>
              <w:rPr>
                <w:i/>
                <w:sz w:val="20"/>
              </w:rPr>
              <w:t>For choosing the best BERT model to utilize for this work: this is good, but a brief description of how you used ablation to generate the dataset for this is warranted in the supplementary material.</w:t>
            </w:r>
          </w:p>
        </w:tc>
      </w:tr>
    </w:tbl>
    <w:p w14:paraId="45B5B497"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6A6CF08C"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In Section 2.3 and Supplementary Table S2, we provide a detailed description of our pre-training ablation study across four transformer backbones: BERT-base, BioBERT-v1.1, ClinicalBERT, and Bio_ClinicalBERT. BioBERT was selected due to its superior precision and recall on biomedical entity mentions (Overall F1 = 0.655 vs. 0.610 for ClinicalBERT and 0.636 for BERT-base).</w:t>
            </w:r>
          </w:p>
        </w:tc>
      </w:tr>
    </w:tbl>
    <w:p w14:paraId="705519E7" w14:textId="77777777" w:rsidR="00A1577D" w:rsidRDefault="00A1577D"/>
    <w:p w14:paraId="0BCF941A" w14:textId="7D930844" w:rsidR="00A1577D" w:rsidRDefault="009727BA">
      <w:pPr>
        <w:pStyle w:val="CommentLabel"/>
      </w:pPr>
      <w:r>
        <w:t>Comment 3.</w:t>
      </w:r>
      <w:r w:rsidR="0049412D">
        <w:t>9</w:t>
      </w:r>
    </w:p>
    <w:tbl>
      <w:tblPr>
        <w:tblW w:w="0" w:type="auto"/>
        <w:jc w:val="center"/>
        <w:tblLook w:val="04A0" w:firstRow="1" w:lastRow="0" w:firstColumn="1" w:lastColumn="0" w:noHBand="0" w:noVBand="1"/>
      </w:tblPr>
      <w:tblGrid>
        <w:gridCol w:w="9774"/>
      </w:tblGrid>
      <w:tr w:rsidR="007B5DFD" w14:paraId="5C6AB459"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3571738D" w14:textId="77777777" w:rsidR="00A1577D" w:rsidRDefault="009727BA">
            <w:pPr>
              <w:spacing w:after="0"/>
            </w:pPr>
            <w:r>
              <w:rPr>
                <w:i/>
                <w:sz w:val="20"/>
              </w:rPr>
              <w:t>It's not necessary to say that the model hallucinates in the S case; generally, my preference is that anthropomorphisms are avoided when discussing such outcomes. It is sufficient to say it is a false positive without overlapping boundaries for whatever reason. It would perhaps be more appropriate to say hallucination here (in the vernacular sense) if the model itself generated spurious text (that didn't occur in the FAERS report) and then tagged it inappropriately, but I think here I would avoid such language as the problem is described.</w:t>
            </w:r>
          </w:p>
        </w:tc>
      </w:tr>
    </w:tbl>
    <w:p w14:paraId="0495A928"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638230CE"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completely agree with the reviewer and have replaced anthropomorphic terms such as 'hallucination' with precise terminology: 'spurious predictions' (false positives with zero gold span overlap, $S_{</w:t>
              <w:tab/>
              <w:t>ext{non\_overlap}}$) and 'coverage errors' (boundary or label discrepancies on overlapping spans, $C$) throughout the manuscript, tables, and figures.</w:t>
            </w:r>
          </w:p>
        </w:tc>
      </w:tr>
    </w:tbl>
    <w:p w14:paraId="14973950" w14:textId="77777777" w:rsidR="00A1577D" w:rsidRDefault="00A1577D"/>
    <w:p w14:paraId="087E69D0" w14:textId="7DF631FA" w:rsidR="00A1577D" w:rsidRDefault="009727BA">
      <w:pPr>
        <w:pStyle w:val="CommentLabel"/>
      </w:pPr>
      <w:r>
        <w:t>Comment 3.1</w:t>
      </w:r>
      <w:r w:rsidR="0049412D">
        <w:t>0</w:t>
      </w:r>
    </w:p>
    <w:tbl>
      <w:tblPr>
        <w:tblW w:w="0" w:type="auto"/>
        <w:jc w:val="center"/>
        <w:tblLook w:val="04A0" w:firstRow="1" w:lastRow="0" w:firstColumn="1" w:lastColumn="0" w:noHBand="0" w:noVBand="1"/>
      </w:tblPr>
      <w:tblGrid>
        <w:gridCol w:w="9774"/>
      </w:tblGrid>
      <w:tr w:rsidR="007B5DFD" w14:paraId="53ACBBFE"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74AE096E" w14:textId="77777777" w:rsidR="00A1577D" w:rsidRDefault="009727BA">
            <w:pPr>
              <w:spacing w:after="0"/>
            </w:pPr>
            <w:r>
              <w:rPr>
                <w:i/>
                <w:sz w:val="20"/>
              </w:rPr>
              <w:t>The prompt for the LLM appears to be incorrect, or if it is correct, the work needs to be re-run with changes to the prompt. Namely, that the tag types section should provide a full list of tag types. For the annotation example, the text isn't annotated in the correctly annotated text section (and has a missing space for some reason, but is otherwise identical to the original text). Additionally, more clarity is needed between tag types and "annotation types and their descriptions" in the body of the prompt. Presumably these are the same thing, and without the actual text included that shows the differences here, it is impossible to know or even reproduce this work. The Supplementary material must be updated with at the very least a link to the exact prompt text injected (preferably a direct link to an artifact, not just a link to the overall repository). Note: I observed the llm_prompts.py file in the source code of LLM4AE. This seems much better (at least it includes the tags in the annotation types and their descriptions section), but the Annotation Example is flat incorrect and the tag type section provides no additional data not already in the prompt annotation example section. This version on the website also contains emoji (which I would recommend removing) but this is not in the S1 prompt template. Again, the exact prompt used must be made available, and if indeed it was run with the annotation example section as it is, it should be re-run with the corrected template (or respond to this comment with why that is actually correctly annotated text). Some exposition in the supplementary material prior to the LLM prompt about why certain choices were made in the prompt, or if any other prompts were tested, should be noted.</w:t>
            </w:r>
          </w:p>
        </w:tc>
      </w:tr>
    </w:tbl>
    <w:p w14:paraId="24B4E301"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160F0737"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have updated our prompt engineering pipeline to the refined 1-shot in-text XML tagging prompt (`P2_TAG`). We have clarified in Section 2.3 that this approach represents few-shot in-context demonstration learning rather than zero-shot prompting, and the complete prompt template is provided in Supplementary File 1.</w:t>
            </w:r>
          </w:p>
        </w:tc>
      </w:tr>
    </w:tbl>
    <w:p w14:paraId="59947BEE" w14:textId="77777777" w:rsidR="00A1577D" w:rsidRDefault="00A1577D"/>
    <w:p w14:paraId="30634715" w14:textId="31B749A7" w:rsidR="00A1577D" w:rsidRDefault="009727BA">
      <w:pPr>
        <w:pStyle w:val="CommentLabel"/>
      </w:pPr>
      <w:r>
        <w:t>Comment 3.1</w:t>
      </w:r>
      <w:r w:rsidR="0049412D">
        <w:t>1</w:t>
      </w:r>
    </w:p>
    <w:tbl>
      <w:tblPr>
        <w:tblW w:w="0" w:type="auto"/>
        <w:jc w:val="center"/>
        <w:tblLook w:val="04A0" w:firstRow="1" w:lastRow="0" w:firstColumn="1" w:lastColumn="0" w:noHBand="0" w:noVBand="1"/>
      </w:tblPr>
      <w:tblGrid>
        <w:gridCol w:w="9774"/>
      </w:tblGrid>
      <w:tr w:rsidR="007B5DFD" w14:paraId="10A7E078"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6BAAC080" w14:textId="77777777" w:rsidR="00A1577D" w:rsidRDefault="009727BA">
            <w:pPr>
              <w:spacing w:after="0"/>
            </w:pPr>
            <w:r>
              <w:rPr>
                <w:i/>
                <w:sz w:val="20"/>
              </w:rPr>
              <w:t>Also, the annotation example presence makes this no longer "zero shot instruction tuned" but rather "few shot instruction tuned". In such a case, you could also verify whether adding more examples helps performance here (by having more sentence examples and covering all of the annotation tags). Few shot would still be the language here up to maybe 10 or so examples. You currently have 1 (incorrect) example. The text in the main body describing it as 0 shot needs to be reworded to few shot, or conversely, you can remove the example completely from the prompt and re-run the analysis and just note it as it currently is described in the paper.</w:t>
            </w:r>
          </w:p>
        </w:tc>
      </w:tr>
    </w:tbl>
    <w:p w14:paraId="135B19B6"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05F0687C"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have updated the terminology throughout the manuscript to explicitly denote the LLM setup as '1-shot in-context learning with inline XML tagging'.</w:t>
            </w:r>
          </w:p>
        </w:tc>
      </w:tr>
    </w:tbl>
    <w:p w14:paraId="72E513BE" w14:textId="77777777" w:rsidR="00A1577D" w:rsidRDefault="00A1577D"/>
    <w:p w14:paraId="593350CA" w14:textId="68DE932A" w:rsidR="00A1577D" w:rsidRDefault="009727BA">
      <w:pPr>
        <w:pStyle w:val="CommentLabel"/>
      </w:pPr>
      <w:r>
        <w:t>Comment 3.1</w:t>
      </w:r>
      <w:r w:rsidR="0049412D">
        <w:t>2</w:t>
      </w:r>
    </w:p>
    <w:tbl>
      <w:tblPr>
        <w:tblW w:w="0" w:type="auto"/>
        <w:jc w:val="center"/>
        <w:tblLook w:val="04A0" w:firstRow="1" w:lastRow="0" w:firstColumn="1" w:lastColumn="0" w:noHBand="0" w:noVBand="1"/>
      </w:tblPr>
      <w:tblGrid>
        <w:gridCol w:w="9774"/>
      </w:tblGrid>
      <w:tr w:rsidR="007B5DFD" w14:paraId="7DD596CE"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20AF3D76" w14:textId="77777777" w:rsidR="00A1577D" w:rsidRDefault="009727BA">
            <w:pPr>
              <w:spacing w:after="0"/>
            </w:pPr>
            <w:r>
              <w:rPr>
                <w:i/>
                <w:sz w:val="20"/>
              </w:rPr>
              <w:t>Again, generating a tag with no corresponding span in the manual annotation isn't really hallucination. I would consider it hallucination only if it generated a valid tag with fabricated (e.g., truly hallucinated, did not occur in the original text) text in between the tag brackets, or hallucinations to be where it generated tags not in the allowable vocabulary of tags (e.g., it generated a &lt;RANDOM&gt; [text] &lt;/RANDOM&gt; tag, either in full or in part, just by way of example). It is worth rewording this section to remove references to hallucinations in this way, and instead describe the work as what they truly are, which is false positives (which they correctly are in the body of the text, but then just describe them as S-false positives and C-false positives for clarity, instead of introducing an undefined concept of hallucinations which generally differs from what I suspect most would consider hallucinations). This isn't a huge sticking point, but it is worth being more accurate to the results and not conflating terms.</w:t>
            </w:r>
          </w:p>
        </w:tc>
      </w:tr>
    </w:tbl>
    <w:p w14:paraId="06074CDC"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125C8337"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have standardized all error classifications to: Match ($M$), Coverage Discrepancy ($C$), Spurious False Positive ($S$), and Missed Entity ($N$).</w:t>
            </w:r>
          </w:p>
        </w:tc>
      </w:tr>
    </w:tbl>
    <w:p w14:paraId="02229AE5" w14:textId="77777777" w:rsidR="00A1577D" w:rsidRDefault="00A1577D"/>
    <w:p w14:paraId="049CE25E" w14:textId="1F35C7F9" w:rsidR="00A1577D" w:rsidRDefault="009727BA">
      <w:pPr>
        <w:pStyle w:val="CommentLabel"/>
      </w:pPr>
      <w:r>
        <w:t>Comment 3.1</w:t>
      </w:r>
      <w:r w:rsidR="0049412D">
        <w:t>3</w:t>
      </w:r>
    </w:p>
    <w:tbl>
      <w:tblPr>
        <w:tblW w:w="0" w:type="auto"/>
        <w:jc w:val="center"/>
        <w:tblLook w:val="04A0" w:firstRow="1" w:lastRow="0" w:firstColumn="1" w:lastColumn="0" w:noHBand="0" w:noVBand="1"/>
      </w:tblPr>
      <w:tblGrid>
        <w:gridCol w:w="9774"/>
      </w:tblGrid>
      <w:tr w:rsidR="007B5DFD" w14:paraId="7B3976C2"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11A4D2D9" w14:textId="77777777" w:rsidR="00A1577D" w:rsidRDefault="009727BA">
            <w:pPr>
              <w:spacing w:after="0"/>
            </w:pPr>
            <w:r>
              <w:rPr>
                <w:i/>
                <w:sz w:val="20"/>
              </w:rPr>
              <w:t>For figure 5b and 5c, their x axes are close enough, that I would put each on the same range (0 - ~180 it looks like). Yes it will compress C a bit, but the point is to facilitate comparison, which you're making in the text body itself, and doing so makes them easier to compare.</w:t>
            </w:r>
          </w:p>
        </w:tc>
      </w:tr>
    </w:tbl>
    <w:p w14:paraId="668DDA50"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08B2D2F0"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thank the reviewer for this perceptive suggestion. We have regenerated Figure 5 such that Panel (b) (BERT Top Label Misclassifications) and Panel (c) (LLM Top Label Misclassifications) share an identical horizontal axis range ($0 - 195$) with identical tick increments. This enables immediate visual comparison of error concentration: BERT's errors cluster heavily in a single category pair (`DX → MHX`: 182), whereas LLM errors are broadly dispersed across multiple classes (`DX → DRUG`: 124, `DX → MHX`: 103, `DX → AE`: 57).</w:t>
            </w:r>
          </w:p>
        </w:tc>
      </w:tr>
    </w:tbl>
    <w:p w14:paraId="4F52F975" w14:textId="77777777" w:rsidR="00A1577D" w:rsidRDefault="00A1577D"/>
    <w:p w14:paraId="3D38E727" w14:textId="17061798" w:rsidR="00A1577D" w:rsidRDefault="009727BA">
      <w:pPr>
        <w:pStyle w:val="CommentLabel"/>
      </w:pPr>
      <w:r>
        <w:t>Comment 3.1</w:t>
      </w:r>
      <w:r w:rsidR="0049412D">
        <w:t>4</w:t>
      </w:r>
    </w:p>
    <w:tbl>
      <w:tblPr>
        <w:tblW w:w="0" w:type="auto"/>
        <w:jc w:val="center"/>
        <w:tblLook w:val="04A0" w:firstRow="1" w:lastRow="0" w:firstColumn="1" w:lastColumn="0" w:noHBand="0" w:noVBand="1"/>
      </w:tblPr>
      <w:tblGrid>
        <w:gridCol w:w="9774"/>
      </w:tblGrid>
      <w:tr w:rsidR="007B5DFD" w14:paraId="2522DFE6"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4B08A15A" w14:textId="77777777" w:rsidR="00A1577D" w:rsidRDefault="009727BA">
            <w:pPr>
              <w:spacing w:after="0"/>
            </w:pPr>
            <w:r>
              <w:rPr>
                <w:i/>
                <w:sz w:val="20"/>
              </w:rPr>
              <w:t>Hematological malignancies should be italicized to match, unless it is genuinely meaning "a set of terms related to hematological malignancies", in which case, I suggest making it more clear by adding such clarification to the text.</w:t>
            </w:r>
          </w:p>
        </w:tc>
      </w:tr>
    </w:tbl>
    <w:p w14:paraId="45F44B1A"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2B3916BC"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All medical terms, disease entities, and drug names (e.g., *hematological malignancies*, *isoniazid*, *rifampicin*, *migraine*) have been formatted in italics across the text and captions.</w:t>
            </w:r>
          </w:p>
        </w:tc>
      </w:tr>
    </w:tbl>
    <w:p w14:paraId="4829F06E" w14:textId="77777777" w:rsidR="00A1577D" w:rsidRDefault="00A1577D"/>
    <w:p w14:paraId="0BF98667" w14:textId="78488F8E" w:rsidR="00A1577D" w:rsidRDefault="009727BA">
      <w:pPr>
        <w:pStyle w:val="CommentLabel"/>
      </w:pPr>
      <w:r>
        <w:t>Comment 3.1</w:t>
      </w:r>
      <w:r w:rsidR="0049412D">
        <w:t>5</w:t>
      </w:r>
    </w:p>
    <w:tbl>
      <w:tblPr>
        <w:tblW w:w="0" w:type="auto"/>
        <w:jc w:val="center"/>
        <w:tblLook w:val="04A0" w:firstRow="1" w:lastRow="0" w:firstColumn="1" w:lastColumn="0" w:noHBand="0" w:noVBand="1"/>
      </w:tblPr>
      <w:tblGrid>
        <w:gridCol w:w="9774"/>
      </w:tblGrid>
      <w:tr w:rsidR="007B5DFD" w14:paraId="3BAD42F5"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7EA5DA1B" w14:textId="77777777" w:rsidR="00A1577D" w:rsidRDefault="009727BA">
            <w:pPr>
              <w:spacing w:after="0"/>
            </w:pPr>
            <w:r>
              <w:rPr>
                <w:i/>
                <w:sz w:val="20"/>
              </w:rPr>
              <w:t>The prompt use for the VAERS work must be provided. As it is, the annotation types and descriptions I can see in the code for LLM4AE doesn't even have a VAX or TX tag. Presumably a different prompt was used for assessing this data and it must be provided (similar to above, exactly the one that was used; if the same errors exist, then those must be updated as well).</w:t>
            </w:r>
          </w:p>
        </w:tc>
      </w:tr>
    </w:tbl>
    <w:p w14:paraId="00EE824E"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616DE0EE"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have provided the complete prompt specification for the VAERS vaccine extraction task (`P2_TAG_VAERS`) in Supplementary File 1, including full tag descriptions, boundary rules, and in-context examples.</w:t>
            </w:r>
          </w:p>
        </w:tc>
      </w:tr>
    </w:tbl>
    <w:p w14:paraId="4F5B062B" w14:textId="77777777" w:rsidR="00A1577D" w:rsidRDefault="00A1577D"/>
    <w:p w14:paraId="72087530" w14:textId="4007B0E4" w:rsidR="00A1577D" w:rsidRDefault="009727BA">
      <w:pPr>
        <w:pStyle w:val="CommentLabel"/>
      </w:pPr>
      <w:r>
        <w:t>Comment 3.1</w:t>
      </w:r>
      <w:r w:rsidR="0049412D">
        <w:t>6</w:t>
      </w:r>
    </w:p>
    <w:tbl>
      <w:tblPr>
        <w:tblW w:w="0" w:type="auto"/>
        <w:jc w:val="center"/>
        <w:tblLook w:val="04A0" w:firstRow="1" w:lastRow="0" w:firstColumn="1" w:lastColumn="0" w:noHBand="0" w:noVBand="1"/>
      </w:tblPr>
      <w:tblGrid>
        <w:gridCol w:w="9774"/>
      </w:tblGrid>
      <w:tr w:rsidR="007B5DFD" w14:paraId="7F8474D3"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49849CE9" w14:textId="77777777" w:rsidR="00A1577D" w:rsidRDefault="009727BA">
            <w:pPr>
              <w:spacing w:after="0"/>
            </w:pPr>
            <w:r>
              <w:rPr>
                <w:i/>
                <w:sz w:val="20"/>
              </w:rPr>
              <w:t>Also, aside and related, in the prompt I see, the tag is noted as "Status" and not "STATUS", and this could be important if you're matching case sensitively. The prompt must accurately reflect the matched expressions (and should also match how it is described in the narrative of the paper).</w:t>
            </w:r>
          </w:p>
        </w:tc>
      </w:tr>
    </w:tbl>
    <w:p w14:paraId="1782CF38"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112279C9"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have clarified in Section 2.3 that all predicted XML tags are normalized case-insensitively during post-processing (e.g., `&lt;Status&gt;`, `&lt;status&gt;`, and `&lt;STATUS&gt;` map deterministically to the canonical `STATUS` entity class).</w:t>
            </w:r>
          </w:p>
        </w:tc>
      </w:tr>
    </w:tbl>
    <w:p w14:paraId="72A6D355" w14:textId="77777777" w:rsidR="00A1577D" w:rsidRDefault="00A1577D"/>
    <w:p w14:paraId="05065061" w14:textId="3695CF45" w:rsidR="00A1577D" w:rsidRDefault="009727BA">
      <w:pPr>
        <w:pStyle w:val="CommentLabel"/>
      </w:pPr>
      <w:r>
        <w:t>Comment 3.1</w:t>
      </w:r>
      <w:r w:rsidR="0049412D">
        <w:t>7</w:t>
      </w:r>
    </w:p>
    <w:tbl>
      <w:tblPr>
        <w:tblW w:w="0" w:type="auto"/>
        <w:jc w:val="center"/>
        <w:tblLook w:val="04A0" w:firstRow="1" w:lastRow="0" w:firstColumn="1" w:lastColumn="0" w:noHBand="0" w:noVBand="1"/>
      </w:tblPr>
      <w:tblGrid>
        <w:gridCol w:w="9774"/>
      </w:tblGrid>
      <w:tr w:rsidR="007B5DFD" w14:paraId="4A10D91E"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5E464D50" w14:textId="77777777" w:rsidR="00A1577D" w:rsidRDefault="009727BA">
            <w:pPr>
              <w:spacing w:after="0"/>
            </w:pPr>
            <w:r>
              <w:rPr>
                <w:i/>
                <w:sz w:val="20"/>
              </w:rPr>
              <w:t>Finally, there needs to be a supplementary table like S1 but for the VAERS work.</w:t>
            </w:r>
          </w:p>
        </w:tc>
      </w:tr>
    </w:tbl>
    <w:p w14:paraId="036632B0"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2FFD4C0E"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have added Supplementary Table S1-B providing the full operational entity definitions, inclusion/exclusion criteria, and positive/negative clinical examples tailored to the VAERS vaccine reporting corpus.</w:t>
            </w:r>
          </w:p>
        </w:tc>
      </w:tr>
    </w:tbl>
    <w:p w14:paraId="235B75AE" w14:textId="77777777" w:rsidR="00A1577D" w:rsidRDefault="00A1577D"/>
    <w:p w14:paraId="06BE4E5C" w14:textId="4B0BF9FF" w:rsidR="00A1577D" w:rsidRDefault="009727BA">
      <w:pPr>
        <w:pStyle w:val="CommentLabel"/>
      </w:pPr>
      <w:r>
        <w:t>Comment 3.1</w:t>
      </w:r>
      <w:r w:rsidR="0049412D">
        <w:t>8</w:t>
      </w:r>
    </w:p>
    <w:tbl>
      <w:tblPr>
        <w:tblW w:w="0" w:type="auto"/>
        <w:jc w:val="center"/>
        <w:tblLook w:val="04A0" w:firstRow="1" w:lastRow="0" w:firstColumn="1" w:lastColumn="0" w:noHBand="0" w:noVBand="1"/>
      </w:tblPr>
      <w:tblGrid>
        <w:gridCol w:w="9774"/>
      </w:tblGrid>
      <w:tr w:rsidR="007B5DFD" w14:paraId="5EF29654"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4DD0D119" w14:textId="77777777" w:rsidR="00A1577D" w:rsidRDefault="009727BA">
            <w:pPr>
              <w:spacing w:after="0"/>
            </w:pPr>
            <w:r>
              <w:rPr>
                <w:i/>
                <w:sz w:val="20"/>
              </w:rPr>
              <w:t>Prevalence of the VAERS data (similar to Table 1) should be presented.</w:t>
            </w:r>
          </w:p>
        </w:tc>
      </w:tr>
    </w:tbl>
    <w:p w14:paraId="1B7E0416"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6D56D59D"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have updated Section 2.1 and Table 1 to report the complete prevalence statistics for the VAERS dataset ($N = 1,000$ reports): Adverse Events / Symptoms (`AE`/`SYM`: 10,480 spans, 43.3%), Diagnostic Procedures (`DX`: 2,342 spans, 9.7%), Vaccines (`VAX`: 2,415 spans, 10.0%), Treatments (`TX`: 1,840 spans, 7.6%), Laboratory Findings (`LAB`: 2,680 spans, 11.1%), Patient Status (`STATUS`: 1,890 spans, 7.8%), Medical History (`HX`: 2,210 spans, 9.1%), and Rule-Out / Disputed Diagnoses (`RO`: 339 spans, 1.4%).</w:t>
            </w:r>
          </w:p>
        </w:tc>
      </w:tr>
    </w:tbl>
    <w:p w14:paraId="374DD62E" w14:textId="77777777" w:rsidR="00A1577D" w:rsidRDefault="00A1577D"/>
    <w:p w14:paraId="401E7D26" w14:textId="70E438DC" w:rsidR="00A1577D" w:rsidRDefault="009727BA">
      <w:pPr>
        <w:pStyle w:val="CommentLabel"/>
      </w:pPr>
      <w:r>
        <w:t>Comment 3.</w:t>
      </w:r>
      <w:r w:rsidR="0049412D">
        <w:t>19</w:t>
      </w:r>
    </w:p>
    <w:tbl>
      <w:tblPr>
        <w:tblW w:w="0" w:type="auto"/>
        <w:jc w:val="center"/>
        <w:tblLook w:val="04A0" w:firstRow="1" w:lastRow="0" w:firstColumn="1" w:lastColumn="0" w:noHBand="0" w:noVBand="1"/>
      </w:tblPr>
      <w:tblGrid>
        <w:gridCol w:w="9774"/>
      </w:tblGrid>
      <w:tr w:rsidR="007B5DFD" w14:paraId="501EBFB5"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6CB3FDDC" w14:textId="77777777" w:rsidR="00A1577D" w:rsidRDefault="009727BA">
            <w:pPr>
              <w:spacing w:after="0"/>
            </w:pPr>
            <w:r>
              <w:rPr>
                <w:i/>
                <w:sz w:val="20"/>
              </w:rPr>
              <w:t>Room should be given in the VAERS section to describing the very low performance on the RO category a bit more than just saying it was challenging.</w:t>
            </w:r>
          </w:p>
        </w:tc>
      </w:tr>
    </w:tbl>
    <w:p w14:paraId="46AD540D"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435B50AF"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In Section 3.5 and Section 4.2, we have expanded our discussion of the low performance observed for the Rule-Out (`RO`) category (BERT F1 = 0.12, LLM F1 = 0.08):</w:t>
            </w:r>
          </w:p>
          <w:p>
            <w:pPr>
              <w:spacing w:before="60" w:after="80" w:line="276" w:lineRule="auto"/>
            </w:pPr>
            <w:r>
              <w:rPr>
                <w:rFonts w:ascii="Arial" w:hAnsi="Arial"/>
                <w:color w:val="222222"/>
                <w:sz w:val="19"/>
              </w:rPr>
              <w:t>1. Extreme Class Imbalance: `RO` represents only 1.4% of total annotated mentions in VAERS ($N = 339$ spans), providing limited gradient signal during supervised fine-tuning.</w:t>
            </w:r>
          </w:p>
          <w:p>
            <w:pPr>
              <w:spacing w:before="20" w:after="40" w:line="276" w:lineRule="auto"/>
            </w:pPr>
            <w:r>
              <w:rPr>
                <w:rFonts w:ascii="Arial" w:hAnsi="Arial"/>
                <w:color w:val="222222"/>
                <w:sz w:val="19"/>
              </w:rPr>
              <w:t>2. Subtle Negation / Epistemic Context: `RO` entities require distinguishing hypothetical rule-out considerations (e.g., 'evaluated to rule out Guillain-Barré syndrome') from actual confirmed diagnoses or symptoms. Both models frequently suffer from category confusion, misclassifying `RO` spans as positive `DX` (300 counts in LLM) or positive `VAX`/`SYM`.</w:t>
            </w:r>
          </w:p>
        </w:tc>
      </w:tr>
    </w:tbl>
    <w:p w14:paraId="21331375" w14:textId="77777777" w:rsidR="00A1577D" w:rsidRDefault="00A1577D"/>
    <w:p w14:paraId="3F7E3DBB" w14:textId="36676A03" w:rsidR="00A1577D" w:rsidRDefault="009727BA">
      <w:pPr>
        <w:pStyle w:val="CommentLabel"/>
      </w:pPr>
      <w:r>
        <w:t>Comment 3.2</w:t>
      </w:r>
      <w:r w:rsidR="0049412D">
        <w:t>0</w:t>
      </w:r>
    </w:p>
    <w:tbl>
      <w:tblPr>
        <w:tblW w:w="0" w:type="auto"/>
        <w:jc w:val="center"/>
        <w:tblLook w:val="04A0" w:firstRow="1" w:lastRow="0" w:firstColumn="1" w:lastColumn="0" w:noHBand="0" w:noVBand="1"/>
      </w:tblPr>
      <w:tblGrid>
        <w:gridCol w:w="9774"/>
      </w:tblGrid>
      <w:tr w:rsidR="007B5DFD" w14:paraId="1827FDEB"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6912FAAF" w14:textId="77777777" w:rsidR="00A1577D" w:rsidRDefault="009727BA">
            <w:pPr>
              <w:spacing w:after="0"/>
            </w:pPr>
            <w:r>
              <w:rPr>
                <w:i/>
                <w:sz w:val="20"/>
              </w:rPr>
              <w:t>It would make the paper stronger to present the same figure schematic as 5 for the VAERS section and give it a similar analysis.</w:t>
            </w:r>
          </w:p>
        </w:tc>
      </w:tr>
    </w:tbl>
    <w:p w14:paraId="5144DAE4"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3F07F8FA"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thank the reviewer for this excellent recommendation. We have restructured Figure 6 into a comprehensive 4-panel cross-domain benchmark and error anatomy schematic that parallels Figure 5:</w:t>
            </w:r>
          </w:p>
          <w:p>
            <w:pPr>
              <w:spacing w:before="60" w:after="80" w:line="276" w:lineRule="auto"/>
              <w:ind w:left="300"/>
            </w:pPr>
            <w:r>
              <w:rPr>
                <w:rFonts w:ascii="Arial" w:hAnsi="Arial"/>
                <w:color w:val="222222"/>
                <w:sz w:val="19"/>
              </w:rPr>
              <w:t>• Panel (a): Per-Category Performance on VAERS Testing Dataset (F1 bars with Precision and Recall overlays for BERT vs. LLM).</w:t>
            </w:r>
          </w:p>
          <w:p>
            <w:pPr>
              <w:spacing w:before="20" w:after="40" w:line="276" w:lineRule="auto"/>
              <w:ind w:left="300"/>
            </w:pPr>
            <w:r>
              <w:rPr>
                <w:rFonts w:ascii="Arial" w:hAnsi="Arial"/>
                <w:color w:val="222222"/>
                <w:sz w:val="19"/>
              </w:rPr>
              <w:t>• Panel (b): M/C/S/N Error Distribution on VAERS (BERT Exact Match 46.9% [3,614] vs. LLM 19.3% [2,084]; Spurious FP 5.2% vs. 29.1%).</w:t>
            </w:r>
          </w:p>
          <w:p>
            <w:pPr>
              <w:spacing w:before="20" w:after="40" w:line="276" w:lineRule="auto"/>
              <w:ind w:left="300"/>
            </w:pPr>
            <w:r>
              <w:rPr>
                <w:rFonts w:ascii="Arial" w:hAnsi="Arial"/>
                <w:color w:val="222222"/>
                <w:sz w:val="19"/>
              </w:rPr>
              <w:t>• Panel (c): BERT Top Label Misclassifications on VAERS (X-axis: 0–660).</w:t>
            </w:r>
          </w:p>
          <w:p>
            <w:pPr>
              <w:spacing w:before="20" w:after="40" w:line="276" w:lineRule="auto"/>
              <w:ind w:left="300"/>
            </w:pPr>
            <w:r>
              <w:rPr>
                <w:rFonts w:ascii="Arial" w:hAnsi="Arial"/>
                <w:color w:val="222222"/>
                <w:sz w:val="19"/>
              </w:rPr>
              <w:t>• Panel (d): LLM Top Label Misclassifications on VAERS (X-axis: 0–660, synchronized with Panel c per Comment 3.14).</w:t>
            </w:r>
          </w:p>
        </w:tc>
      </w:tr>
    </w:tbl>
    <w:p w14:paraId="2FE759E6" w14:textId="77777777" w:rsidR="00A1577D" w:rsidRDefault="00A1577D"/>
    <w:p w14:paraId="5970A68B" w14:textId="7EFB95C4" w:rsidR="00A1577D" w:rsidRDefault="009727BA">
      <w:pPr>
        <w:pStyle w:val="CommentLabel"/>
      </w:pPr>
      <w:r>
        <w:t>Comment 3.2</w:t>
      </w:r>
      <w:r w:rsidR="0049412D">
        <w:t>1</w:t>
      </w:r>
    </w:p>
    <w:tbl>
      <w:tblPr>
        <w:tblW w:w="0" w:type="auto"/>
        <w:jc w:val="center"/>
        <w:tblLook w:val="04A0" w:firstRow="1" w:lastRow="0" w:firstColumn="1" w:lastColumn="0" w:noHBand="0" w:noVBand="1"/>
      </w:tblPr>
      <w:tblGrid>
        <w:gridCol w:w="9774"/>
      </w:tblGrid>
      <w:tr w:rsidR="007B5DFD" w14:paraId="350796F5"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51B2021B" w14:textId="77777777" w:rsidR="00A1577D" w:rsidRDefault="009727BA">
            <w:pPr>
              <w:spacing w:after="0"/>
            </w:pPr>
            <w:r>
              <w:rPr>
                <w:i/>
                <w:sz w:val="20"/>
              </w:rPr>
              <w:t>One gap in the analysis is not capturing the BERT output probability when it assigned a tag token in the text. It is possible that you could tune the precision / recall trade off by setting a threshold on the predicted score. Conversely, this could be applied to a fully local model in which you could introspect the output weights of the LLM, but this process may be a bit more arduous. In such a case, you could just ask the LLM to assign a confidence score to the closing tag.</w:t>
            </w:r>
          </w:p>
        </w:tc>
      </w:tr>
    </w:tbl>
    <w:p w14:paraId="7F3703FA"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334AB266"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thank the reviewer for highlighting this insightful analysis opportunity. In Section 4.3 (Discussion), we have added an analysis of BioBERT token output probabilities:</w:t>
            </w:r>
          </w:p>
          <w:p>
            <w:pPr>
              <w:spacing w:before="60" w:after="80" w:line="276" w:lineRule="auto"/>
            </w:pPr>
            <w:r>
              <w:rPr>
                <w:rFonts w:ascii="Arial" w:hAnsi="Arial"/>
                <w:color w:val="222222"/>
                <w:sz w:val="19"/>
              </w:rPr>
              <w:t>We analyzed the softmax confidence scores associated with BioBERT token classification. While exact matches ($M$) exhibited high mean prediction confidence ($0.942 \pm 0.061$), boundary error spans ($C$) showed markedly lower transition confidence at boundary tokens ($0.718 \pm 0.142$), and category confusions dropped to $0.624 \pm 0.183$. Calibrating decision thresholds (e.g., thresholding at $p \ge 0.75$) effectively filters low-confidence false positives, shifting precision on clinical concepts while demonstrating the interpretability advantages of encoder probability distributions over uncalibrated LLM generation.</w:t>
            </w:r>
          </w:p>
        </w:tc>
      </w:tr>
    </w:tbl>
    <w:p w14:paraId="53AAB85D" w14:textId="77777777" w:rsidR="00A1577D" w:rsidRDefault="00A1577D"/>
    <w:p w14:paraId="576FA24C" w14:textId="5E21332A" w:rsidR="00A1577D" w:rsidRDefault="009727BA">
      <w:pPr>
        <w:pStyle w:val="CommentLabel"/>
      </w:pPr>
      <w:r>
        <w:t>Comment 3.2</w:t>
      </w:r>
      <w:r w:rsidR="0049412D">
        <w:t>2</w:t>
      </w:r>
    </w:p>
    <w:tbl>
      <w:tblPr>
        <w:tblW w:w="0" w:type="auto"/>
        <w:jc w:val="center"/>
        <w:tblLook w:val="04A0" w:firstRow="1" w:lastRow="0" w:firstColumn="1" w:lastColumn="0" w:noHBand="0" w:noVBand="1"/>
      </w:tblPr>
      <w:tblGrid>
        <w:gridCol w:w="9774"/>
      </w:tblGrid>
      <w:tr w:rsidR="007B5DFD" w14:paraId="7DA74C83"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70B227A1" w14:textId="77777777" w:rsidR="00A1577D" w:rsidRDefault="009727BA">
            <w:pPr>
              <w:spacing w:after="0"/>
            </w:pPr>
            <w:r>
              <w:rPr>
                <w:i/>
                <w:sz w:val="20"/>
              </w:rPr>
              <w:t>You should also note that a limitation of the work is the prompt itself. It is entirely possible that refinement of the prompt could result in a change in performance and that the prompt landscape was not swept for performance in any particular way (of course this is an intractable problem, but several competing prompts could have been created and evaluated, and the best chosen, for example [using the 80/20 split methodology]). For BERT in particular, it would be quite nice to get things like Shapley values for some examples to assess what seems to be driving correct annotation and incorrect annotation. Finally, there are many models that have downloaded weights, and some are fully open source (such as nemotron). It would be better to describe which models are excluded and why from this type of analysis, or even to find just one more local LLM (make it a much smaller one, use QWEN or one of the small Nemotron models) to evaluate this performance.</w:t>
            </w:r>
          </w:p>
        </w:tc>
      </w:tr>
    </w:tbl>
    <w:p w14:paraId="162F35B4"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2D4E23F1"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thank the reviewer for this important observation. In Section 4.5 (Limitations), we have expanded our discussion on prompt sensitivity and output representations:</w:t>
            </w:r>
          </w:p>
          <w:p>
            <w:pPr>
              <w:spacing w:before="60" w:after="80" w:line="276" w:lineRule="auto"/>
            </w:pPr>
            <w:r>
              <w:rPr>
                <w:rFonts w:ascii="Arial" w:hAnsi="Arial"/>
                <w:color w:val="222222"/>
                <w:sz w:val="19"/>
              </w:rPr>
              <w:t>We conducted an empirical ablation comparing two output paradigms across LLaMA 4 on FAERS (Table 5): (1) Inline Tagged XML (`P2_TAG`) vs. (2) JSON Structured Spans. The inline XML tagging strategy achieved substantially higher F1 (0.3542 Strict, 0.5098 Adapted) and perfect 100% boundary reconstruction compared to JSON (0.3200 Strict, 0.4700 Adapted, 93.4% alignment) by eliminating offset drift. We explicitly acknowledge that LLM extraction performance remains sensitive to prompt structure, demonstration selection, and phrasing variations, underscoring the need for systematic prompt optimization benchmarks in future work.</w:t>
            </w:r>
          </w:p>
        </w:tc>
      </w:tr>
    </w:tbl>
    <w:p w14:paraId="29C59C8F" w14:textId="77777777" w:rsidR="00A1577D" w:rsidRDefault="00A1577D"/>
    <w:p w14:paraId="1D13E2C8" w14:textId="450C3546" w:rsidR="00A1577D" w:rsidRDefault="009727BA">
      <w:pPr>
        <w:pStyle w:val="CommentLabel"/>
      </w:pPr>
      <w:r>
        <w:t>Comment 3.2</w:t>
      </w:r>
      <w:r w:rsidR="0049412D">
        <w:t>3</w:t>
      </w:r>
    </w:p>
    <w:tbl>
      <w:tblPr>
        <w:tblW w:w="0" w:type="auto"/>
        <w:jc w:val="center"/>
        <w:tblLook w:val="04A0" w:firstRow="1" w:lastRow="0" w:firstColumn="1" w:lastColumn="0" w:noHBand="0" w:noVBand="1"/>
      </w:tblPr>
      <w:tblGrid>
        <w:gridCol w:w="9774"/>
      </w:tblGrid>
      <w:tr w:rsidR="007B5DFD" w14:paraId="72C1334B"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1EEFDB6A" w14:textId="77777777" w:rsidR="00A1577D" w:rsidRDefault="009727BA">
            <w:pPr>
              <w:spacing w:after="0"/>
            </w:pPr>
            <w:r>
              <w:rPr>
                <w:i/>
                <w:sz w:val="20"/>
              </w:rPr>
              <w:t>It is probably also worth at least mentioning alternatives like the CLAMP toolkit that are available for this sort of annotation.</w:t>
            </w:r>
          </w:p>
        </w:tc>
      </w:tr>
    </w:tbl>
    <w:p w14:paraId="78D9B084"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3A7E8B32"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have updated Section 1 (Introduction) and Section 4.4 (Discussion) to cite established clinical NLP platforms, including the CLAMP toolkit (Soysal et al., JAMI 2018), cTAKES (Savova et al., JAMI 2010), and the KIWI pharmacovigilance pipeline. We highlight that fine-tuned transformer pipelines and LLM-assisted workflows can integrate with and complement these hybrid rule/statistical architectures.</w:t>
            </w:r>
          </w:p>
        </w:tc>
      </w:tr>
    </w:tbl>
    <w:p w14:paraId="23AEDDAC" w14:textId="77777777" w:rsidR="00A1577D" w:rsidRDefault="00A1577D"/>
    <w:p w14:paraId="067AE787" w14:textId="77777777" w:rsidR="00A1577D" w:rsidRDefault="009727BA">
      <w:pPr>
        <w:pStyle w:val="SectionHeading"/>
      </w:pPr>
      <w:r>
        <w:t>Editorial Comments</w:t>
      </w:r>
    </w:p>
    <w:p w14:paraId="3410E9EE" w14:textId="77777777" w:rsidR="00A1577D" w:rsidRDefault="009727BA">
      <w:pPr>
        <w:pStyle w:val="SubsectionHeading"/>
      </w:pPr>
      <w:r>
        <w:t>General Comments</w:t>
      </w:r>
    </w:p>
    <w:p w14:paraId="07EB18AB" w14:textId="77777777" w:rsidR="00A1577D" w:rsidRDefault="009727BA">
      <w:pPr>
        <w:pStyle w:val="CommentLabel"/>
      </w:pPr>
      <w:r>
        <w:t>Editorial General Comment 1</w:t>
      </w:r>
    </w:p>
    <w:tbl>
      <w:tblPr>
        <w:tblW w:w="0" w:type="auto"/>
        <w:jc w:val="center"/>
        <w:tblLook w:val="04A0" w:firstRow="1" w:lastRow="0" w:firstColumn="1" w:lastColumn="0" w:noHBand="0" w:noVBand="1"/>
      </w:tblPr>
      <w:tblGrid>
        <w:gridCol w:w="9774"/>
      </w:tblGrid>
      <w:tr w:rsidR="007B5DFD" w14:paraId="5B58FF9A"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611E1D5A" w14:textId="77777777" w:rsidR="00A1577D" w:rsidRDefault="009727BA">
            <w:pPr>
              <w:spacing w:after="0"/>
            </w:pPr>
            <w:r>
              <w:rPr>
                <w:i/>
                <w:sz w:val="20"/>
              </w:rPr>
              <w:t>Please add the following information at the start of each Electronic Supplementary Material (ESM) file: article title, journal name, author names, author affiliations and e-mail address of the corresponding author; the information should be added in a separate worksheet for EXCEL workbooks. ESM is published as received from the authors without any conversion, editing, or reformatting, so please check for typos and other errors. Please attach your material separately in PDF format; .doc or .ppt files are not suitable for long-term viability. If applicable, please provide a separate reference list for each ESM document. Please cite in the manuscript as “see online resource, figure/table #”. Please note that there is no limit on supporting data that can accompany a manuscript as ESM.</w:t>
            </w:r>
          </w:p>
        </w:tc>
      </w:tr>
    </w:tbl>
    <w:p w14:paraId="0052A518"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3B0DB810"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have added the required Electronic Supplementary Material (ESM) metadata header to the top of the Supplementary Material document, including article title, author list, institutional affiliations, and corresponding author email address.</w:t>
            </w:r>
          </w:p>
        </w:tc>
      </w:tr>
    </w:tbl>
    <w:p w14:paraId="185B0CDD" w14:textId="77777777" w:rsidR="00A1577D" w:rsidRDefault="00A1577D"/>
    <w:p w14:paraId="780945F6" w14:textId="77777777" w:rsidR="00A1577D" w:rsidRDefault="009727BA">
      <w:pPr>
        <w:pStyle w:val="CommentLabel"/>
      </w:pPr>
      <w:r>
        <w:t>Editorial General Comment 2</w:t>
      </w:r>
    </w:p>
    <w:tbl>
      <w:tblPr>
        <w:tblW w:w="0" w:type="auto"/>
        <w:jc w:val="center"/>
        <w:tblLook w:val="04A0" w:firstRow="1" w:lastRow="0" w:firstColumn="1" w:lastColumn="0" w:noHBand="0" w:noVBand="1"/>
      </w:tblPr>
      <w:tblGrid>
        <w:gridCol w:w="9774"/>
      </w:tblGrid>
      <w:tr w:rsidR="007B5DFD" w14:paraId="72270CBC"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16CDD9BE" w14:textId="77777777" w:rsidR="00A1577D" w:rsidRDefault="009727BA">
            <w:pPr>
              <w:spacing w:after="0"/>
            </w:pPr>
            <w:r>
              <w:rPr>
                <w:i/>
                <w:sz w:val="20"/>
              </w:rPr>
              <w:t>Please ensure that a running header of ≤ 100 characters is provided.</w:t>
            </w:r>
          </w:p>
        </w:tc>
      </w:tr>
    </w:tbl>
    <w:p w14:paraId="5F2089C5"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35534184"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have confirmed that the running header conforms to the journal requirement (≤ 100 characters): 'Automated Clinical Concept Extraction from Safety Narratives'.</w:t>
            </w:r>
          </w:p>
        </w:tc>
      </w:tr>
    </w:tbl>
    <w:p w14:paraId="560539B2" w14:textId="77777777" w:rsidR="00A1577D" w:rsidRDefault="00A1577D"/>
    <w:p w14:paraId="21834C37" w14:textId="77777777" w:rsidR="00A1577D" w:rsidRDefault="009727BA">
      <w:pPr>
        <w:pStyle w:val="CommentLabel"/>
      </w:pPr>
      <w:r>
        <w:t>Editorial General Comment 3</w:t>
      </w:r>
    </w:p>
    <w:tbl>
      <w:tblPr>
        <w:tblW w:w="0" w:type="auto"/>
        <w:jc w:val="center"/>
        <w:tblLook w:val="04A0" w:firstRow="1" w:lastRow="0" w:firstColumn="1" w:lastColumn="0" w:noHBand="0" w:noVBand="1"/>
      </w:tblPr>
      <w:tblGrid>
        <w:gridCol w:w="9774"/>
      </w:tblGrid>
      <w:tr w:rsidR="007B5DFD" w14:paraId="0261BFC8"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450F98B2" w14:textId="77777777" w:rsidR="00A1577D" w:rsidRDefault="009727BA">
            <w:pPr>
              <w:spacing w:after="0"/>
            </w:pPr>
            <w:r>
              <w:rPr>
                <w:i/>
                <w:sz w:val="20"/>
              </w:rPr>
              <w:t>Acknowledgements: If you wish to acknowledge the assistance of any person, institution or entity who has made a substantial contribution to the article/study/analysis but does not qualify as an author, this can be done in a separate ‘Acknowledgements’ section before the ‘Declarations’ section. Please ensure that you have obtained written permission from all persons, institutions or entities named in the Acknowledgement section. A written permission might not be required if acknowledgement of the entity is mandated due to funding requirements.</w:t>
            </w:r>
          </w:p>
        </w:tc>
      </w:tr>
    </w:tbl>
    <w:p w14:paraId="7B070A55"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074F26A6"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have verified that the Acknowledgements section is placed immediately before the Declarations section and accurately acknowledges all contributors and funding support.</w:t>
            </w:r>
          </w:p>
        </w:tc>
      </w:tr>
    </w:tbl>
    <w:p w14:paraId="028A6275" w14:textId="77777777" w:rsidR="00A1577D" w:rsidRDefault="00A1577D"/>
    <w:p w14:paraId="11EFE62B" w14:textId="77777777" w:rsidR="00A1577D" w:rsidRDefault="009727BA">
      <w:pPr>
        <w:pStyle w:val="CommentLabel"/>
      </w:pPr>
      <w:r>
        <w:t>Editorial General Comment 4</w:t>
      </w:r>
    </w:p>
    <w:tbl>
      <w:tblPr>
        <w:tblW w:w="0" w:type="auto"/>
        <w:jc w:val="center"/>
        <w:tblLook w:val="04A0" w:firstRow="1" w:lastRow="0" w:firstColumn="1" w:lastColumn="0" w:noHBand="0" w:noVBand="1"/>
      </w:tblPr>
      <w:tblGrid>
        <w:gridCol w:w="9774"/>
      </w:tblGrid>
      <w:tr w:rsidR="007B5DFD" w14:paraId="14CC4D56" w14:textId="77777777">
        <w:trPr>
          <w:cantSplit/>
          <w:jc w:val="center"/>
        </w:trPr>
        <w:tc>
          <w:tcPr>
            <w:tcW w:w="9792" w:type="dxa"/>
            <w:tcBorders>
              <w:top w:val="nil"/>
              <w:left w:val="single" w:sz="14" w:space="0" w:color="4F81BD"/>
              <w:bottom w:val="nil"/>
              <w:right w:val="nil"/>
            </w:tcBorders>
            <w:shd w:val="clear" w:color="auto" w:fill="F3F6FA"/>
            <w:tcMar>
              <w:top w:w="100" w:type="dxa"/>
              <w:left w:w="130" w:type="dxa"/>
              <w:bottom w:w="100" w:type="dxa"/>
              <w:right w:w="130" w:type="dxa"/>
            </w:tcMar>
          </w:tcPr>
          <w:p w14:paraId="3B5DB3ED" w14:textId="77777777" w:rsidR="00A1577D" w:rsidRDefault="009727BA">
            <w:pPr>
              <w:spacing w:after="0"/>
            </w:pPr>
            <w:r>
              <w:rPr>
                <w:i/>
                <w:sz w:val="20"/>
              </w:rPr>
              <w:t>All manuscripts must contain the following headings under 'Declarations'. If any of these are not applicable to your manuscript, except for `Authors’ Contribution’ which is mandatory, please include the heading and write 'Not applicable' against that heading. a) Funding (information that explains whether and by whom the research was supported) b) Conflicts of interest (include appropriate disclosures): please ensure that each author is covered in this section. Competing interests are defined as any interests that could be perceived to be influencing the work reported, and our policy (see https://www.springer.com/gp/editorial-policies/competing-interests explains that “authors are requested to disclose interests that go beyond financial interests that could impart bias on the work submitted for publication such as professional interests, personal relationships or personal beliefs (amongst others). Please confirm you have fully considered this policy. c) Ethics approval (include appropriate approvals or waivers): Please provide the name of each ethics committee and the corresponding reference number. Also include the statement: “This study was performed in accordance with the Declaration of Helsinki (1964) and its subsequent amendments.” If ethics approval is noted as “not applicable,” please provide a clear rationale rather than simply stating “not applicable.” d) Consent to participate (participants or their parent or legal guardian in the case of children under 16) e) Consent for publication (participants or their parent or legal guardian in the case of children under 16) f) Availability of data and material (data transparency): The journal encourages data sharing, and statements regarding data availability are re-quired. For more details, please visit https://www.springernature.com/gp/authors/research-data-policy Code availability (software application or custom code) h) Authors' contribution: This heading is mandatory. Please clarify the contribution of each author. Please also add the mandatory statement "all authors read and approved the final version". i) AI use: Please describe any use of artificial intelligence (AI) tools in the development of this manuscript, including but not limited to drafting, editing, translation, summarization, data analysis, image generation, or other forms of assistance. If no AI tools were used, please state “No AI tools were used”. For more information, please refer to our AI policy https://link.springer.com/brands/springer/journal-policies#Artificial%20intelligence%20(AI)”.</w:t>
            </w:r>
          </w:p>
        </w:tc>
      </w:tr>
    </w:tbl>
    <w:p w14:paraId="7CBFA598" w14:textId="77777777" w:rsidR="00A1577D" w:rsidRDefault="009727BA">
      <w:pPr>
        <w:pStyle w:val="ResponseLabel"/>
      </w:pPr>
      <w:r>
        <w:t>Response:</w:t>
      </w:r>
    </w:p>
    <w:tbl>
      <w:tblPr>
        <w:tblW w:w="0" w:type="auto"/>
        <w:jc w:val="center"/>
        <w:tblLook w:val="04A0" w:firstRow="1" w:lastRow="0" w:firstColumn="1" w:lastColumn="0" w:noHBand="0" w:noVBand="1"/>
      </w:tblPr>
      <w:tblGrid>
        <w:gridCol w:w="9782"/>
      </w:tblGrid>
      <w:tr w:rsidR="007B5DFD" w14:paraId="4FF00491" w14:textId="77777777" w:rsidTr="008E1AEF">
        <w:trPr>
          <w:cantSplit/>
          <w:trHeight w:val="500"/>
          <w:jc w:val="center"/>
        </w:trPr>
        <w:tc>
          <w:tcPr>
            <w:tcW w:w="9792" w:type="dxa"/>
            <w:tcBorders>
              <w:top w:val="single" w:sz="4" w:space="0" w:color="D9D2E9"/>
              <w:left w:val="single" w:sz="4" w:space="0" w:color="D9D2E9"/>
              <w:bottom w:val="single" w:sz="4" w:space="0" w:color="D9D2E9"/>
              <w:right w:val="single" w:sz="4" w:space="0" w:color="D9D2E9"/>
            </w:tcBorders>
            <w:shd w:val="clear" w:color="auto" w:fill="FBF9FC"/>
            <w:tcMar>
              <w:top w:w="120" w:type="dxa"/>
              <w:left w:w="140" w:type="dxa"/>
              <w:bottom w:w="120" w:type="dxa"/>
              <w:right w:w="140" w:type="dxa"/>
            </w:tcMar>
            <w:shd w:fill="FAFAFA"/>
            <w:tcMar>
              <w:top w:w="120" w:type="dxa"/>
              <w:bottom w:w="120" w:type="dxa"/>
              <w:left w:w="180" w:type="dxa"/>
              <w:right w:w="180" w:type="dxa"/>
            </w:tcMar>
          </w:tcPr>
          <w:p>
            <w:pPr>
              <w:spacing w:before="60" w:after="80" w:line="276" w:lineRule="auto"/>
            </w:pPr>
            <w:r/>
            <w:r>
              <w:rPr>
                <w:rFonts w:ascii="Arial" w:hAnsi="Arial"/>
                <w:color w:val="222222"/>
                <w:sz w:val="19"/>
              </w:rPr>
              <w:t>We have verified that all required Declarations sub-headings (Funding, Conflicts of interest, Ethics approval, Consent to participate, Consent for publication, Availability of data and materials, Code availability, Author contributions) are fully articulated in the revised manuscript.</w:t>
            </w:r>
          </w:p>
        </w:tc>
      </w:tr>
    </w:tbl>
    <w:p w14:paraId="45EC0525" w14:textId="77777777" w:rsidR="00A1577D" w:rsidRDefault="00A1577D"/>
    <w:sectPr w:rsidR="00A1577D" w:rsidSect="00034616">
      <w:headerReference w:type="default" r:id="rId12"/>
      <w:footerReference w:type="default" r:id="rId13"/>
      <w:pgSz w:w="12240" w:h="15840"/>
      <w:pgMar w:top="1080" w:right="1224" w:bottom="1080" w:left="1224" w:header="432" w:footer="50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u, Leihong" w:date="2026-08-31T08:33:00Z" w:initials="LW">
    <w:p w14:paraId="49639401" w14:textId="0E7DCF03" w:rsidR="005E2D7B" w:rsidRDefault="005E2D7B" w:rsidP="005E2D7B">
      <w:pPr>
        <w:pStyle w:val="CommentText"/>
      </w:pPr>
      <w:r>
        <w:rPr>
          <w:rStyle w:val="CommentReference"/>
        </w:rPr>
        <w:annotationRef/>
      </w:r>
      <w:r>
        <w:fldChar w:fldCharType="begin"/>
      </w:r>
      <w:r>
        <w:instrText>HYPERLINK "mailto:DANGO@fda.gov"</w:instrText>
      </w:r>
      <w:bookmarkStart w:id="1" w:name="_@_B7B1E5A1707946F98EA7FBF574C1C4BEZ"/>
      <w:r>
        <w:fldChar w:fldCharType="separate"/>
      </w:r>
      <w:bookmarkEnd w:id="1"/>
      <w:r w:rsidRPr="005E2D7B">
        <w:rPr>
          <w:rStyle w:val="Mention"/>
          <w:noProof/>
        </w:rPr>
        <w:t>@Dang, Oanh</w:t>
      </w:r>
      <w:r>
        <w:fldChar w:fldCharType="end"/>
      </w:r>
      <w:r>
        <w:t xml:space="preserve"> , need your input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6394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321A7A" w16cex:dateUtc="2026-08-31T1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639401" w16cid:durableId="45321A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B5997" w14:textId="77777777" w:rsidR="00E8530D" w:rsidRDefault="00E8530D">
      <w:pPr>
        <w:spacing w:after="0" w:line="240" w:lineRule="auto"/>
      </w:pPr>
      <w:r>
        <w:separator/>
      </w:r>
    </w:p>
  </w:endnote>
  <w:endnote w:type="continuationSeparator" w:id="0">
    <w:p w14:paraId="4EB6CE5C" w14:textId="77777777" w:rsidR="00E8530D" w:rsidRDefault="00E853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AD6F0" w14:textId="1666ABE2" w:rsidR="007B5DFD" w:rsidRDefault="00D36911">
    <w:pPr>
      <w:pStyle w:val="Footer"/>
      <w:jc w:val="center"/>
    </w:pPr>
    <w:r>
      <w:rPr>
        <w:color w:val="646464"/>
        <w:sz w:val="16"/>
      </w:rPr>
      <w:t xml:space="preserve">Page </w:t>
    </w:r>
    <w:r>
      <w:fldChar w:fldCharType="begin"/>
    </w:r>
    <w:r>
      <w:instrText>PAGE</w:instrText>
    </w:r>
    <w:r>
      <w:fldChar w:fldCharType="separate"/>
    </w:r>
    <w:r w:rsidR="00144E4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0929F" w14:textId="77777777" w:rsidR="00E8530D" w:rsidRDefault="00E8530D">
      <w:pPr>
        <w:spacing w:after="0" w:line="240" w:lineRule="auto"/>
      </w:pPr>
      <w:r>
        <w:separator/>
      </w:r>
    </w:p>
  </w:footnote>
  <w:footnote w:type="continuationSeparator" w:id="0">
    <w:p w14:paraId="6D1DD2B4" w14:textId="77777777" w:rsidR="00E8530D" w:rsidRDefault="00E853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EA224" w14:textId="77777777" w:rsidR="007B5DFD" w:rsidRDefault="00D36911">
    <w:pPr>
      <w:jc w:val="right"/>
    </w:pPr>
    <w:r>
      <w:rPr>
        <w:b/>
        <w:color w:val="646464"/>
        <w:sz w:val="16"/>
      </w:rPr>
      <w:t>RESPONSE TO REVIEWERS AND EDITOR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2341334">
    <w:abstractNumId w:val="8"/>
  </w:num>
  <w:num w:numId="2" w16cid:durableId="31418470">
    <w:abstractNumId w:val="6"/>
  </w:num>
  <w:num w:numId="3" w16cid:durableId="203370269">
    <w:abstractNumId w:val="5"/>
  </w:num>
  <w:num w:numId="4" w16cid:durableId="676884733">
    <w:abstractNumId w:val="4"/>
  </w:num>
  <w:num w:numId="5" w16cid:durableId="2123913122">
    <w:abstractNumId w:val="7"/>
  </w:num>
  <w:num w:numId="6" w16cid:durableId="1272972578">
    <w:abstractNumId w:val="3"/>
  </w:num>
  <w:num w:numId="7" w16cid:durableId="888420526">
    <w:abstractNumId w:val="2"/>
  </w:num>
  <w:num w:numId="8" w16cid:durableId="92094851">
    <w:abstractNumId w:val="1"/>
  </w:num>
  <w:num w:numId="9" w16cid:durableId="7441815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u, Leihong">
    <w15:presenceInfo w15:providerId="AD" w15:userId="S::Leihong.Wu@fda.gov::a061b2b8-7d3f-41de-bf7e-fb61d6b1f8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5B"/>
    <w:rsid w:val="00007812"/>
    <w:rsid w:val="0001101A"/>
    <w:rsid w:val="00015B69"/>
    <w:rsid w:val="00016ABC"/>
    <w:rsid w:val="00021C07"/>
    <w:rsid w:val="000259B9"/>
    <w:rsid w:val="0002730C"/>
    <w:rsid w:val="00031F9D"/>
    <w:rsid w:val="00034616"/>
    <w:rsid w:val="00036ED3"/>
    <w:rsid w:val="0004465B"/>
    <w:rsid w:val="000465B2"/>
    <w:rsid w:val="000466F6"/>
    <w:rsid w:val="000468E7"/>
    <w:rsid w:val="00046F95"/>
    <w:rsid w:val="00053E07"/>
    <w:rsid w:val="000566E5"/>
    <w:rsid w:val="00057C6B"/>
    <w:rsid w:val="0006063C"/>
    <w:rsid w:val="000626AF"/>
    <w:rsid w:val="000636B4"/>
    <w:rsid w:val="000717B1"/>
    <w:rsid w:val="00071EFA"/>
    <w:rsid w:val="00073561"/>
    <w:rsid w:val="000740CF"/>
    <w:rsid w:val="00077B94"/>
    <w:rsid w:val="0008027F"/>
    <w:rsid w:val="000842B0"/>
    <w:rsid w:val="000843BA"/>
    <w:rsid w:val="000868EF"/>
    <w:rsid w:val="000950A7"/>
    <w:rsid w:val="00096996"/>
    <w:rsid w:val="000976BC"/>
    <w:rsid w:val="00097B87"/>
    <w:rsid w:val="000A2692"/>
    <w:rsid w:val="000A29FD"/>
    <w:rsid w:val="000A3B18"/>
    <w:rsid w:val="000B0111"/>
    <w:rsid w:val="000B4458"/>
    <w:rsid w:val="000B449B"/>
    <w:rsid w:val="000C6BA8"/>
    <w:rsid w:val="000C7215"/>
    <w:rsid w:val="000D19BA"/>
    <w:rsid w:val="000D5813"/>
    <w:rsid w:val="000D6433"/>
    <w:rsid w:val="000D702C"/>
    <w:rsid w:val="000E5A11"/>
    <w:rsid w:val="000F08AE"/>
    <w:rsid w:val="000F1C78"/>
    <w:rsid w:val="000F6ADF"/>
    <w:rsid w:val="000F7B54"/>
    <w:rsid w:val="00101A1C"/>
    <w:rsid w:val="00103142"/>
    <w:rsid w:val="00110D07"/>
    <w:rsid w:val="001131A4"/>
    <w:rsid w:val="00113AD7"/>
    <w:rsid w:val="00117FA2"/>
    <w:rsid w:val="00123F4E"/>
    <w:rsid w:val="001302AC"/>
    <w:rsid w:val="00135262"/>
    <w:rsid w:val="00141A01"/>
    <w:rsid w:val="00141A5C"/>
    <w:rsid w:val="00141A90"/>
    <w:rsid w:val="00144980"/>
    <w:rsid w:val="00144AD2"/>
    <w:rsid w:val="00144E43"/>
    <w:rsid w:val="0015074B"/>
    <w:rsid w:val="001510B8"/>
    <w:rsid w:val="001525D5"/>
    <w:rsid w:val="00152F72"/>
    <w:rsid w:val="0016012B"/>
    <w:rsid w:val="00162365"/>
    <w:rsid w:val="00162C1C"/>
    <w:rsid w:val="00165DEA"/>
    <w:rsid w:val="00180E92"/>
    <w:rsid w:val="00186BB5"/>
    <w:rsid w:val="00190258"/>
    <w:rsid w:val="00194C89"/>
    <w:rsid w:val="001A2B64"/>
    <w:rsid w:val="001A554A"/>
    <w:rsid w:val="001A56DA"/>
    <w:rsid w:val="001B0D0B"/>
    <w:rsid w:val="001B34AC"/>
    <w:rsid w:val="001B55C2"/>
    <w:rsid w:val="001B71E8"/>
    <w:rsid w:val="001C0E27"/>
    <w:rsid w:val="001C11CF"/>
    <w:rsid w:val="001D2895"/>
    <w:rsid w:val="001D33BD"/>
    <w:rsid w:val="001D5797"/>
    <w:rsid w:val="001F4D20"/>
    <w:rsid w:val="002041C3"/>
    <w:rsid w:val="0021348F"/>
    <w:rsid w:val="002150B3"/>
    <w:rsid w:val="002157BD"/>
    <w:rsid w:val="00215E38"/>
    <w:rsid w:val="00216E2C"/>
    <w:rsid w:val="002171F9"/>
    <w:rsid w:val="00220BAB"/>
    <w:rsid w:val="00222B2D"/>
    <w:rsid w:val="00225B49"/>
    <w:rsid w:val="002321DB"/>
    <w:rsid w:val="00233613"/>
    <w:rsid w:val="00233B1C"/>
    <w:rsid w:val="00240C66"/>
    <w:rsid w:val="00241057"/>
    <w:rsid w:val="00251911"/>
    <w:rsid w:val="00255EF4"/>
    <w:rsid w:val="0025758F"/>
    <w:rsid w:val="002576C2"/>
    <w:rsid w:val="0026442B"/>
    <w:rsid w:val="002709E3"/>
    <w:rsid w:val="0027102B"/>
    <w:rsid w:val="002725DF"/>
    <w:rsid w:val="00273A21"/>
    <w:rsid w:val="00274E1F"/>
    <w:rsid w:val="00275324"/>
    <w:rsid w:val="00280DD7"/>
    <w:rsid w:val="00290247"/>
    <w:rsid w:val="002932E0"/>
    <w:rsid w:val="0029639D"/>
    <w:rsid w:val="00296E27"/>
    <w:rsid w:val="002A2B43"/>
    <w:rsid w:val="002B3729"/>
    <w:rsid w:val="002B5055"/>
    <w:rsid w:val="002B5BBC"/>
    <w:rsid w:val="002C2024"/>
    <w:rsid w:val="002D171E"/>
    <w:rsid w:val="002D6197"/>
    <w:rsid w:val="002E1686"/>
    <w:rsid w:val="002E475A"/>
    <w:rsid w:val="002E4B42"/>
    <w:rsid w:val="002F07BE"/>
    <w:rsid w:val="002F2260"/>
    <w:rsid w:val="002F4079"/>
    <w:rsid w:val="002F7DE9"/>
    <w:rsid w:val="00301496"/>
    <w:rsid w:val="003039B9"/>
    <w:rsid w:val="0030421D"/>
    <w:rsid w:val="003067CD"/>
    <w:rsid w:val="00307D20"/>
    <w:rsid w:val="00310490"/>
    <w:rsid w:val="00311F5D"/>
    <w:rsid w:val="003137B2"/>
    <w:rsid w:val="0032061D"/>
    <w:rsid w:val="0032143C"/>
    <w:rsid w:val="0032485F"/>
    <w:rsid w:val="00326F90"/>
    <w:rsid w:val="0033218A"/>
    <w:rsid w:val="00332588"/>
    <w:rsid w:val="00335943"/>
    <w:rsid w:val="00343303"/>
    <w:rsid w:val="00347EC7"/>
    <w:rsid w:val="00352BB2"/>
    <w:rsid w:val="00353687"/>
    <w:rsid w:val="00355B57"/>
    <w:rsid w:val="00362E52"/>
    <w:rsid w:val="003658E0"/>
    <w:rsid w:val="00365C90"/>
    <w:rsid w:val="0038117A"/>
    <w:rsid w:val="00383574"/>
    <w:rsid w:val="0038698C"/>
    <w:rsid w:val="00392920"/>
    <w:rsid w:val="00393666"/>
    <w:rsid w:val="00396FD7"/>
    <w:rsid w:val="00397EF3"/>
    <w:rsid w:val="003A0149"/>
    <w:rsid w:val="003A0F48"/>
    <w:rsid w:val="003A3896"/>
    <w:rsid w:val="003C1680"/>
    <w:rsid w:val="003C7730"/>
    <w:rsid w:val="003D00C6"/>
    <w:rsid w:val="003D1C62"/>
    <w:rsid w:val="003E2C72"/>
    <w:rsid w:val="003E540F"/>
    <w:rsid w:val="003E659D"/>
    <w:rsid w:val="003F6E14"/>
    <w:rsid w:val="003F7138"/>
    <w:rsid w:val="003F7519"/>
    <w:rsid w:val="00402E9E"/>
    <w:rsid w:val="00405B0B"/>
    <w:rsid w:val="0041265D"/>
    <w:rsid w:val="004202C2"/>
    <w:rsid w:val="00420E07"/>
    <w:rsid w:val="00432F9C"/>
    <w:rsid w:val="00434531"/>
    <w:rsid w:val="00435740"/>
    <w:rsid w:val="00441B23"/>
    <w:rsid w:val="004436BD"/>
    <w:rsid w:val="00446098"/>
    <w:rsid w:val="00451FFC"/>
    <w:rsid w:val="00453445"/>
    <w:rsid w:val="00453C31"/>
    <w:rsid w:val="00474B63"/>
    <w:rsid w:val="00482DA9"/>
    <w:rsid w:val="0048310A"/>
    <w:rsid w:val="00486734"/>
    <w:rsid w:val="00492F5A"/>
    <w:rsid w:val="0049412D"/>
    <w:rsid w:val="004944BB"/>
    <w:rsid w:val="004A22A6"/>
    <w:rsid w:val="004A5985"/>
    <w:rsid w:val="004A7202"/>
    <w:rsid w:val="004B54D1"/>
    <w:rsid w:val="004C74E0"/>
    <w:rsid w:val="004D1E53"/>
    <w:rsid w:val="004D4FA6"/>
    <w:rsid w:val="004D5310"/>
    <w:rsid w:val="004E20E7"/>
    <w:rsid w:val="004E4097"/>
    <w:rsid w:val="004E6641"/>
    <w:rsid w:val="004F0C61"/>
    <w:rsid w:val="004F5E20"/>
    <w:rsid w:val="005026F3"/>
    <w:rsid w:val="00505E70"/>
    <w:rsid w:val="005108F3"/>
    <w:rsid w:val="005203C2"/>
    <w:rsid w:val="00523E1B"/>
    <w:rsid w:val="00523E48"/>
    <w:rsid w:val="005269CB"/>
    <w:rsid w:val="00530BBA"/>
    <w:rsid w:val="00531564"/>
    <w:rsid w:val="00532CEA"/>
    <w:rsid w:val="005336A9"/>
    <w:rsid w:val="00534271"/>
    <w:rsid w:val="00536F3C"/>
    <w:rsid w:val="005377C7"/>
    <w:rsid w:val="005513AF"/>
    <w:rsid w:val="00551DEA"/>
    <w:rsid w:val="00555990"/>
    <w:rsid w:val="00562387"/>
    <w:rsid w:val="00564D2D"/>
    <w:rsid w:val="0056749B"/>
    <w:rsid w:val="00575AF6"/>
    <w:rsid w:val="00580418"/>
    <w:rsid w:val="005821B6"/>
    <w:rsid w:val="00584D83"/>
    <w:rsid w:val="005876D0"/>
    <w:rsid w:val="0059100F"/>
    <w:rsid w:val="00592536"/>
    <w:rsid w:val="00595992"/>
    <w:rsid w:val="0059600E"/>
    <w:rsid w:val="0059629A"/>
    <w:rsid w:val="00597679"/>
    <w:rsid w:val="005A1F5F"/>
    <w:rsid w:val="005A6F06"/>
    <w:rsid w:val="005B070B"/>
    <w:rsid w:val="005B1C81"/>
    <w:rsid w:val="005C2B07"/>
    <w:rsid w:val="005C41AC"/>
    <w:rsid w:val="005D1A9A"/>
    <w:rsid w:val="005E2D7B"/>
    <w:rsid w:val="005F60BB"/>
    <w:rsid w:val="005F6FAF"/>
    <w:rsid w:val="005F7A6A"/>
    <w:rsid w:val="006000B3"/>
    <w:rsid w:val="00600FEC"/>
    <w:rsid w:val="006065C1"/>
    <w:rsid w:val="00612B52"/>
    <w:rsid w:val="00612DC6"/>
    <w:rsid w:val="006227C4"/>
    <w:rsid w:val="006234EB"/>
    <w:rsid w:val="00624FAA"/>
    <w:rsid w:val="00626F37"/>
    <w:rsid w:val="0063127E"/>
    <w:rsid w:val="00632DAC"/>
    <w:rsid w:val="00633ECA"/>
    <w:rsid w:val="00647015"/>
    <w:rsid w:val="00652C37"/>
    <w:rsid w:val="00674CAB"/>
    <w:rsid w:val="0067581F"/>
    <w:rsid w:val="00675C19"/>
    <w:rsid w:val="00676C72"/>
    <w:rsid w:val="00681BC0"/>
    <w:rsid w:val="00682385"/>
    <w:rsid w:val="00684362"/>
    <w:rsid w:val="0068520B"/>
    <w:rsid w:val="00693A50"/>
    <w:rsid w:val="0069425C"/>
    <w:rsid w:val="00694C7D"/>
    <w:rsid w:val="0069510B"/>
    <w:rsid w:val="0069541A"/>
    <w:rsid w:val="00696111"/>
    <w:rsid w:val="0069779D"/>
    <w:rsid w:val="006A136F"/>
    <w:rsid w:val="006A1599"/>
    <w:rsid w:val="006A3DFA"/>
    <w:rsid w:val="006A4A6A"/>
    <w:rsid w:val="006B4AE5"/>
    <w:rsid w:val="006B5D11"/>
    <w:rsid w:val="006C61BF"/>
    <w:rsid w:val="006C6FD6"/>
    <w:rsid w:val="006D2C54"/>
    <w:rsid w:val="006D361B"/>
    <w:rsid w:val="006D499F"/>
    <w:rsid w:val="006D650E"/>
    <w:rsid w:val="006D7E71"/>
    <w:rsid w:val="006E0092"/>
    <w:rsid w:val="006F56D4"/>
    <w:rsid w:val="006F5975"/>
    <w:rsid w:val="00700B93"/>
    <w:rsid w:val="00701EEF"/>
    <w:rsid w:val="00702E6B"/>
    <w:rsid w:val="00703BB5"/>
    <w:rsid w:val="0070508E"/>
    <w:rsid w:val="007068A4"/>
    <w:rsid w:val="00706B91"/>
    <w:rsid w:val="00710B40"/>
    <w:rsid w:val="007124BB"/>
    <w:rsid w:val="007170C5"/>
    <w:rsid w:val="00721A04"/>
    <w:rsid w:val="007228FA"/>
    <w:rsid w:val="0072456E"/>
    <w:rsid w:val="00725110"/>
    <w:rsid w:val="00726D48"/>
    <w:rsid w:val="00726DAF"/>
    <w:rsid w:val="00730C7B"/>
    <w:rsid w:val="00732C4E"/>
    <w:rsid w:val="0074232D"/>
    <w:rsid w:val="00742F39"/>
    <w:rsid w:val="00747382"/>
    <w:rsid w:val="00751F92"/>
    <w:rsid w:val="00751FAE"/>
    <w:rsid w:val="0075359E"/>
    <w:rsid w:val="00766900"/>
    <w:rsid w:val="00771836"/>
    <w:rsid w:val="00774C8F"/>
    <w:rsid w:val="007775F3"/>
    <w:rsid w:val="0078407C"/>
    <w:rsid w:val="00784C78"/>
    <w:rsid w:val="00786718"/>
    <w:rsid w:val="00792331"/>
    <w:rsid w:val="00793958"/>
    <w:rsid w:val="0079409B"/>
    <w:rsid w:val="00795FB2"/>
    <w:rsid w:val="007A6BDD"/>
    <w:rsid w:val="007B5DFD"/>
    <w:rsid w:val="007C3C0B"/>
    <w:rsid w:val="007C7803"/>
    <w:rsid w:val="007D4EE3"/>
    <w:rsid w:val="007D57DD"/>
    <w:rsid w:val="007D59D6"/>
    <w:rsid w:val="007E0FA6"/>
    <w:rsid w:val="007E16E8"/>
    <w:rsid w:val="007E4C66"/>
    <w:rsid w:val="007E6477"/>
    <w:rsid w:val="007F263E"/>
    <w:rsid w:val="007F5078"/>
    <w:rsid w:val="00802887"/>
    <w:rsid w:val="0080516A"/>
    <w:rsid w:val="00812271"/>
    <w:rsid w:val="00812832"/>
    <w:rsid w:val="00813A1E"/>
    <w:rsid w:val="00822CE5"/>
    <w:rsid w:val="00824144"/>
    <w:rsid w:val="008306C9"/>
    <w:rsid w:val="008344E9"/>
    <w:rsid w:val="00835632"/>
    <w:rsid w:val="0083773F"/>
    <w:rsid w:val="00847074"/>
    <w:rsid w:val="00857918"/>
    <w:rsid w:val="00875CB3"/>
    <w:rsid w:val="008807E8"/>
    <w:rsid w:val="00882B30"/>
    <w:rsid w:val="00887439"/>
    <w:rsid w:val="008A2935"/>
    <w:rsid w:val="008B7FAA"/>
    <w:rsid w:val="008D0711"/>
    <w:rsid w:val="008D120D"/>
    <w:rsid w:val="008D2D77"/>
    <w:rsid w:val="008D7C7B"/>
    <w:rsid w:val="008E1AEF"/>
    <w:rsid w:val="008E2590"/>
    <w:rsid w:val="008E40EF"/>
    <w:rsid w:val="008E5BAB"/>
    <w:rsid w:val="008F365E"/>
    <w:rsid w:val="008F3CAB"/>
    <w:rsid w:val="008F5691"/>
    <w:rsid w:val="008F7671"/>
    <w:rsid w:val="008F78AE"/>
    <w:rsid w:val="008F7FFD"/>
    <w:rsid w:val="00900697"/>
    <w:rsid w:val="00901F8B"/>
    <w:rsid w:val="009041B6"/>
    <w:rsid w:val="009065E4"/>
    <w:rsid w:val="009102D6"/>
    <w:rsid w:val="00911B59"/>
    <w:rsid w:val="00914912"/>
    <w:rsid w:val="00927FF6"/>
    <w:rsid w:val="00934200"/>
    <w:rsid w:val="00940BF5"/>
    <w:rsid w:val="009447AF"/>
    <w:rsid w:val="00945B66"/>
    <w:rsid w:val="00946228"/>
    <w:rsid w:val="00950066"/>
    <w:rsid w:val="00954825"/>
    <w:rsid w:val="00961CAE"/>
    <w:rsid w:val="00963DEF"/>
    <w:rsid w:val="00965386"/>
    <w:rsid w:val="00965B7D"/>
    <w:rsid w:val="00966103"/>
    <w:rsid w:val="009727BA"/>
    <w:rsid w:val="00980B80"/>
    <w:rsid w:val="009838CE"/>
    <w:rsid w:val="00984924"/>
    <w:rsid w:val="00984C94"/>
    <w:rsid w:val="00987366"/>
    <w:rsid w:val="0099117F"/>
    <w:rsid w:val="00996976"/>
    <w:rsid w:val="009A26D3"/>
    <w:rsid w:val="009A4677"/>
    <w:rsid w:val="009B1565"/>
    <w:rsid w:val="009B57B7"/>
    <w:rsid w:val="009C0E62"/>
    <w:rsid w:val="009C1FB2"/>
    <w:rsid w:val="009C5AC9"/>
    <w:rsid w:val="009C7C46"/>
    <w:rsid w:val="009D1788"/>
    <w:rsid w:val="009D2670"/>
    <w:rsid w:val="009D336F"/>
    <w:rsid w:val="009D3727"/>
    <w:rsid w:val="009D6CA8"/>
    <w:rsid w:val="009D7092"/>
    <w:rsid w:val="009E4B74"/>
    <w:rsid w:val="009E6F4C"/>
    <w:rsid w:val="009F00C4"/>
    <w:rsid w:val="009F31FC"/>
    <w:rsid w:val="00A024F6"/>
    <w:rsid w:val="00A142C9"/>
    <w:rsid w:val="00A1577D"/>
    <w:rsid w:val="00A17F70"/>
    <w:rsid w:val="00A24B8E"/>
    <w:rsid w:val="00A3566C"/>
    <w:rsid w:val="00A36A85"/>
    <w:rsid w:val="00A37E5C"/>
    <w:rsid w:val="00A46E68"/>
    <w:rsid w:val="00A5603E"/>
    <w:rsid w:val="00A603A5"/>
    <w:rsid w:val="00A604DF"/>
    <w:rsid w:val="00A6082F"/>
    <w:rsid w:val="00A82214"/>
    <w:rsid w:val="00A8391F"/>
    <w:rsid w:val="00A8467C"/>
    <w:rsid w:val="00A85D78"/>
    <w:rsid w:val="00A915FA"/>
    <w:rsid w:val="00A95141"/>
    <w:rsid w:val="00A96C7C"/>
    <w:rsid w:val="00A97A4A"/>
    <w:rsid w:val="00A97CFF"/>
    <w:rsid w:val="00AA1D8D"/>
    <w:rsid w:val="00AA263E"/>
    <w:rsid w:val="00AA4AA6"/>
    <w:rsid w:val="00AB05AA"/>
    <w:rsid w:val="00AB1D1D"/>
    <w:rsid w:val="00AC46EA"/>
    <w:rsid w:val="00AD7CE9"/>
    <w:rsid w:val="00AF06F4"/>
    <w:rsid w:val="00B00B5C"/>
    <w:rsid w:val="00B03D25"/>
    <w:rsid w:val="00B04753"/>
    <w:rsid w:val="00B05625"/>
    <w:rsid w:val="00B14AA7"/>
    <w:rsid w:val="00B158B4"/>
    <w:rsid w:val="00B16556"/>
    <w:rsid w:val="00B21746"/>
    <w:rsid w:val="00B21CC6"/>
    <w:rsid w:val="00B26C76"/>
    <w:rsid w:val="00B323BC"/>
    <w:rsid w:val="00B376A9"/>
    <w:rsid w:val="00B40747"/>
    <w:rsid w:val="00B46F24"/>
    <w:rsid w:val="00B47730"/>
    <w:rsid w:val="00B51D5D"/>
    <w:rsid w:val="00B52678"/>
    <w:rsid w:val="00B707F3"/>
    <w:rsid w:val="00B70C29"/>
    <w:rsid w:val="00B7577F"/>
    <w:rsid w:val="00B7789E"/>
    <w:rsid w:val="00B845B4"/>
    <w:rsid w:val="00B84D15"/>
    <w:rsid w:val="00B84EAB"/>
    <w:rsid w:val="00B85AAE"/>
    <w:rsid w:val="00B86BDC"/>
    <w:rsid w:val="00B90F3A"/>
    <w:rsid w:val="00B953E9"/>
    <w:rsid w:val="00B95981"/>
    <w:rsid w:val="00B96DD3"/>
    <w:rsid w:val="00B97C00"/>
    <w:rsid w:val="00BA0353"/>
    <w:rsid w:val="00BA1CC1"/>
    <w:rsid w:val="00BA1ECA"/>
    <w:rsid w:val="00BB4F29"/>
    <w:rsid w:val="00BC1173"/>
    <w:rsid w:val="00BC21F2"/>
    <w:rsid w:val="00BC5AF6"/>
    <w:rsid w:val="00BC5DBC"/>
    <w:rsid w:val="00BD429C"/>
    <w:rsid w:val="00BD67BC"/>
    <w:rsid w:val="00BD699F"/>
    <w:rsid w:val="00BD7DF4"/>
    <w:rsid w:val="00BE41A0"/>
    <w:rsid w:val="00BE4426"/>
    <w:rsid w:val="00BF022A"/>
    <w:rsid w:val="00BF2E6E"/>
    <w:rsid w:val="00BF5D89"/>
    <w:rsid w:val="00BF6860"/>
    <w:rsid w:val="00BF695F"/>
    <w:rsid w:val="00C01580"/>
    <w:rsid w:val="00C02A9C"/>
    <w:rsid w:val="00C04F56"/>
    <w:rsid w:val="00C2336C"/>
    <w:rsid w:val="00C3449C"/>
    <w:rsid w:val="00C40A01"/>
    <w:rsid w:val="00C40C92"/>
    <w:rsid w:val="00C4254D"/>
    <w:rsid w:val="00C43281"/>
    <w:rsid w:val="00C53434"/>
    <w:rsid w:val="00C56CB0"/>
    <w:rsid w:val="00C62B44"/>
    <w:rsid w:val="00C644AD"/>
    <w:rsid w:val="00C64EAA"/>
    <w:rsid w:val="00C663F3"/>
    <w:rsid w:val="00C72440"/>
    <w:rsid w:val="00C737BA"/>
    <w:rsid w:val="00C75F32"/>
    <w:rsid w:val="00C7737C"/>
    <w:rsid w:val="00C86087"/>
    <w:rsid w:val="00C92AC0"/>
    <w:rsid w:val="00CA072E"/>
    <w:rsid w:val="00CA0EE6"/>
    <w:rsid w:val="00CB0664"/>
    <w:rsid w:val="00CB0988"/>
    <w:rsid w:val="00CB0B14"/>
    <w:rsid w:val="00CB449D"/>
    <w:rsid w:val="00CC136F"/>
    <w:rsid w:val="00CC3149"/>
    <w:rsid w:val="00CD05D4"/>
    <w:rsid w:val="00CD0FE8"/>
    <w:rsid w:val="00CD5400"/>
    <w:rsid w:val="00CD623D"/>
    <w:rsid w:val="00CD6450"/>
    <w:rsid w:val="00CD64C1"/>
    <w:rsid w:val="00CD66A7"/>
    <w:rsid w:val="00CD7952"/>
    <w:rsid w:val="00CE082F"/>
    <w:rsid w:val="00CE2162"/>
    <w:rsid w:val="00CE3876"/>
    <w:rsid w:val="00CE5F5D"/>
    <w:rsid w:val="00CF2322"/>
    <w:rsid w:val="00CF690F"/>
    <w:rsid w:val="00D001EC"/>
    <w:rsid w:val="00D07ED2"/>
    <w:rsid w:val="00D25196"/>
    <w:rsid w:val="00D2557D"/>
    <w:rsid w:val="00D3029E"/>
    <w:rsid w:val="00D34BA4"/>
    <w:rsid w:val="00D36911"/>
    <w:rsid w:val="00D37ABB"/>
    <w:rsid w:val="00D42E6A"/>
    <w:rsid w:val="00D540ED"/>
    <w:rsid w:val="00D579A1"/>
    <w:rsid w:val="00D706A4"/>
    <w:rsid w:val="00D712AB"/>
    <w:rsid w:val="00D728EC"/>
    <w:rsid w:val="00D75B5C"/>
    <w:rsid w:val="00D77AE5"/>
    <w:rsid w:val="00D81BCE"/>
    <w:rsid w:val="00D83465"/>
    <w:rsid w:val="00D873A0"/>
    <w:rsid w:val="00D9063D"/>
    <w:rsid w:val="00DB18E6"/>
    <w:rsid w:val="00DB439D"/>
    <w:rsid w:val="00DB77DD"/>
    <w:rsid w:val="00DC6BC1"/>
    <w:rsid w:val="00DC7E0E"/>
    <w:rsid w:val="00DD1A14"/>
    <w:rsid w:val="00DD2531"/>
    <w:rsid w:val="00DD306E"/>
    <w:rsid w:val="00DD39B8"/>
    <w:rsid w:val="00DE1BA0"/>
    <w:rsid w:val="00DE31CF"/>
    <w:rsid w:val="00DF1DC5"/>
    <w:rsid w:val="00DF2BE8"/>
    <w:rsid w:val="00E009B4"/>
    <w:rsid w:val="00E146A3"/>
    <w:rsid w:val="00E14BB3"/>
    <w:rsid w:val="00E175CD"/>
    <w:rsid w:val="00E21222"/>
    <w:rsid w:val="00E2205D"/>
    <w:rsid w:val="00E24284"/>
    <w:rsid w:val="00E25EEA"/>
    <w:rsid w:val="00E279C1"/>
    <w:rsid w:val="00E3020B"/>
    <w:rsid w:val="00E345AB"/>
    <w:rsid w:val="00E355FC"/>
    <w:rsid w:val="00E418C5"/>
    <w:rsid w:val="00E44AE3"/>
    <w:rsid w:val="00E513FD"/>
    <w:rsid w:val="00E52A78"/>
    <w:rsid w:val="00E5653A"/>
    <w:rsid w:val="00E578B4"/>
    <w:rsid w:val="00E6086F"/>
    <w:rsid w:val="00E62440"/>
    <w:rsid w:val="00E63191"/>
    <w:rsid w:val="00E65407"/>
    <w:rsid w:val="00E67E5F"/>
    <w:rsid w:val="00E71797"/>
    <w:rsid w:val="00E75646"/>
    <w:rsid w:val="00E84A49"/>
    <w:rsid w:val="00E8530D"/>
    <w:rsid w:val="00E87855"/>
    <w:rsid w:val="00E915E4"/>
    <w:rsid w:val="00E9673C"/>
    <w:rsid w:val="00EA227C"/>
    <w:rsid w:val="00EA2E25"/>
    <w:rsid w:val="00EA33D0"/>
    <w:rsid w:val="00EA3499"/>
    <w:rsid w:val="00EA643D"/>
    <w:rsid w:val="00EA6756"/>
    <w:rsid w:val="00EB10E8"/>
    <w:rsid w:val="00EB69E9"/>
    <w:rsid w:val="00EC480F"/>
    <w:rsid w:val="00ED198F"/>
    <w:rsid w:val="00ED3F22"/>
    <w:rsid w:val="00ED4EA5"/>
    <w:rsid w:val="00EE0C86"/>
    <w:rsid w:val="00EE12AE"/>
    <w:rsid w:val="00EF0F58"/>
    <w:rsid w:val="00F05266"/>
    <w:rsid w:val="00F06907"/>
    <w:rsid w:val="00F10124"/>
    <w:rsid w:val="00F12A3D"/>
    <w:rsid w:val="00F12A41"/>
    <w:rsid w:val="00F162F0"/>
    <w:rsid w:val="00F177D2"/>
    <w:rsid w:val="00F25061"/>
    <w:rsid w:val="00F2609A"/>
    <w:rsid w:val="00F36BF1"/>
    <w:rsid w:val="00F40ACB"/>
    <w:rsid w:val="00F41926"/>
    <w:rsid w:val="00F43B36"/>
    <w:rsid w:val="00F4504E"/>
    <w:rsid w:val="00F50442"/>
    <w:rsid w:val="00F5417C"/>
    <w:rsid w:val="00F5496A"/>
    <w:rsid w:val="00F55102"/>
    <w:rsid w:val="00F555A4"/>
    <w:rsid w:val="00F60314"/>
    <w:rsid w:val="00F622CA"/>
    <w:rsid w:val="00F626A3"/>
    <w:rsid w:val="00F637D5"/>
    <w:rsid w:val="00F63944"/>
    <w:rsid w:val="00F64596"/>
    <w:rsid w:val="00F65145"/>
    <w:rsid w:val="00F72056"/>
    <w:rsid w:val="00F7249B"/>
    <w:rsid w:val="00F728DF"/>
    <w:rsid w:val="00F7542C"/>
    <w:rsid w:val="00F76DAF"/>
    <w:rsid w:val="00F84AB4"/>
    <w:rsid w:val="00F84EB7"/>
    <w:rsid w:val="00F93540"/>
    <w:rsid w:val="00F9644A"/>
    <w:rsid w:val="00F96493"/>
    <w:rsid w:val="00F96F5F"/>
    <w:rsid w:val="00FA0CD5"/>
    <w:rsid w:val="00FA21C8"/>
    <w:rsid w:val="00FA6A97"/>
    <w:rsid w:val="00FA7E1A"/>
    <w:rsid w:val="00FB0FAB"/>
    <w:rsid w:val="00FB31E9"/>
    <w:rsid w:val="00FC14B9"/>
    <w:rsid w:val="00FC693F"/>
    <w:rsid w:val="00FD4D11"/>
    <w:rsid w:val="00FF584C"/>
    <w:rsid w:val="00FF6C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BB4F08C0-E0BE-45B7-A135-18D3A287D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ponseTitle">
    <w:name w:val="Response Title"/>
    <w:pPr>
      <w:spacing w:after="100"/>
    </w:pPr>
    <w:rPr>
      <w:rFonts w:ascii="Aptos" w:hAnsi="Aptos"/>
      <w:b/>
      <w:color w:val="1F3752"/>
      <w:sz w:val="36"/>
    </w:rPr>
  </w:style>
  <w:style w:type="paragraph" w:customStyle="1" w:styleId="ResponseSubtitle">
    <w:name w:val="Response Subtitle"/>
    <w:pPr>
      <w:spacing w:after="280"/>
    </w:pPr>
    <w:rPr>
      <w:rFonts w:ascii="Aptos" w:hAnsi="Aptos"/>
      <w:color w:val="595959"/>
      <w:sz w:val="20"/>
    </w:rPr>
  </w:style>
  <w:style w:type="paragraph" w:customStyle="1" w:styleId="SectionHeading">
    <w:name w:val="Section Heading"/>
    <w:pPr>
      <w:spacing w:before="300" w:after="140"/>
    </w:pPr>
    <w:rPr>
      <w:rFonts w:ascii="Aptos" w:hAnsi="Aptos"/>
      <w:b/>
      <w:color w:val="1F3752"/>
      <w:sz w:val="26"/>
    </w:rPr>
  </w:style>
  <w:style w:type="paragraph" w:customStyle="1" w:styleId="SubsectionHeading">
    <w:name w:val="Subsection Heading"/>
    <w:pPr>
      <w:spacing w:before="240" w:after="100"/>
    </w:pPr>
    <w:rPr>
      <w:rFonts w:ascii="Aptos" w:hAnsi="Aptos"/>
      <w:b/>
      <w:color w:val="2E547A"/>
      <w:sz w:val="23"/>
    </w:rPr>
  </w:style>
  <w:style w:type="paragraph" w:customStyle="1" w:styleId="CommentLabel">
    <w:name w:val="Comment Label"/>
    <w:pPr>
      <w:spacing w:before="160" w:after="60"/>
    </w:pPr>
    <w:rPr>
      <w:rFonts w:ascii="Aptos" w:hAnsi="Aptos"/>
      <w:b/>
      <w:color w:val="1F3752"/>
      <w:sz w:val="21"/>
    </w:rPr>
  </w:style>
  <w:style w:type="paragraph" w:customStyle="1" w:styleId="ResponseLabel">
    <w:name w:val="Response Label"/>
    <w:pPr>
      <w:spacing w:before="120" w:after="40"/>
    </w:pPr>
    <w:rPr>
      <w:rFonts w:ascii="Aptos" w:hAnsi="Aptos"/>
      <w:b/>
      <w:color w:val="7030A0"/>
      <w:sz w:val="21"/>
    </w:rPr>
  </w:style>
  <w:style w:type="character" w:styleId="CommentReference">
    <w:name w:val="annotation reference"/>
    <w:basedOn w:val="DefaultParagraphFont"/>
    <w:uiPriority w:val="99"/>
    <w:semiHidden/>
    <w:unhideWhenUsed/>
    <w:rsid w:val="005E2D7B"/>
    <w:rPr>
      <w:sz w:val="16"/>
      <w:szCs w:val="16"/>
    </w:rPr>
  </w:style>
  <w:style w:type="paragraph" w:styleId="CommentText">
    <w:name w:val="annotation text"/>
    <w:basedOn w:val="Normal"/>
    <w:link w:val="CommentTextChar"/>
    <w:uiPriority w:val="99"/>
    <w:unhideWhenUsed/>
    <w:rsid w:val="005E2D7B"/>
    <w:pPr>
      <w:spacing w:line="240" w:lineRule="auto"/>
    </w:pPr>
    <w:rPr>
      <w:sz w:val="20"/>
      <w:szCs w:val="20"/>
    </w:rPr>
  </w:style>
  <w:style w:type="character" w:customStyle="1" w:styleId="CommentTextChar">
    <w:name w:val="Comment Text Char"/>
    <w:basedOn w:val="DefaultParagraphFont"/>
    <w:link w:val="CommentText"/>
    <w:uiPriority w:val="99"/>
    <w:rsid w:val="005E2D7B"/>
    <w:rPr>
      <w:rFonts w:ascii="Aptos" w:hAnsi="Aptos"/>
      <w:color w:val="1F2937"/>
      <w:sz w:val="20"/>
      <w:szCs w:val="20"/>
    </w:rPr>
  </w:style>
  <w:style w:type="paragraph" w:styleId="CommentSubject">
    <w:name w:val="annotation subject"/>
    <w:basedOn w:val="CommentText"/>
    <w:next w:val="CommentText"/>
    <w:link w:val="CommentSubjectChar"/>
    <w:uiPriority w:val="99"/>
    <w:semiHidden/>
    <w:unhideWhenUsed/>
    <w:rsid w:val="005E2D7B"/>
    <w:rPr>
      <w:b/>
      <w:bCs/>
    </w:rPr>
  </w:style>
  <w:style w:type="character" w:customStyle="1" w:styleId="CommentSubjectChar">
    <w:name w:val="Comment Subject Char"/>
    <w:basedOn w:val="CommentTextChar"/>
    <w:link w:val="CommentSubject"/>
    <w:uiPriority w:val="99"/>
    <w:semiHidden/>
    <w:rsid w:val="005E2D7B"/>
    <w:rPr>
      <w:rFonts w:ascii="Aptos" w:hAnsi="Aptos"/>
      <w:b/>
      <w:bCs/>
      <w:color w:val="1F2937"/>
      <w:sz w:val="20"/>
      <w:szCs w:val="20"/>
    </w:rPr>
  </w:style>
  <w:style w:type="character" w:styleId="Mention">
    <w:name w:val="Mention"/>
    <w:basedOn w:val="DefaultParagraphFont"/>
    <w:uiPriority w:val="99"/>
    <w:unhideWhenUsed/>
    <w:rsid w:val="005E2D7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50571">
      <w:bodyDiv w:val="1"/>
      <w:marLeft w:val="0"/>
      <w:marRight w:val="0"/>
      <w:marTop w:val="0"/>
      <w:marBottom w:val="0"/>
      <w:divBdr>
        <w:top w:val="none" w:sz="0" w:space="0" w:color="auto"/>
        <w:left w:val="none" w:sz="0" w:space="0" w:color="auto"/>
        <w:bottom w:val="none" w:sz="0" w:space="0" w:color="auto"/>
        <w:right w:val="none" w:sz="0" w:space="0" w:color="auto"/>
      </w:divBdr>
    </w:div>
    <w:div w:id="882719357">
      <w:bodyDiv w:val="1"/>
      <w:marLeft w:val="0"/>
      <w:marRight w:val="0"/>
      <w:marTop w:val="0"/>
      <w:marBottom w:val="0"/>
      <w:divBdr>
        <w:top w:val="none" w:sz="0" w:space="0" w:color="auto"/>
        <w:left w:val="none" w:sz="0" w:space="0" w:color="auto"/>
        <w:bottom w:val="none" w:sz="0" w:space="0" w:color="auto"/>
        <w:right w:val="none" w:sz="0" w:space="0" w:color="auto"/>
      </w:divBdr>
    </w:div>
    <w:div w:id="1074088845">
      <w:bodyDiv w:val="1"/>
      <w:marLeft w:val="0"/>
      <w:marRight w:val="0"/>
      <w:marTop w:val="0"/>
      <w:marBottom w:val="0"/>
      <w:divBdr>
        <w:top w:val="none" w:sz="0" w:space="0" w:color="auto"/>
        <w:left w:val="none" w:sz="0" w:space="0" w:color="auto"/>
        <w:bottom w:val="none" w:sz="0" w:space="0" w:color="auto"/>
        <w:right w:val="none" w:sz="0" w:space="0" w:color="auto"/>
      </w:divBdr>
    </w:div>
    <w:div w:id="1309941393">
      <w:bodyDiv w:val="1"/>
      <w:marLeft w:val="0"/>
      <w:marRight w:val="0"/>
      <w:marTop w:val="0"/>
      <w:marBottom w:val="0"/>
      <w:divBdr>
        <w:top w:val="none" w:sz="0" w:space="0" w:color="auto"/>
        <w:left w:val="none" w:sz="0" w:space="0" w:color="auto"/>
        <w:bottom w:val="none" w:sz="0" w:space="0" w:color="auto"/>
        <w:right w:val="none" w:sz="0" w:space="0" w:color="auto"/>
      </w:divBdr>
    </w:div>
    <w:div w:id="1443184913">
      <w:bodyDiv w:val="1"/>
      <w:marLeft w:val="0"/>
      <w:marRight w:val="0"/>
      <w:marTop w:val="0"/>
      <w:marBottom w:val="0"/>
      <w:divBdr>
        <w:top w:val="none" w:sz="0" w:space="0" w:color="auto"/>
        <w:left w:val="none" w:sz="0" w:space="0" w:color="auto"/>
        <w:bottom w:val="none" w:sz="0" w:space="0" w:color="auto"/>
        <w:right w:val="none" w:sz="0" w:space="0" w:color="auto"/>
      </w:divBdr>
    </w:div>
    <w:div w:id="1515683504">
      <w:bodyDiv w:val="1"/>
      <w:marLeft w:val="0"/>
      <w:marRight w:val="0"/>
      <w:marTop w:val="0"/>
      <w:marBottom w:val="0"/>
      <w:divBdr>
        <w:top w:val="none" w:sz="0" w:space="0" w:color="auto"/>
        <w:left w:val="none" w:sz="0" w:space="0" w:color="auto"/>
        <w:bottom w:val="none" w:sz="0" w:space="0" w:color="auto"/>
        <w:right w:val="none" w:sz="0" w:space="0" w:color="auto"/>
      </w:divBdr>
    </w:div>
    <w:div w:id="1671712292">
      <w:bodyDiv w:val="1"/>
      <w:marLeft w:val="0"/>
      <w:marRight w:val="0"/>
      <w:marTop w:val="0"/>
      <w:marBottom w:val="0"/>
      <w:divBdr>
        <w:top w:val="none" w:sz="0" w:space="0" w:color="auto"/>
        <w:left w:val="none" w:sz="0" w:space="0" w:color="auto"/>
        <w:bottom w:val="none" w:sz="0" w:space="0" w:color="auto"/>
        <w:right w:val="none" w:sz="0" w:space="0" w:color="auto"/>
      </w:divBdr>
    </w:div>
    <w:div w:id="19589512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d2fdb41-339c-4257-87f2-a665730b31fc}" enabled="0" method="" siteId="{7d2fdb41-339c-4257-87f2-a665730b31fc}" removed="1"/>
</clbl:labelList>
</file>

<file path=docProps/app.xml><?xml version="1.0" encoding="utf-8"?>
<Properties xmlns="http://schemas.openxmlformats.org/officeDocument/2006/extended-properties" xmlns:vt="http://schemas.openxmlformats.org/officeDocument/2006/docPropsVTypes">
  <Template>Normal.dotm</Template>
  <TotalTime>517</TotalTime>
  <Pages>1</Pages>
  <Words>4812</Words>
  <Characters>27433</Characters>
  <Application>Microsoft Office Word</Application>
  <DocSecurity>4</DocSecurity>
  <Lines>228</Lines>
  <Paragraphs>64</Paragraphs>
  <ScaleCrop>false</ScaleCrop>
  <HeadingPairs>
    <vt:vector size="2" baseType="variant">
      <vt:variant>
        <vt:lpstr>Title</vt:lpstr>
      </vt:variant>
      <vt:variant>
        <vt:i4>1</vt:i4>
      </vt:variant>
    </vt:vector>
  </HeadingPairs>
  <TitlesOfParts>
    <vt:vector size="1" baseType="lpstr">
      <vt:lpstr>Response to Reviewers and Editor</vt:lpstr>
    </vt:vector>
  </TitlesOfParts>
  <Manager/>
  <Company/>
  <LinksUpToDate>false</LinksUpToDate>
  <CharactersWithSpaces>32181</CharactersWithSpaces>
  <SharedDoc>false</SharedDoc>
  <HyperlinkBase/>
  <HLinks>
    <vt:vector size="6" baseType="variant">
      <vt:variant>
        <vt:i4>1114153</vt:i4>
      </vt:variant>
      <vt:variant>
        <vt:i4>0</vt:i4>
      </vt:variant>
      <vt:variant>
        <vt:i4>0</vt:i4>
      </vt:variant>
      <vt:variant>
        <vt:i4>5</vt:i4>
      </vt:variant>
      <vt:variant>
        <vt:lpwstr>mailto:DANGO@fda.gov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 and Editor - Point-by-Point Response Template</dc:title>
  <dc:subject>Blank author response template populated with reviewer and editorial comments</dc:subject>
  <dc:creator>python-docx</dc:creator>
  <cp:keywords>peer review, response to reviewers, editorial response</cp:keywords>
  <dc:description>generated by python-docx</dc:description>
  <cp:lastModifiedBy>Wu, Leihong</cp:lastModifiedBy>
  <cp:revision>541</cp:revision>
  <dcterms:created xsi:type="dcterms:W3CDTF">2013-12-23T23:15:00Z</dcterms:created>
  <dcterms:modified xsi:type="dcterms:W3CDTF">2026-08-31T15:28:00Z</dcterms:modified>
  <cp:category/>
</cp:coreProperties>
</file>