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31875" w14:textId="77777777" w:rsidR="00FD596F" w:rsidRDefault="00FD596F" w:rsidP="00FD596F">
      <w:pPr>
        <w:pStyle w:val="Title"/>
        <w:jc w:val="center"/>
      </w:pPr>
      <w:r>
        <w:tab/>
      </w:r>
      <w:r w:rsidR="3738F2D4">
        <w:t xml:space="preserve">Named Entity Recognition of </w:t>
      </w:r>
      <w:r w:rsidR="000A7C7C">
        <w:t>C</w:t>
      </w:r>
      <w:r w:rsidR="3738F2D4">
        <w:t xml:space="preserve">linical </w:t>
      </w:r>
      <w:r w:rsidR="000A7C7C">
        <w:t>C</w:t>
      </w:r>
      <w:r w:rsidR="3738F2D4">
        <w:t xml:space="preserve">oncepts in </w:t>
      </w:r>
      <w:r w:rsidR="000A7C7C">
        <w:t>S</w:t>
      </w:r>
      <w:r w:rsidR="3738F2D4">
        <w:t xml:space="preserve">afety </w:t>
      </w:r>
      <w:r w:rsidR="000A7C7C">
        <w:t>R</w:t>
      </w:r>
      <w:r w:rsidR="3738F2D4">
        <w:t>eports using Large Language Model</w:t>
      </w:r>
      <w:r w:rsidR="000A7C7C">
        <w:t>s</w:t>
      </w:r>
      <w:r w:rsidR="3738F2D4">
        <w:t xml:space="preserve"> and BERT</w:t>
      </w:r>
    </w:p>
    <w:p w14:paraId="2A2E0584" w14:textId="77777777" w:rsidR="00FF70DA" w:rsidRDefault="00FF70DA" w:rsidP="00FF70DA">
      <w:pPr>
        <w:jc w:val="center"/>
        <w:rPr>
          <w:i/>
          <w:iCs/>
        </w:rPr>
      </w:pPr>
    </w:p>
    <w:p w14:paraId="42965798" w14:textId="77777777" w:rsidR="00FF70DA" w:rsidRDefault="462DDB4E" w:rsidP="72FE3B2B">
      <w:pPr>
        <w:jc w:val="center"/>
      </w:pPr>
      <w:r>
        <w:t>Wenjuan Zhang</w:t>
      </w:r>
      <w:r w:rsidRPr="72FE3B2B">
        <w:rPr>
          <w:vertAlign w:val="superscript"/>
        </w:rPr>
        <w:t>1, $</w:t>
      </w:r>
      <w:r>
        <w:t>, Mengjie Lu</w:t>
      </w:r>
      <w:r w:rsidRPr="72FE3B2B">
        <w:rPr>
          <w:vertAlign w:val="superscript"/>
        </w:rPr>
        <w:t>2, $</w:t>
      </w:r>
      <w:r>
        <w:t>, Brandon Penny</w:t>
      </w:r>
      <w:r w:rsidRPr="72FE3B2B">
        <w:rPr>
          <w:vertAlign w:val="superscript"/>
        </w:rPr>
        <w:t>1</w:t>
      </w:r>
      <w:r w:rsidR="25EB585B" w:rsidRPr="72FE3B2B">
        <w:rPr>
          <w:vertAlign w:val="superscript"/>
        </w:rPr>
        <w:t>, $</w:t>
      </w:r>
      <w:r>
        <w:t>, Joshua Xu</w:t>
      </w:r>
      <w:r w:rsidRPr="72FE3B2B">
        <w:rPr>
          <w:vertAlign w:val="superscript"/>
        </w:rPr>
        <w:t>1</w:t>
      </w:r>
      <w:r>
        <w:t>, Oanh Dang</w:t>
      </w:r>
      <w:r w:rsidRPr="72FE3B2B">
        <w:rPr>
          <w:vertAlign w:val="superscript"/>
        </w:rPr>
        <w:t>2</w:t>
      </w:r>
      <w:r w:rsidR="002B3AEE">
        <w:rPr>
          <w:vertAlign w:val="superscript"/>
        </w:rPr>
        <w:t>*</w:t>
      </w:r>
      <w:r>
        <w:t>, Leihong Wu</w:t>
      </w:r>
      <w:r w:rsidRPr="72FE3B2B">
        <w:rPr>
          <w:vertAlign w:val="superscript"/>
        </w:rPr>
        <w:t>1</w:t>
      </w:r>
      <w:r w:rsidR="002B3AEE">
        <w:rPr>
          <w:vertAlign w:val="superscript"/>
        </w:rPr>
        <w:t>*</w:t>
      </w:r>
    </w:p>
    <w:p w14:paraId="1CAB365E" w14:textId="77777777" w:rsidR="00FF70DA" w:rsidRDefault="462DDB4E" w:rsidP="72FE3B2B">
      <w:pPr>
        <w:jc w:val="center"/>
        <w:rPr>
          <w:i/>
          <w:iCs/>
        </w:rPr>
      </w:pPr>
      <w:r w:rsidRPr="72FE3B2B">
        <w:rPr>
          <w:i/>
          <w:iCs/>
          <w:vertAlign w:val="superscript"/>
        </w:rPr>
        <w:t>$</w:t>
      </w:r>
      <w:r w:rsidRPr="72FE3B2B">
        <w:rPr>
          <w:i/>
          <w:iCs/>
        </w:rPr>
        <w:t>Contribute</w:t>
      </w:r>
      <w:r w:rsidR="002E2EA5">
        <w:rPr>
          <w:i/>
          <w:iCs/>
        </w:rPr>
        <w:t>d</w:t>
      </w:r>
      <w:r w:rsidRPr="72FE3B2B">
        <w:rPr>
          <w:i/>
          <w:iCs/>
        </w:rPr>
        <w:t xml:space="preserve"> equally to this study</w:t>
      </w:r>
    </w:p>
    <w:p w14:paraId="6F5166F2" w14:textId="77777777" w:rsidR="00FF70DA" w:rsidRDefault="00FF70DA" w:rsidP="00FF70DA">
      <w:pPr>
        <w:rPr>
          <w:i/>
          <w:iCs/>
        </w:rPr>
      </w:pPr>
    </w:p>
    <w:p w14:paraId="20E757F7" w14:textId="77777777" w:rsidR="00FF70DA" w:rsidRDefault="00FF70DA" w:rsidP="00FF70DA">
      <w:pPr>
        <w:rPr>
          <w:i/>
          <w:iCs/>
        </w:rPr>
      </w:pPr>
      <w:r w:rsidRPr="00AC3DDB">
        <w:rPr>
          <w:i/>
          <w:iCs/>
          <w:vertAlign w:val="superscript"/>
        </w:rPr>
        <w:t>1</w:t>
      </w:r>
      <w:r w:rsidR="00775283">
        <w:rPr>
          <w:i/>
          <w:iCs/>
        </w:rPr>
        <w:t>D</w:t>
      </w:r>
      <w:r w:rsidR="002B3AEE">
        <w:rPr>
          <w:i/>
          <w:iCs/>
        </w:rPr>
        <w:t xml:space="preserve">ivsion of </w:t>
      </w:r>
      <w:r w:rsidR="00775283">
        <w:rPr>
          <w:i/>
          <w:iCs/>
        </w:rPr>
        <w:t>B</w:t>
      </w:r>
      <w:r w:rsidR="002B3AEE">
        <w:rPr>
          <w:i/>
          <w:iCs/>
        </w:rPr>
        <w:t xml:space="preserve">ioinformatics and </w:t>
      </w:r>
      <w:r w:rsidR="00775283">
        <w:rPr>
          <w:i/>
          <w:iCs/>
        </w:rPr>
        <w:t>B</w:t>
      </w:r>
      <w:r w:rsidR="002B3AEE">
        <w:rPr>
          <w:i/>
          <w:iCs/>
        </w:rPr>
        <w:t>iostatistics</w:t>
      </w:r>
      <w:r w:rsidR="00775283">
        <w:rPr>
          <w:i/>
          <w:iCs/>
        </w:rPr>
        <w:t>, N</w:t>
      </w:r>
      <w:r>
        <w:rPr>
          <w:i/>
          <w:iCs/>
        </w:rPr>
        <w:t>ational Center for Toxicological Research, U.S. FDA, 3900 NCTR Rd, Jefferson, AR, USA, 72079</w:t>
      </w:r>
    </w:p>
    <w:p w14:paraId="6626508E" w14:textId="77777777" w:rsidR="002559AB" w:rsidRDefault="00FF70DA" w:rsidP="00FF70DA">
      <w:pPr>
        <w:rPr>
          <w:i/>
          <w:iCs/>
        </w:rPr>
      </w:pPr>
      <w:r w:rsidRPr="00AC3DDB">
        <w:rPr>
          <w:i/>
          <w:iCs/>
          <w:vertAlign w:val="superscript"/>
        </w:rPr>
        <w:t>2</w:t>
      </w:r>
      <w:r w:rsidR="001544E5">
        <w:rPr>
          <w:i/>
          <w:iCs/>
        </w:rPr>
        <w:t>O</w:t>
      </w:r>
      <w:r w:rsidR="00937C38">
        <w:rPr>
          <w:i/>
          <w:iCs/>
        </w:rPr>
        <w:t xml:space="preserve">ffice of Surveillance and </w:t>
      </w:r>
      <w:r w:rsidR="001544E5">
        <w:rPr>
          <w:i/>
          <w:iCs/>
        </w:rPr>
        <w:t>E</w:t>
      </w:r>
      <w:r w:rsidR="00937C38">
        <w:rPr>
          <w:i/>
          <w:iCs/>
        </w:rPr>
        <w:t>pidemiology</w:t>
      </w:r>
      <w:r w:rsidR="001544E5">
        <w:rPr>
          <w:i/>
          <w:iCs/>
        </w:rPr>
        <w:t>, C</w:t>
      </w:r>
      <w:r>
        <w:rPr>
          <w:i/>
          <w:iCs/>
        </w:rPr>
        <w:t xml:space="preserve">enter for Drug Evaluation and Research, U.S. FDA, </w:t>
      </w:r>
      <w:r w:rsidR="00FD1DB3">
        <w:rPr>
          <w:i/>
          <w:iCs/>
        </w:rPr>
        <w:t>10903</w:t>
      </w:r>
      <w:r w:rsidRPr="005831E3">
        <w:rPr>
          <w:i/>
          <w:iCs/>
        </w:rPr>
        <w:t xml:space="preserve"> New Hampshire Avenue</w:t>
      </w:r>
      <w:r>
        <w:rPr>
          <w:i/>
          <w:iCs/>
        </w:rPr>
        <w:t>,</w:t>
      </w:r>
      <w:r w:rsidRPr="005831E3">
        <w:rPr>
          <w:i/>
          <w:iCs/>
        </w:rPr>
        <w:t xml:space="preserve"> Silver Spring, MD</w:t>
      </w:r>
      <w:r>
        <w:rPr>
          <w:i/>
          <w:iCs/>
        </w:rPr>
        <w:t>, USA,</w:t>
      </w:r>
      <w:r w:rsidRPr="005831E3">
        <w:rPr>
          <w:i/>
          <w:iCs/>
        </w:rPr>
        <w:t xml:space="preserve"> 20993</w:t>
      </w:r>
    </w:p>
    <w:p w14:paraId="66ED4FC5" w14:textId="77777777" w:rsidR="002559AB" w:rsidRDefault="002559AB" w:rsidP="00FF70DA">
      <w:pPr>
        <w:rPr>
          <w:i/>
          <w:iCs/>
        </w:rPr>
      </w:pPr>
    </w:p>
    <w:p w14:paraId="391A1FE5" w14:textId="77777777" w:rsidR="00FB74C0" w:rsidRDefault="00C47E8B" w:rsidP="00FF70DA">
      <w:pPr>
        <w:rPr>
          <w:i/>
          <w:iCs/>
        </w:rPr>
      </w:pPr>
      <w:r>
        <w:rPr>
          <w:i/>
          <w:iCs/>
        </w:rPr>
        <w:t>*</w:t>
      </w:r>
      <w:r w:rsidR="002559AB">
        <w:rPr>
          <w:i/>
          <w:iCs/>
        </w:rPr>
        <w:t>Corresponding author: Oanh Dang (</w:t>
      </w:r>
      <w:hyperlink r:id="rId6" w:history="1">
        <w:r w:rsidR="00FB74C0" w:rsidRPr="00FC2756">
          <w:rPr>
            <w:rStyle w:val="Hyperlink"/>
            <w:i/>
            <w:iCs/>
          </w:rPr>
          <w:t>oanh.dang@fda.hhs.gov</w:t>
        </w:r>
      </w:hyperlink>
      <w:r w:rsidR="00FB74C0">
        <w:rPr>
          <w:i/>
          <w:iCs/>
        </w:rPr>
        <w:t>), Leihong Wu (</w:t>
      </w:r>
      <w:hyperlink r:id="rId7" w:history="1">
        <w:r w:rsidR="00FB74C0" w:rsidRPr="00FC2756">
          <w:rPr>
            <w:rStyle w:val="Hyperlink"/>
            <w:i/>
            <w:iCs/>
          </w:rPr>
          <w:t>Leihong.wu@fda.hhs.gov</w:t>
        </w:r>
      </w:hyperlink>
      <w:r w:rsidR="00FB74C0">
        <w:rPr>
          <w:i/>
          <w:iCs/>
        </w:rPr>
        <w:t>)</w:t>
      </w:r>
    </w:p>
    <w:p w14:paraId="3A465A2D" w14:textId="77777777" w:rsidR="00FF70DA" w:rsidRDefault="00FF70DA" w:rsidP="00FF70DA">
      <w:pPr>
        <w:rPr>
          <w:i/>
          <w:iCs/>
        </w:rPr>
      </w:pPr>
      <w:r>
        <w:rPr>
          <w:i/>
          <w:iCs/>
        </w:rPr>
        <w:br w:type="page"/>
      </w:r>
    </w:p>
    <w:p w14:paraId="37FE3CDA" w14:textId="77777777" w:rsidR="001A60A2" w:rsidRDefault="001A60A2" w:rsidP="001A60A2">
      <w:pPr>
        <w:pStyle w:val="Heading1"/>
      </w:pPr>
      <w:r>
        <w:lastRenderedPageBreak/>
        <w:t>Abstract</w:t>
      </w:r>
    </w:p>
    <w:p w14:paraId="2F713C21" w14:textId="77777777" w:rsidR="002708C4" w:rsidRDefault="0049556D" w:rsidP="72FE3B2B">
      <w:pPr>
        <w:spacing w:line="360" w:lineRule="auto"/>
      </w:pPr>
      <w:r w:rsidRPr="002708C4">
        <w:rPr>
          <w:b/>
          <w:bCs/>
        </w:rPr>
        <w:t>Introduction</w:t>
      </w:r>
      <w:r>
        <w:t xml:space="preserve">: </w:t>
      </w:r>
      <w:r w:rsidR="09ABBC06">
        <w:t xml:space="preserve">Post-marketing safety surveillance relies heavily on free-text narratives in </w:t>
      </w:r>
      <w:r w:rsidR="0058118B">
        <w:t>the I</w:t>
      </w:r>
      <w:r w:rsidR="09ABBC06">
        <w:t xml:space="preserve">ndividual </w:t>
      </w:r>
      <w:r w:rsidR="0058118B">
        <w:t>C</w:t>
      </w:r>
      <w:r w:rsidR="09ABBC06">
        <w:t xml:space="preserve">ase </w:t>
      </w:r>
      <w:r w:rsidR="009A27FB">
        <w:t>S</w:t>
      </w:r>
      <w:r w:rsidR="09ABBC06">
        <w:t xml:space="preserve">afety </w:t>
      </w:r>
      <w:r w:rsidR="009A27FB">
        <w:t>R</w:t>
      </w:r>
      <w:r w:rsidR="09ABBC06">
        <w:t>eports (ICSRs), but large-scale extraction of clinical</w:t>
      </w:r>
      <w:r w:rsidR="50CD4DCA">
        <w:t xml:space="preserve"> </w:t>
      </w:r>
      <w:r w:rsidR="09ABBC06">
        <w:t>concepts</w:t>
      </w:r>
      <w:r w:rsidR="50CD4DCA">
        <w:t xml:space="preserve"> (</w:t>
      </w:r>
      <w:r w:rsidR="21FFB1E8">
        <w:t xml:space="preserve">i.e., key </w:t>
      </w:r>
      <w:r w:rsidR="1552D439">
        <w:t>safety</w:t>
      </w:r>
      <w:r w:rsidR="21FFB1E8">
        <w:t xml:space="preserve"> information)</w:t>
      </w:r>
      <w:r w:rsidR="09ABBC06">
        <w:t xml:space="preserve"> remains challenging. </w:t>
      </w:r>
      <w:r w:rsidR="03912F02">
        <w:t>T</w:t>
      </w:r>
      <w:r w:rsidR="1C29741B">
        <w:t xml:space="preserve">he lack of </w:t>
      </w:r>
      <w:r w:rsidR="03912F02">
        <w:t xml:space="preserve">an </w:t>
      </w:r>
      <w:r w:rsidR="1C29741B">
        <w:t>extensive benchmarking dataset is</w:t>
      </w:r>
      <w:r w:rsidR="03912F02">
        <w:t xml:space="preserve"> a promin</w:t>
      </w:r>
      <w:r w:rsidR="382D070E">
        <w:t>ent obstacle.</w:t>
      </w:r>
      <w:r w:rsidR="03912F02">
        <w:t xml:space="preserve"> </w:t>
      </w:r>
    </w:p>
    <w:p w14:paraId="261C9C06" w14:textId="77777777" w:rsidR="002F3436" w:rsidRDefault="002708C4" w:rsidP="72FE3B2B">
      <w:pPr>
        <w:spacing w:line="360" w:lineRule="auto"/>
      </w:pPr>
      <w:r w:rsidRPr="002708C4">
        <w:rPr>
          <w:b/>
          <w:bCs/>
        </w:rPr>
        <w:t>Methods</w:t>
      </w:r>
      <w:r>
        <w:t xml:space="preserve">: </w:t>
      </w:r>
      <w:r w:rsidR="7A42343D">
        <w:t>Using an annotation tool</w:t>
      </w:r>
      <w:r w:rsidR="76D05C7F">
        <w:t xml:space="preserve"> built in-house</w:t>
      </w:r>
      <w:r w:rsidR="7A42343D">
        <w:t xml:space="preserve">, we </w:t>
      </w:r>
      <w:r w:rsidR="3612A4A9">
        <w:t>compiled</w:t>
      </w:r>
      <w:r w:rsidR="7A42343D">
        <w:t xml:space="preserve"> </w:t>
      </w:r>
      <w:r w:rsidR="006643C2">
        <w:t xml:space="preserve">expert reference annotations </w:t>
      </w:r>
      <w:r w:rsidR="00216995">
        <w:t xml:space="preserve">for </w:t>
      </w:r>
      <w:r w:rsidR="7A42343D">
        <w:t>829</w:t>
      </w:r>
      <w:r w:rsidR="00204C50">
        <w:t xml:space="preserve"> FDA Adverse Event Reporting System (FAERS) </w:t>
      </w:r>
      <w:r w:rsidR="0258625F">
        <w:t>ICSR</w:t>
      </w:r>
      <w:r w:rsidR="7A42343D">
        <w:t xml:space="preserve"> </w:t>
      </w:r>
      <w:r w:rsidR="00A25D7F" w:rsidRPr="00A25D7F">
        <w:t xml:space="preserve">narratives </w:t>
      </w:r>
      <w:r w:rsidR="09ABBC06">
        <w:t>covering 17 clinical entity types</w:t>
      </w:r>
      <w:r w:rsidR="39C6B57A">
        <w:t>.</w:t>
      </w:r>
      <w:r w:rsidR="375B13F2">
        <w:t xml:space="preserve"> We then</w:t>
      </w:r>
      <w:r w:rsidR="09ABBC06">
        <w:t xml:space="preserve"> </w:t>
      </w:r>
      <w:r w:rsidR="00216995">
        <w:t xml:space="preserve">used this corpus to compare </w:t>
      </w:r>
      <w:r w:rsidR="09ABBC06">
        <w:t xml:space="preserve">three </w:t>
      </w:r>
      <w:r w:rsidR="1BBBF85D">
        <w:t xml:space="preserve">automated </w:t>
      </w:r>
      <w:r w:rsidR="09ABBC06">
        <w:t>annotation strategies: a previously established rule-based system (ETHER), instruction-tuned large language model</w:t>
      </w:r>
      <w:r w:rsidR="009D30CA">
        <w:t>s</w:t>
      </w:r>
      <w:r w:rsidR="09ABBC06">
        <w:t xml:space="preserve"> (LLM), and a fine-tuned BERT named entity recognition model. </w:t>
      </w:r>
    </w:p>
    <w:p w14:paraId="329A6A72" w14:textId="77777777" w:rsidR="002F3436" w:rsidRDefault="002F3436" w:rsidP="72FE3B2B">
      <w:pPr>
        <w:spacing w:line="360" w:lineRule="auto"/>
      </w:pPr>
      <w:r w:rsidRPr="002F3436">
        <w:rPr>
          <w:b/>
          <w:bCs/>
        </w:rPr>
        <w:t>Results</w:t>
      </w:r>
      <w:r>
        <w:t xml:space="preserve">: </w:t>
      </w:r>
      <w:r w:rsidR="009476B6">
        <w:t>T</w:t>
      </w:r>
      <w:r w:rsidR="09ABBC06">
        <w:t>he LLM substantially outperformed ETHER and provided broader concept covera</w:t>
      </w:r>
      <w:r w:rsidR="09ABBC06" w:rsidRPr="00677DAA">
        <w:t xml:space="preserve">ge. On FAERS narratives, BERT achieved higher overall F1 than the LLM. </w:t>
      </w:r>
      <w:r w:rsidR="008C7919">
        <w:t xml:space="preserve">The </w:t>
      </w:r>
      <w:r w:rsidR="09ABBC06">
        <w:t xml:space="preserve">LLM was </w:t>
      </w:r>
      <w:r w:rsidR="00D33BA7">
        <w:t>comparable</w:t>
      </w:r>
      <w:r w:rsidR="09ABBC06">
        <w:t xml:space="preserve"> </w:t>
      </w:r>
      <w:r w:rsidR="00D33BA7">
        <w:t xml:space="preserve">to BERT </w:t>
      </w:r>
      <w:r w:rsidR="09ABBC06">
        <w:t xml:space="preserve">for </w:t>
      </w:r>
      <w:r w:rsidR="00D33BA7">
        <w:t xml:space="preserve">common </w:t>
      </w:r>
      <w:r w:rsidR="09ABBC06">
        <w:t>categories such as adverse events and drugs, whereas BERT showed clear gains</w:t>
      </w:r>
      <w:r w:rsidR="00FC4104">
        <w:t xml:space="preserve"> </w:t>
      </w:r>
      <w:r w:rsidR="00EA3281">
        <w:t xml:space="preserve">in </w:t>
      </w:r>
      <w:r w:rsidR="00FC4104">
        <w:t xml:space="preserve">accuracy </w:t>
      </w:r>
      <w:r w:rsidR="09ABBC06">
        <w:t xml:space="preserve">for context-dependent concepts including laboratory findings, diagnostic entities, and status. A similar pattern </w:t>
      </w:r>
      <w:r w:rsidR="00DA1446" w:rsidRPr="00DA1446">
        <w:t xml:space="preserve">was observed </w:t>
      </w:r>
      <w:r w:rsidR="09ABBC06">
        <w:t>on an existing</w:t>
      </w:r>
      <w:r w:rsidR="00335D3C">
        <w:t xml:space="preserve"> Vaccine Adverse Events Reporting System</w:t>
      </w:r>
      <w:r w:rsidR="09ABBC06">
        <w:t xml:space="preserve"> </w:t>
      </w:r>
      <w:r w:rsidR="00335D3C">
        <w:t>(</w:t>
      </w:r>
      <w:r w:rsidR="09ABBC06">
        <w:t>VAERS</w:t>
      </w:r>
      <w:r w:rsidR="00335D3C">
        <w:t>)</w:t>
      </w:r>
      <w:r w:rsidR="09ABBC06">
        <w:t xml:space="preserve"> benchmark corpus, where BERT again outperformed the LLM in overall F1. </w:t>
      </w:r>
    </w:p>
    <w:p w14:paraId="68F27034" w14:textId="77777777" w:rsidR="00D33BA7" w:rsidRDefault="002F3436" w:rsidP="72FE3B2B">
      <w:pPr>
        <w:spacing w:line="360" w:lineRule="auto"/>
      </w:pPr>
      <w:r w:rsidRPr="002F3436">
        <w:rPr>
          <w:b/>
          <w:bCs/>
        </w:rPr>
        <w:t>Conclusion</w:t>
      </w:r>
      <w:r>
        <w:t xml:space="preserve">: </w:t>
      </w:r>
      <w:r w:rsidR="09ABBC06">
        <w:t xml:space="preserve">These results highlight the value of </w:t>
      </w:r>
      <w:r w:rsidR="7FFA6237">
        <w:t>fine-tuning</w:t>
      </w:r>
      <w:r w:rsidR="09ABBC06">
        <w:t xml:space="preserve"> BERT models on curated corpora for </w:t>
      </w:r>
      <w:r w:rsidR="7F52CED2">
        <w:t>specific</w:t>
      </w:r>
      <w:r w:rsidR="09ABBC06">
        <w:t xml:space="preserve"> pharmacovigilance NLP</w:t>
      </w:r>
      <w:r w:rsidR="16A80FBA">
        <w:t xml:space="preserve"> tasks</w:t>
      </w:r>
      <w:r w:rsidR="09ABBC06">
        <w:t xml:space="preserve"> and </w:t>
      </w:r>
      <w:r w:rsidR="009A6AE6">
        <w:t xml:space="preserve">establish the </w:t>
      </w:r>
      <w:r w:rsidR="09ABBC06">
        <w:t xml:space="preserve">FAERS </w:t>
      </w:r>
      <w:r w:rsidR="00355779">
        <w:t xml:space="preserve">annotations as an expert-curated reference resource </w:t>
      </w:r>
      <w:r w:rsidR="09ABBC06">
        <w:t xml:space="preserve">for </w:t>
      </w:r>
      <w:r w:rsidR="16A80FBA">
        <w:t xml:space="preserve">development and </w:t>
      </w:r>
      <w:r w:rsidR="00285E1F">
        <w:t xml:space="preserve">methodological </w:t>
      </w:r>
      <w:r w:rsidR="09ABBC06">
        <w:t>evaluati</w:t>
      </w:r>
      <w:r w:rsidR="16A80FBA">
        <w:t xml:space="preserve">on of </w:t>
      </w:r>
      <w:r w:rsidR="13D05492">
        <w:t xml:space="preserve">clinical </w:t>
      </w:r>
      <w:r w:rsidR="09ABBC06">
        <w:t xml:space="preserve">concept extraction </w:t>
      </w:r>
      <w:r w:rsidR="00285E1F">
        <w:t>from safety narratives</w:t>
      </w:r>
      <w:r w:rsidR="09ABBC06">
        <w:t>.</w:t>
      </w:r>
    </w:p>
    <w:p w14:paraId="37C75E19" w14:textId="77777777" w:rsidR="00D33BA7" w:rsidRDefault="00D33BA7">
      <w:r>
        <w:br w:type="page"/>
      </w:r>
    </w:p>
    <w:p w14:paraId="7671AB70" w14:textId="77777777" w:rsidR="00F542BE" w:rsidRDefault="00F542BE">
      <w:r w:rsidRPr="00F542BE">
        <w:rPr>
          <w:b/>
          <w:bCs/>
        </w:rPr>
        <w:lastRenderedPageBreak/>
        <w:t>Key</w:t>
      </w:r>
      <w:r w:rsidR="00D13299">
        <w:rPr>
          <w:b/>
          <w:bCs/>
        </w:rPr>
        <w:t xml:space="preserve"> </w:t>
      </w:r>
      <w:r w:rsidRPr="00F542BE">
        <w:rPr>
          <w:b/>
          <w:bCs/>
        </w:rPr>
        <w:t>points</w:t>
      </w:r>
      <w:r>
        <w:t>:</w:t>
      </w:r>
    </w:p>
    <w:p w14:paraId="01CAD709" w14:textId="77777777" w:rsidR="00612D64" w:rsidRPr="00612D64" w:rsidRDefault="00612D64" w:rsidP="00612D64">
      <w:r w:rsidRPr="00612D64">
        <w:t>• We developed an expert-</w:t>
      </w:r>
      <w:r w:rsidR="000F397F">
        <w:t>curated</w:t>
      </w:r>
      <w:r w:rsidRPr="00612D64">
        <w:t xml:space="preserve"> FAERS </w:t>
      </w:r>
      <w:r w:rsidR="000F397F">
        <w:t>reference corpus</w:t>
      </w:r>
      <w:r w:rsidRPr="00612D64">
        <w:t xml:space="preserve"> for clinical concept extraction from safety report narratives, </w:t>
      </w:r>
      <w:r w:rsidR="005550DE">
        <w:t>and characterized its scale, clinical composition, and annotation diversity</w:t>
      </w:r>
      <w:r w:rsidRPr="00612D64">
        <w:t>.</w:t>
      </w:r>
    </w:p>
    <w:p w14:paraId="5DA824BF" w14:textId="77777777" w:rsidR="00612D64" w:rsidRPr="00612D64" w:rsidRDefault="00612D64" w:rsidP="00612D64">
      <w:r w:rsidRPr="00612D64">
        <w:t>• Large language models substantially outperformed a traditional rule-based system, demonstrating the promise of modern AI approaches for safety report analysis.</w:t>
      </w:r>
    </w:p>
    <w:p w14:paraId="1696A13D" w14:textId="77777777" w:rsidR="00612D64" w:rsidRPr="00612D64" w:rsidRDefault="00612D64" w:rsidP="00612D64">
      <w:r w:rsidRPr="00612D64">
        <w:t xml:space="preserve">• Fine-tuned BERT models </w:t>
      </w:r>
      <w:r w:rsidR="003C6F37">
        <w:t xml:space="preserve">are evaluated using repeated random-seed training and cross-validation to quantify robustness and reduce dependence on a single experiment run. </w:t>
      </w:r>
    </w:p>
    <w:p w14:paraId="2BB45037" w14:textId="77777777" w:rsidR="00C75F64" w:rsidRDefault="00C75F64" w:rsidP="00C75F64"/>
    <w:p w14:paraId="3F762A84" w14:textId="77777777" w:rsidR="00533B1D" w:rsidRPr="00533B1D" w:rsidRDefault="00533B1D" w:rsidP="00533B1D">
      <w:pPr>
        <w:pStyle w:val="Heading1"/>
      </w:pPr>
      <w:r w:rsidRPr="00533B1D">
        <w:t>1. Introduction</w:t>
      </w:r>
    </w:p>
    <w:p w14:paraId="3349F04E" w14:textId="77777777" w:rsidR="00533B1D" w:rsidRPr="00533B1D" w:rsidRDefault="26FC4DB9" w:rsidP="00533B1D">
      <w:r>
        <w:t xml:space="preserve">Post-marketing safety surveillance is essential for ensuring the continued safety of drugs and vaccines after they enter the market. In the United States, the FDA relies heavily on </w:t>
      </w:r>
      <w:r w:rsidR="00E47590">
        <w:t>A</w:t>
      </w:r>
      <w:r w:rsidR="00C84C7C">
        <w:t xml:space="preserve">dverse </w:t>
      </w:r>
      <w:r w:rsidR="00E47590">
        <w:t>E</w:t>
      </w:r>
      <w:r w:rsidR="005D506B">
        <w:t xml:space="preserve">vent </w:t>
      </w:r>
      <w:r w:rsidR="00E068E4">
        <w:t xml:space="preserve">Monitoring </w:t>
      </w:r>
      <w:r w:rsidR="00E47590">
        <w:t>S</w:t>
      </w:r>
      <w:r w:rsidR="00C84C7C">
        <w:t>ystem</w:t>
      </w:r>
      <w:r w:rsidR="00403CE6">
        <w:t>s</w:t>
      </w:r>
      <w:r w:rsidR="00C84C7C">
        <w:t xml:space="preserve"> </w:t>
      </w:r>
      <w:r w:rsidR="00E47590">
        <w:t>(AEMS) including</w:t>
      </w:r>
      <w:r w:rsidR="00C84C7C">
        <w:t xml:space="preserve"> </w:t>
      </w:r>
      <w:r>
        <w:t xml:space="preserve">the </w:t>
      </w:r>
      <w:r w:rsidR="00403CE6">
        <w:t xml:space="preserve">FDA </w:t>
      </w:r>
      <w:r>
        <w:t>Adverse Event Reporting System (FAERS)</w:t>
      </w:r>
      <w:r w:rsidR="00533B1D">
        <w:fldChar w:fldCharType="begin"/>
      </w:r>
      <w:r w:rsidR="00533B1D">
        <w:instrText xml:space="preserve"> ADDIN EN.CITE &lt;EndNote&gt;&lt;Cite&gt;&lt;Author&gt;FDA&lt;/Author&gt;&lt;Year&gt;2025&lt;/Year&gt;&lt;RecNum&gt;12&lt;/RecNum&gt;&lt;DisplayText&gt;[1]&lt;/DisplayText&gt;&lt;record&gt;&lt;rec-number&gt;12&lt;/rec-number&gt;&lt;foreign-keys&gt;&lt;key app="EN" db-id="2wazf5f082zrfieazeax5tf4wvxz9x59ts99" timestamp="1764018425"&gt;12&lt;/key&gt;&lt;/foreign-keys&gt;&lt;ref-type name="Web Page"&gt;12&lt;/ref-type&gt;&lt;contributors&gt;&lt;authors&gt;&lt;author&gt;FDA&lt;/author&gt;&lt;/authors&gt;&lt;/contributors&gt;&lt;titles&gt;&lt;title&gt;FDA&amp;apos;s Adverse Event Reporting System (FAERS)&lt;/title&gt;&lt;/titles&gt;&lt;volume&gt;2025&lt;/volume&gt;&lt;number&gt;11/24&lt;/number&gt;&lt;dates&gt;&lt;year&gt;2025&lt;/year&gt;&lt;/dates&gt;&lt;urls&gt;&lt;related-urls&gt;&lt;url&gt;https://www.fda.gov/drugs/surveillance/fdas-adverse-event-reporting-system-faers&lt;/url&gt;&lt;/related-urls&gt;&lt;/urls&gt;&lt;/record&gt;&lt;/Cite&gt;&lt;/EndNote&gt;</w:instrText>
      </w:r>
      <w:r w:rsidR="00533B1D">
        <w:fldChar w:fldCharType="separate"/>
      </w:r>
      <w:r w:rsidR="4CBA7578" w:rsidRPr="72FE3B2B">
        <w:rPr>
          <w:noProof/>
        </w:rPr>
        <w:t>[1]</w:t>
      </w:r>
      <w:r w:rsidR="00533B1D">
        <w:fldChar w:fldCharType="end"/>
      </w:r>
      <w:r>
        <w:t xml:space="preserve"> and the Vaccine Adverse Event Reporting System (VAERS)</w:t>
      </w:r>
      <w:r w:rsidR="00533B1D">
        <w:fldChar w:fldCharType="begin"/>
      </w:r>
      <w:r w:rsidR="00533B1D">
        <w:instrText xml:space="preserve"> ADDIN EN.CITE &lt;EndNote&gt;&lt;Cite&gt;&lt;Author&gt;HHS&lt;/Author&gt;&lt;Year&gt;2025&lt;/Year&gt;&lt;RecNum&gt;13&lt;/RecNum&gt;&lt;DisplayText&gt;[2]&lt;/DisplayText&gt;&lt;record&gt;&lt;rec-number&gt;13&lt;/rec-number&gt;&lt;foreign-keys&gt;&lt;key app="EN" db-id="2wazf5f082zrfieazeax5tf4wvxz9x59ts99" timestamp="1764018620"&gt;13&lt;/key&gt;&lt;/foreign-keys&gt;&lt;ref-type name="Journal Article"&gt;17&lt;/ref-type&gt;&lt;contributors&gt;&lt;authors&gt;&lt;author&gt;HHS&lt;/author&gt;&lt;/authors&gt;&lt;/contributors&gt;&lt;titles&gt;&lt;title&gt;the Vaccine Adverse Event Reporting System&lt;/title&gt;&lt;/titles&gt;&lt;dates&gt;&lt;year&gt;2025&lt;/year&gt;&lt;/dates&gt;&lt;urls&gt;&lt;related-urls&gt;&lt;url&gt;https://vaers.hhs.gov/about.html&lt;/url&gt;&lt;/related-urls&gt;&lt;/urls&gt;&lt;/record&gt;&lt;/Cite&gt;&lt;/EndNote&gt;</w:instrText>
      </w:r>
      <w:r w:rsidR="00533B1D">
        <w:fldChar w:fldCharType="separate"/>
      </w:r>
      <w:r w:rsidR="1EF33F97" w:rsidRPr="72FE3B2B">
        <w:rPr>
          <w:noProof/>
        </w:rPr>
        <w:t>[2]</w:t>
      </w:r>
      <w:r w:rsidR="00533B1D">
        <w:fldChar w:fldCharType="end"/>
      </w:r>
      <w:r>
        <w:t>, which together receive millions of individual case safety reports (ICSRs) annually. These reports contain structured information, such as patient demographics and drug</w:t>
      </w:r>
      <w:r w:rsidR="00994F83">
        <w:t>-related information</w:t>
      </w:r>
      <w:r>
        <w:t xml:space="preserve">, but </w:t>
      </w:r>
      <w:r w:rsidR="00D55EA3">
        <w:t>more</w:t>
      </w:r>
      <w:r w:rsidR="00944784">
        <w:t xml:space="preserve"> </w:t>
      </w:r>
      <w:r>
        <w:t>detailed clinical</w:t>
      </w:r>
      <w:r w:rsidR="36CBA68B">
        <w:t xml:space="preserve"> information </w:t>
      </w:r>
      <w:r w:rsidR="0066575E">
        <w:t>is embedded</w:t>
      </w:r>
      <w:r w:rsidR="00D55EA3">
        <w:t xml:space="preserve"> from </w:t>
      </w:r>
      <w:r>
        <w:t>in the narrative text, where reporters describe symptoms, medical history, treatments, timing of events, and overall clinical context</w:t>
      </w:r>
      <w:r w:rsidR="00FC4104">
        <w:fldChar w:fldCharType="begin"/>
      </w:r>
      <w:r w:rsidR="00864C57">
        <w:instrText xml:space="preserve"> ADDIN EN.CITE &lt;EndNote&gt;&lt;Cite&gt;&lt;Author&gt;Fu&lt;/Author&gt;&lt;Year&gt;2020&lt;/Year&gt;&lt;RecNum&gt;27&lt;/RecNum&gt;&lt;DisplayText&gt;[3, 4]&lt;/DisplayText&gt;&lt;record&gt;&lt;rec-number&gt;27&lt;/rec-number&gt;&lt;foreign-keys&gt;&lt;key app="EN" db-id="2wazf5f082zrfieazeax5tf4wvxz9x59ts99" timestamp="1767629961"&gt;27&lt;/key&gt;&lt;/foreign-keys&gt;&lt;ref-type name="Journal Article"&gt;17&lt;/ref-type&gt;&lt;contributors&gt;&lt;authors&gt;&lt;author&gt;Fu, Sunyang&lt;/author&gt;&lt;author&gt;Chen, David&lt;/author&gt;&lt;author&gt;He, Huan&lt;/author&gt;&lt;author&gt;Liu, Sijia&lt;/author&gt;&lt;author&gt;Moon, Sungrim&lt;/author&gt;&lt;author&gt;Peterson, Kevin J&lt;/author&gt;&lt;author&gt;Shen, Feichen&lt;/author&gt;&lt;author&gt;Wang, Liwei&lt;/author&gt;&lt;author&gt;Wang, Yanshan&lt;/author&gt;&lt;author&gt;Wen, Andrew&lt;/author&gt;&lt;/authors&gt;&lt;/contributors&gt;&lt;titles&gt;&lt;title&gt;Clinical concept extraction: a methodology review&lt;/title&gt;&lt;secondary-title&gt;Journal of biomedical informatics&lt;/secondary-title&gt;&lt;/titles&gt;&lt;periodical&gt;&lt;full-title&gt;Journal of biomedical informatics&lt;/full-title&gt;&lt;/periodical&gt;&lt;pages&gt;103526&lt;/pages&gt;&lt;volume&gt;109&lt;/volume&gt;&lt;dates&gt;&lt;year&gt;2020&lt;/year&gt;&lt;/dates&gt;&lt;isbn&gt;1532-0464&lt;/isbn&gt;&lt;urls&gt;&lt;/urls&gt;&lt;/record&gt;&lt;/Cite&gt;&lt;Cite&gt;&lt;Author&gt;Peng&lt;/Author&gt;&lt;Year&gt;2023&lt;/Year&gt;&lt;RecNum&gt;33&lt;/RecNum&gt;&lt;record&gt;&lt;rec-number&gt;33&lt;/rec-number&gt;&lt;foreign-keys&gt;&lt;key app="EN" db-id="reaw999r8vept5ed0pcp9r2srtdp92extaew" timestamp="1767903486"&gt;33&lt;/key&gt;&lt;/foreign-keys&gt;&lt;ref-type name="Journal Article"&gt;17&lt;/ref-type&gt;&lt;contributors&gt;&lt;authors&gt;&lt;author&gt;Peng, Cheng&lt;/author&gt;&lt;author&gt;Yang, Xi&lt;/author&gt;&lt;author&gt;Yu, Zehao&lt;/author&gt;&lt;author&gt;Bian, Jiang&lt;/author&gt;&lt;author&gt;Hogan, William R&lt;/author&gt;&lt;author&gt;Wu, Yonghui&lt;/author&gt;&lt;/authors&gt;&lt;/contributors&gt;&lt;titles&gt;&lt;title&gt;Clinical concept and relation extraction using prompt-based machine reading comprehension&lt;/title&gt;&lt;secondary-title&gt;Journal of the American Medical Informatics Association&lt;/secondary-title&gt;&lt;/titles&gt;&lt;periodical&gt;&lt;full-title&gt;Journal of the American Medical Informatics Association&lt;/full-title&gt;&lt;/periodical&gt;&lt;pages&gt;1486-1493&lt;/pages&gt;&lt;volume&gt;30&lt;/volume&gt;&lt;number&gt;9&lt;/number&gt;&lt;dates&gt;&lt;year&gt;2023&lt;/year&gt;&lt;/dates&gt;&lt;isbn&gt;1067-5027&lt;/isbn&gt;&lt;urls&gt;&lt;/urls&gt;&lt;/record&gt;&lt;/Cite&gt;&lt;/EndNote&gt;</w:instrText>
      </w:r>
      <w:r w:rsidR="00FC4104">
        <w:fldChar w:fldCharType="separate"/>
      </w:r>
      <w:r w:rsidR="00FC4104">
        <w:rPr>
          <w:noProof/>
        </w:rPr>
        <w:t>[3, 4]</w:t>
      </w:r>
      <w:r w:rsidR="00FC4104">
        <w:fldChar w:fldCharType="end"/>
      </w:r>
      <w:r>
        <w:t xml:space="preserve">. Extracting this information is crucial for accurate signal detection and </w:t>
      </w:r>
      <w:r w:rsidR="0FB7DA88">
        <w:t xml:space="preserve">ICSR </w:t>
      </w:r>
      <w:r>
        <w:t>assessment</w:t>
      </w:r>
      <w:r w:rsidR="00533B1D">
        <w:fldChar w:fldCharType="begin"/>
      </w:r>
      <w:r w:rsidR="00FC4104">
        <w:instrText xml:space="preserve"> ADDIN EN.CITE &lt;EndNote&gt;&lt;Cite&gt;&lt;Author&gt;Norén&lt;/Author&gt;&lt;Year&gt;2017&lt;/Year&gt;&lt;RecNum&gt;14&lt;/RecNum&gt;&lt;DisplayText&gt;[5, 6]&lt;/DisplayText&gt;&lt;record&gt;&lt;rec-number&gt;14&lt;/rec-number&gt;&lt;foreign-keys&gt;&lt;key app="EN" db-id="2wazf5f082zrfieazeax5tf4wvxz9x59ts99" timestamp="1764019007"&gt;14&lt;/key&gt;&lt;/foreign-keys&gt;&lt;ref-type name="Journal Article"&gt;17&lt;/ref-type&gt;&lt;contributors&gt;&lt;authors&gt;&lt;author&gt;Norén, G Niklas&lt;/author&gt;&lt;/authors&gt;&lt;/contributors&gt;&lt;titles&gt;&lt;title&gt;The power of the case narrative-can it be brought to bear on duplicate detection?&lt;/title&gt;&lt;secondary-title&gt;Drug Safety&lt;/secondary-title&gt;&lt;/titles&gt;&lt;periodical&gt;&lt;full-title&gt;Drug Safety&lt;/full-title&gt;&lt;/periodical&gt;&lt;pages&gt;543-546&lt;/pages&gt;&lt;volume&gt;40&lt;/volume&gt;&lt;number&gt;7&lt;/number&gt;&lt;dates&gt;&lt;year&gt;2017&lt;/year&gt;&lt;/dates&gt;&lt;isbn&gt;0114-5916&lt;/isbn&gt;&lt;urls&gt;&lt;/urls&gt;&lt;/record&gt;&lt;/Cite&gt;&lt;Cite&gt;&lt;Author&gt;Kreimeyer&lt;/Author&gt;&lt;Year&gt;2017&lt;/Year&gt;&lt;RecNum&gt;15&lt;/RecNum&gt;&lt;record&gt;&lt;rec-number&gt;15&lt;/rec-number&gt;&lt;foreign-keys&gt;&lt;key app="EN" db-id="2wazf5f082zrfieazeax5tf4wvxz9x59ts99" timestamp="1764019076"&gt;15&lt;/key&gt;&lt;/foreign-keys&gt;&lt;ref-type name="Journal Article"&gt;17&lt;/ref-type&gt;&lt;contributors&gt;&lt;authors&gt;&lt;author&gt;Kreimeyer, Kory&lt;/author&gt;&lt;author&gt;Menschik, David&lt;/author&gt;&lt;author&gt;Winiecki, Scott&lt;/author&gt;&lt;author&gt;Paul, Wendy&lt;/author&gt;&lt;author&gt;Barash, Faith&lt;/author&gt;&lt;author&gt;Woo, Emily Jane&lt;/author&gt;&lt;author&gt;Alimchandani, Meghna&lt;/author&gt;&lt;author&gt;Arya, Deepa&lt;/author&gt;&lt;author&gt;Zinderman, Craig&lt;/author&gt;&lt;author&gt;Forshee, Richard&lt;/author&gt;&lt;/authors&gt;&lt;/contributors&gt;&lt;titles&gt;&lt;title&gt;Using probabilistic record linkage of structured and unstructured data to identify duplicate cases in spontaneous adverse event reporting systems&lt;/title&gt;&lt;secondary-title&gt;Drug Safety&lt;/secondary-title&gt;&lt;/titles&gt;&lt;periodical&gt;&lt;full-title&gt;Drug Safety&lt;/full-title&gt;&lt;/periodical&gt;&lt;pages&gt;571-582&lt;/pages&gt;&lt;volume&gt;40&lt;/volume&gt;&lt;number&gt;7&lt;/number&gt;&lt;dates&gt;&lt;year&gt;2017&lt;/year&gt;&lt;/dates&gt;&lt;isbn&gt;0114-5916&lt;/isbn&gt;&lt;urls&gt;&lt;/urls&gt;&lt;/record&gt;&lt;/Cite&gt;&lt;/EndNote&gt;</w:instrText>
      </w:r>
      <w:r w:rsidR="00533B1D">
        <w:fldChar w:fldCharType="separate"/>
      </w:r>
      <w:r w:rsidR="00FC4104">
        <w:rPr>
          <w:noProof/>
        </w:rPr>
        <w:t>[5, 6]</w:t>
      </w:r>
      <w:r w:rsidR="00533B1D">
        <w:fldChar w:fldCharType="end"/>
      </w:r>
      <w:r>
        <w:t xml:space="preserve">, as narrative details often provide </w:t>
      </w:r>
      <w:r w:rsidR="00D7237B" w:rsidRPr="00D7237B">
        <w:t>a more holistic view of the adverse drug experience by complementing the data that are in structured fields of the ICSR.</w:t>
      </w:r>
    </w:p>
    <w:p w14:paraId="3694BED2" w14:textId="77777777" w:rsidR="00533B1D" w:rsidRPr="00533B1D" w:rsidRDefault="26FC4DB9" w:rsidP="00533B1D">
      <w:r>
        <w:t xml:space="preserve">However, manually reviewing ICSR narratives is increasingly impractical. FAERS and VAERS reporting volumes continue to grow, and each narrative requires careful </w:t>
      </w:r>
      <w:r w:rsidR="00205DC4" w:rsidRPr="00205DC4">
        <w:t xml:space="preserve">review </w:t>
      </w:r>
      <w:r>
        <w:t xml:space="preserve">to identify </w:t>
      </w:r>
      <w:r w:rsidR="00331622">
        <w:t xml:space="preserve">and interpret </w:t>
      </w:r>
      <w:r>
        <w:t>clinical concepts such as adverse events, suspect and concomitant drugs, laboratory findings, and patient outcomes. This manual process is time-consuming, labor-intensive, and vulnerable to inconsistency across reviewers</w:t>
      </w:r>
      <w:r w:rsidR="00533B1D">
        <w:fldChar w:fldCharType="begin"/>
      </w:r>
      <w:r w:rsidR="00FC4104">
        <w:instrText xml:space="preserve"> ADDIN EN.CITE &lt;EndNote&gt;&lt;Cite&gt;&lt;Author&gt;Pilipiec&lt;/Author&gt;&lt;Year&gt;2022&lt;/Year&gt;&lt;RecNum&gt;17&lt;/RecNum&gt;&lt;DisplayText&gt;[7]&lt;/DisplayText&gt;&lt;record&gt;&lt;rec-number&gt;17&lt;/rec-number&gt;&lt;foreign-keys&gt;&lt;key app="EN" db-id="2wazf5f082zrfieazeax5tf4wvxz9x59ts99" timestamp="1764019372"&gt;17&lt;/key&gt;&lt;/foreign-keys&gt;&lt;ref-type name="Journal Article"&gt;17&lt;/ref-type&gt;&lt;contributors&gt;&lt;authors&gt;&lt;author&gt;Pilipiec, P.&lt;/author&gt;&lt;author&gt;Liwicki, M.&lt;/author&gt;&lt;author&gt;Bota, A.&lt;/author&gt;&lt;/authors&gt;&lt;/contributors&gt;&lt;auth-address&gt;Embedded Intelligent Systems Lab, Department of Computer Science Electrical and Space Engineering, Luleå University of Technology, 97187 Luleå, Sweden.&amp;#xD;School of Business and Economics, Maastricht University, Tongersestraat 53, 6211 LM Maastricht, The Netherlands.&lt;/auth-address&gt;&lt;titles&gt;&lt;title&gt;Using Machine Learning for Pharmacovigilance: A Systematic Review&lt;/title&gt;&lt;secondary-title&gt;Pharmaceutics&lt;/secondary-title&gt;&lt;/titles&gt;&lt;periodical&gt;&lt;full-title&gt;Pharmaceutics&lt;/full-title&gt;&lt;/periodical&gt;&lt;volume&gt;14&lt;/volume&gt;&lt;number&gt;2&lt;/number&gt;&lt;edition&gt;20220123&lt;/edition&gt;&lt;keywords&gt;&lt;keyword&gt;ADRs&lt;/keyword&gt;&lt;keyword&gt;adverse drug reactions&lt;/keyword&gt;&lt;keyword&gt;computational linguistics&lt;/keyword&gt;&lt;keyword&gt;machine learning&lt;/keyword&gt;&lt;keyword&gt;pharmacovigilance&lt;/keyword&gt;&lt;keyword&gt;public health&lt;/keyword&gt;&lt;keyword&gt;user-generated content&lt;/keyword&gt;&lt;/keywords&gt;&lt;dates&gt;&lt;year&gt;2022&lt;/year&gt;&lt;pub-dates&gt;&lt;date&gt;Jan 23&lt;/date&gt;&lt;/pub-dates&gt;&lt;/dates&gt;&lt;isbn&gt;1999-4923 (Print)&amp;#xD;1999-4923&lt;/isbn&gt;&lt;accession-num&gt;35213998&lt;/accession-num&gt;&lt;urls&gt;&lt;/urls&gt;&lt;custom1&gt;The authors declare no conflict of interest.&lt;/custom1&gt;&lt;custom2&gt;PMC8924891&lt;/custom2&gt;&lt;electronic-resource-num&gt;10.3390/pharmaceutics14020266&lt;/electronic-resource-num&gt;&lt;remote-database-provider&gt;NLM&lt;/remote-database-provider&gt;&lt;language&gt;eng&lt;/language&gt;&lt;/record&gt;&lt;/Cite&gt;&lt;/EndNote&gt;</w:instrText>
      </w:r>
      <w:r w:rsidR="00533B1D">
        <w:fldChar w:fldCharType="separate"/>
      </w:r>
      <w:r w:rsidR="00FC4104">
        <w:rPr>
          <w:noProof/>
        </w:rPr>
        <w:t>[7]</w:t>
      </w:r>
      <w:r w:rsidR="00533B1D">
        <w:fldChar w:fldCharType="end"/>
      </w:r>
      <w:r w:rsidR="6B73C28E">
        <w:t>.</w:t>
      </w:r>
      <w:r>
        <w:t xml:space="preserve"> Moreover, ICSR narratives are unstructured, highly variable, and </w:t>
      </w:r>
      <w:r w:rsidR="05DFC3E0">
        <w:t xml:space="preserve">can </w:t>
      </w:r>
      <w:r>
        <w:t xml:space="preserve">contain nonstandard terminology, abbreviations, and reporter-specific phrasing. These characteristics present substantial challenges for computational systems </w:t>
      </w:r>
      <w:r w:rsidR="003E6792" w:rsidRPr="003E6792">
        <w:t xml:space="preserve">aiming </w:t>
      </w:r>
      <w:r>
        <w:t>to extract information robustly at scale.</w:t>
      </w:r>
    </w:p>
    <w:p w14:paraId="03695A01" w14:textId="77777777" w:rsidR="00533B1D" w:rsidRPr="00533B1D" w:rsidRDefault="26FC4DB9" w:rsidP="00533B1D">
      <w:r>
        <w:t xml:space="preserve">Named Entity Recognition (NER) provides a structured means for converting unstructured narrative text into analyzable clinical concepts, supporting </w:t>
      </w:r>
      <w:r w:rsidR="27839D8E">
        <w:t xml:space="preserve">pharmacovigilance </w:t>
      </w:r>
      <w:r>
        <w:t xml:space="preserve">tasks such as duplicate </w:t>
      </w:r>
      <w:r w:rsidR="5C572BFA">
        <w:t xml:space="preserve">ICSR </w:t>
      </w:r>
      <w:r>
        <w:t xml:space="preserve">detection, </w:t>
      </w:r>
      <w:r w:rsidR="3CC764CB">
        <w:t>case definition</w:t>
      </w:r>
      <w:r w:rsidR="5C572BFA">
        <w:t xml:space="preserve"> classification</w:t>
      </w:r>
      <w:r>
        <w:t xml:space="preserve">, </w:t>
      </w:r>
      <w:r w:rsidR="3CC764CB">
        <w:t xml:space="preserve">causality assessment, </w:t>
      </w:r>
      <w:r w:rsidR="4AD88ACB">
        <w:t xml:space="preserve">safety </w:t>
      </w:r>
      <w:r w:rsidR="4AD88ACB">
        <w:lastRenderedPageBreak/>
        <w:t xml:space="preserve">signal detection, </w:t>
      </w:r>
      <w:r w:rsidR="3CC764CB">
        <w:t xml:space="preserve">and </w:t>
      </w:r>
      <w:r>
        <w:t xml:space="preserve">automated </w:t>
      </w:r>
      <w:r w:rsidR="27839D8E">
        <w:t>cas</w:t>
      </w:r>
      <w:r w:rsidR="00A8DED1">
        <w:t>e</w:t>
      </w:r>
      <w:r w:rsidR="27839D8E">
        <w:t xml:space="preserve"> </w:t>
      </w:r>
      <w:r>
        <w:t xml:space="preserve">summarization. </w:t>
      </w:r>
      <w:r w:rsidR="75965F1B">
        <w:t xml:space="preserve">With </w:t>
      </w:r>
      <w:r w:rsidR="00B45FB6" w:rsidRPr="00B45FB6">
        <w:t xml:space="preserve">recent </w:t>
      </w:r>
      <w:r>
        <w:t xml:space="preserve">advances in natural language processing (NLP), the performance of automated methods on specialized regulatory safety data such as FAERS and VAERS </w:t>
      </w:r>
      <w:r w:rsidR="75965F1B">
        <w:t>can be compared and</w:t>
      </w:r>
      <w:r>
        <w:t xml:space="preserve"> characterized. Existing rule-based systems </w:t>
      </w:r>
      <w:r w:rsidR="0EADB6CB">
        <w:t>generally</w:t>
      </w:r>
      <w:r>
        <w:t xml:space="preserve"> lack flexibility and </w:t>
      </w:r>
      <w:r w:rsidR="006E5B78" w:rsidRPr="006E5B78">
        <w:t xml:space="preserve">cannot </w:t>
      </w:r>
      <w:r>
        <w:t xml:space="preserve">recognize </w:t>
      </w:r>
      <w:r w:rsidR="0355752D">
        <w:t>all</w:t>
      </w:r>
      <w:r>
        <w:t xml:space="preserve"> entity types important for pharmacovigilance. For example, ETHER, a rule-based system </w:t>
      </w:r>
      <w:r w:rsidR="27EC0656">
        <w:t>developed for</w:t>
      </w:r>
      <w:r w:rsidR="1F710B97">
        <w:t xml:space="preserve"> FDA’s adverse event reports</w:t>
      </w:r>
      <w:r w:rsidR="00DA7D3F">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DA7D3F">
        <w:fldChar w:fldCharType="separate"/>
      </w:r>
      <w:r w:rsidR="00FC4104">
        <w:rPr>
          <w:noProof/>
        </w:rPr>
        <w:t>[8]</w:t>
      </w:r>
      <w:r w:rsidR="00DA7D3F">
        <w:fldChar w:fldCharType="end"/>
      </w:r>
      <w:r w:rsidR="00983A39">
        <w:t>,</w:t>
      </w:r>
      <w:r w:rsidR="1F710B97">
        <w:t xml:space="preserve"> </w:t>
      </w:r>
      <w:r w:rsidR="00983A39">
        <w:t xml:space="preserve">is </w:t>
      </w:r>
      <w:r w:rsidR="0059664C">
        <w:t>constructed</w:t>
      </w:r>
      <w:r w:rsidR="1F710B97">
        <w:t xml:space="preserve"> on</w:t>
      </w:r>
      <w:r w:rsidR="27EC0656">
        <w:t xml:space="preserve"> </w:t>
      </w:r>
      <w:r>
        <w:t xml:space="preserve">handcrafted </w:t>
      </w:r>
      <w:r w:rsidR="003D5261">
        <w:t xml:space="preserve">expert </w:t>
      </w:r>
      <w:r>
        <w:t>rules and</w:t>
      </w:r>
      <w:r w:rsidR="1F710B97">
        <w:t xml:space="preserve"> </w:t>
      </w:r>
      <w:r w:rsidR="0CB3354C">
        <w:t xml:space="preserve">thus </w:t>
      </w:r>
      <w:r w:rsidR="1F710B97">
        <w:t>ha</w:t>
      </w:r>
      <w:r w:rsidR="0CB3354C">
        <w:t>s</w:t>
      </w:r>
      <w:r>
        <w:t xml:space="preserve"> limited capacity to adapt to the linguistic variability present in real-world reports.</w:t>
      </w:r>
    </w:p>
    <w:p w14:paraId="7BAE986C" w14:textId="77777777" w:rsidR="00533B1D" w:rsidRPr="00533B1D" w:rsidRDefault="00533B1D" w:rsidP="00533B1D">
      <w:r w:rsidRPr="00533B1D">
        <w:t>Recent models based on transformers, such as BERT, BioBERT, and ClinicalBERT, have shown strong performance on several clinical NER tasks by learning contextual representations rather than relying on fixed rules</w:t>
      </w:r>
      <w:r w:rsidR="00BC39E5">
        <w:fldChar w:fldCharType="begin"/>
      </w:r>
      <w:r w:rsidR="00FC4104">
        <w:instrText xml:space="preserve"> ADDIN EN.CITE &lt;EndNote&gt;&lt;Cite&gt;&lt;Author&gt;Bergman&lt;/Author&gt;&lt;Year&gt;2023&lt;/Year&gt;&lt;RecNum&gt;18&lt;/RecNum&gt;&lt;DisplayText&gt;[9]&lt;/DisplayText&gt;&lt;record&gt;&lt;rec-number&gt;18&lt;/rec-number&gt;&lt;foreign-keys&gt;&lt;key app="EN" db-id="2wazf5f082zrfieazeax5tf4wvxz9x59ts99" timestamp="1764019581"&gt;18&lt;/key&gt;&lt;/foreign-keys&gt;&lt;ref-type name="Journal Article"&gt;17&lt;/ref-type&gt;&lt;contributors&gt;&lt;authors&gt;&lt;author&gt;Bergman, Erik&lt;/author&gt;&lt;author&gt;Dürlich, Luise&lt;/author&gt;&lt;author&gt;Arthurson, Veronica&lt;/author&gt;&lt;author&gt;Sundström, Anders&lt;/author&gt;&lt;author&gt;Larsson, Maria&lt;/author&gt;&lt;author&gt;Bhuiyan, Shamima&lt;/author&gt;&lt;author&gt;Jakobsson, Andreas&lt;/author&gt;&lt;author&gt;Westman, Gabriel&lt;/author&gt;&lt;/authors&gt;&lt;/contributors&gt;&lt;titles&gt;&lt;title&gt;BERT based natural language processing for triage of adverse drug reaction reports shows close to human-level performance&lt;/title&gt;&lt;secondary-title&gt;PLOS Digital Health&lt;/secondary-title&gt;&lt;/titles&gt;&lt;periodical&gt;&lt;full-title&gt;PLOS Digital Health&lt;/full-title&gt;&lt;/periodical&gt;&lt;pages&gt;e0000409&lt;/pages&gt;&lt;volume&gt;2&lt;/volume&gt;&lt;number&gt;12&lt;/number&gt;&lt;dates&gt;&lt;year&gt;2023&lt;/year&gt;&lt;/dates&gt;&lt;isbn&gt;2767-3170&lt;/isbn&gt;&lt;urls&gt;&lt;/urls&gt;&lt;/record&gt;&lt;/Cite&gt;&lt;/EndNote&gt;</w:instrText>
      </w:r>
      <w:r w:rsidR="00BC39E5">
        <w:fldChar w:fldCharType="separate"/>
      </w:r>
      <w:r w:rsidR="00FC4104">
        <w:rPr>
          <w:noProof/>
        </w:rPr>
        <w:t>[9]</w:t>
      </w:r>
      <w:r w:rsidR="00BC39E5">
        <w:fldChar w:fldCharType="end"/>
      </w:r>
      <w:r w:rsidRPr="00533B1D">
        <w:t xml:space="preserve">. However, these models require substantial quantities of high-quality annotated data for training, which remain scarce for pharmacovigilance </w:t>
      </w:r>
      <w:r w:rsidR="009507DD" w:rsidRPr="009507DD">
        <w:t>applications</w:t>
      </w:r>
      <w:r w:rsidRPr="00533B1D">
        <w:t xml:space="preserve">. Large language models (LLMs) have </w:t>
      </w:r>
      <w:r w:rsidR="006E5B78" w:rsidRPr="006E5B78">
        <w:t xml:space="preserve">attracted significant attention </w:t>
      </w:r>
      <w:r w:rsidR="003D27CA">
        <w:fldChar w:fldCharType="begin"/>
      </w:r>
      <w:r w:rsidR="00864C57">
        <w:instrText xml:space="preserve"> ADDIN EN.CITE &lt;EndNote&gt;&lt;Cite&gt;&lt;Author&gt;Ball&lt;/Author&gt;&lt;Year&gt;2022&lt;/Year&gt;&lt;RecNum&gt;19&lt;/RecNum&gt;&lt;DisplayText&gt;[10]&lt;/DisplayText&gt;&lt;record&gt;&lt;rec-number&gt;19&lt;/rec-number&gt;&lt;foreign-keys&gt;&lt;key app="EN" db-id="2wazf5f082zrfieazeax5tf4wvxz9x59ts99" timestamp="1764019724"&gt;19&lt;/key&gt;&lt;/foreign-keys&gt;&lt;ref-type name="Journal Article"&gt;17&lt;/ref-type&gt;&lt;contributors&gt;&lt;authors&gt;&lt;author&gt;Ball, Robert&lt;/author&gt;&lt;author&gt;Dal Pan, Gerald&lt;/author&gt;&lt;/authors&gt;&lt;/contributors&gt;&lt;titles&gt;&lt;title&gt;“Artificial intelligence” for pharmacovigilance: ready for prime time?&lt;/title&gt;&lt;secondary-title&gt;Drug safety&lt;/secondary-title&gt;&lt;/titles&gt;&lt;periodical&gt;&lt;full-title&gt;Drug Safety&lt;/full-title&gt;&lt;/periodical&gt;&lt;pages&gt;429-438&lt;/pages&gt;&lt;volume&gt;45&lt;/volume&gt;&lt;number&gt;5&lt;/number&gt;&lt;dates&gt;&lt;year&gt;2022&lt;/year&gt;&lt;/dates&gt;&lt;isbn&gt;0114-5916&lt;/isbn&gt;&lt;urls&gt;&lt;/urls&gt;&lt;/record&gt;&lt;/Cite&gt;&lt;/EndNote&gt;</w:instrText>
      </w:r>
      <w:r w:rsidR="003D27CA">
        <w:fldChar w:fldCharType="separate"/>
      </w:r>
      <w:r w:rsidR="00FC4104">
        <w:rPr>
          <w:noProof/>
        </w:rPr>
        <w:t>[10]</w:t>
      </w:r>
      <w:r w:rsidR="003D27CA">
        <w:fldChar w:fldCharType="end"/>
      </w:r>
      <w:r w:rsidRPr="00533B1D">
        <w:t xml:space="preserve"> for their ability to perform zero-shot or few-shot extraction using prompts, but their performance on biomedical NER is inconsistent. LLMs </w:t>
      </w:r>
      <w:r w:rsidR="00C34673">
        <w:t>may</w:t>
      </w:r>
      <w:r w:rsidRPr="00533B1D">
        <w:t xml:space="preserve"> struggle with fine-grained entity boundaries, confuse closely related clinical concepts, and lack familiarity with domain-specific phrasing common in FAERS and VAERS. Their outputs can vary across prompts and entity types, and they may omit or hallucinate entities</w:t>
      </w:r>
      <w:r w:rsidR="00360D68">
        <w:t xml:space="preserve">. These </w:t>
      </w:r>
      <w:r w:rsidRPr="00533B1D">
        <w:t xml:space="preserve">limitations </w:t>
      </w:r>
      <w:r w:rsidR="00360D68">
        <w:t>can</w:t>
      </w:r>
      <w:r w:rsidRPr="00533B1D">
        <w:t xml:space="preserve"> present risks for regulatory use cases requiring high precision, reproducibility, and interpretability. Additionally, the computational cost of applying LLMs to millions of narratives poses scalability challenges.</w:t>
      </w:r>
    </w:p>
    <w:p w14:paraId="741A730C" w14:textId="77777777" w:rsidR="00533B1D" w:rsidRPr="00533B1D" w:rsidRDefault="00533B1D" w:rsidP="00533B1D">
      <w:r w:rsidRPr="00533B1D">
        <w:t xml:space="preserve">A major barrier to progress is the absence of comprehensive, multi-entity annotated datasets tailored to pharmacovigilance. Most existing corpora focus on a narrow set of concepts and do not represent the full complexity of FAERS and VAERS narratives. To fill this gap, we </w:t>
      </w:r>
      <w:r w:rsidR="00787C6E">
        <w:t>compile</w:t>
      </w:r>
      <w:r w:rsidR="00B913F7">
        <w:t>d a</w:t>
      </w:r>
      <w:r w:rsidR="00787C6E" w:rsidRPr="00533B1D">
        <w:t xml:space="preserve"> </w:t>
      </w:r>
      <w:r w:rsidRPr="00533B1D">
        <w:t>large, high-quality, human-annotated dataset covering broad</w:t>
      </w:r>
      <w:r w:rsidR="00B663E9">
        <w:t>ly</w:t>
      </w:r>
      <w:r w:rsidRPr="00533B1D">
        <w:t xml:space="preserve"> 17 clinical entity types. Annotations were produced </w:t>
      </w:r>
      <w:r w:rsidR="00B0791E" w:rsidRPr="00B0791E">
        <w:t xml:space="preserve">by a research fellow </w:t>
      </w:r>
      <w:r w:rsidR="001271C6">
        <w:t>with clinical nursing experience,</w:t>
      </w:r>
      <w:r w:rsidR="001271C6" w:rsidRPr="00B0791E">
        <w:t xml:space="preserve"> </w:t>
      </w:r>
      <w:r w:rsidR="00B0791E" w:rsidRPr="00B0791E">
        <w:t>using an in-house annotation platform</w:t>
      </w:r>
      <w:r w:rsidR="00C775AC">
        <w:t>.</w:t>
      </w:r>
      <w:r w:rsidRPr="00533B1D">
        <w:t xml:space="preserve"> </w:t>
      </w:r>
    </w:p>
    <w:p w14:paraId="35BC9177" w14:textId="77777777" w:rsidR="00533B1D" w:rsidRPr="00533B1D" w:rsidRDefault="00533B1D" w:rsidP="00533B1D">
      <w:r w:rsidRPr="00533B1D">
        <w:t xml:space="preserve">Using </w:t>
      </w:r>
      <w:r w:rsidR="00794B8C">
        <w:t>both</w:t>
      </w:r>
      <w:r w:rsidR="00413ABA">
        <w:t xml:space="preserve"> </w:t>
      </w:r>
      <w:r w:rsidR="002C121C">
        <w:t>annotated</w:t>
      </w:r>
      <w:r w:rsidRPr="00533B1D">
        <w:t xml:space="preserve"> </w:t>
      </w:r>
      <w:r w:rsidR="00794B8C">
        <w:t xml:space="preserve">FAERS and VAERS </w:t>
      </w:r>
      <w:r w:rsidRPr="00533B1D">
        <w:t>dataset</w:t>
      </w:r>
      <w:r w:rsidR="008526EF">
        <w:t>s</w:t>
      </w:r>
      <w:r w:rsidRPr="00533B1D">
        <w:t xml:space="preserve">, </w:t>
      </w:r>
      <w:r w:rsidR="00E92C16" w:rsidRPr="00E92C16">
        <w:t xml:space="preserve">we </w:t>
      </w:r>
      <w:r w:rsidRPr="00533B1D">
        <w:t>systematically evaluate three types of automated annotation approaches: a legacy rule-based system (ETHER)</w:t>
      </w:r>
      <w:r w:rsidR="00A504EF">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A504EF">
        <w:fldChar w:fldCharType="separate"/>
      </w:r>
      <w:r w:rsidR="00FC4104">
        <w:rPr>
          <w:noProof/>
        </w:rPr>
        <w:t>[8]</w:t>
      </w:r>
      <w:r w:rsidR="00A504EF">
        <w:fldChar w:fldCharType="end"/>
      </w:r>
      <w:r w:rsidRPr="00533B1D">
        <w:t xml:space="preserve">, a </w:t>
      </w:r>
      <w:r w:rsidR="00357D49">
        <w:t>few</w:t>
      </w:r>
      <w:r w:rsidRPr="00533B1D">
        <w:t xml:space="preserve">-shot, instruction-tuned LLM, and a fine-tuned </w:t>
      </w:r>
      <w:r w:rsidR="003C2DC8">
        <w:t>BERT</w:t>
      </w:r>
      <w:r w:rsidRPr="00533B1D">
        <w:t xml:space="preserve"> NER model trained on human-annotated corpora. </w:t>
      </w:r>
      <w:r w:rsidR="004C663B">
        <w:t xml:space="preserve">For FAERS and VAERS datasets, </w:t>
      </w:r>
      <w:r w:rsidR="00C43059">
        <w:t xml:space="preserve">we </w:t>
      </w:r>
      <w:r w:rsidR="004C663B">
        <w:t xml:space="preserve">performed </w:t>
      </w:r>
      <w:r w:rsidR="00491279">
        <w:t xml:space="preserve">Leave-One-Group-Out or Leave-Many-Out cross validation, to </w:t>
      </w:r>
      <w:r w:rsidR="00C43059">
        <w:t>train</w:t>
      </w:r>
      <w:r w:rsidR="00491279">
        <w:t xml:space="preserve"> and evaluate</w:t>
      </w:r>
      <w:r w:rsidR="00C43059">
        <w:t xml:space="preserve"> the BERT NER model. </w:t>
      </w:r>
      <w:r w:rsidRPr="00533B1D">
        <w:t xml:space="preserve">Our </w:t>
      </w:r>
      <w:r w:rsidR="00AF7F35">
        <w:t xml:space="preserve">aim </w:t>
      </w:r>
      <w:r w:rsidRPr="00533B1D">
        <w:t xml:space="preserve">is to determine </w:t>
      </w:r>
      <w:r w:rsidR="00AF7F35">
        <w:t xml:space="preserve">the performance of </w:t>
      </w:r>
      <w:r w:rsidR="00096D1F">
        <w:t>these AI-based</w:t>
      </w:r>
      <w:r w:rsidRPr="00533B1D">
        <w:t xml:space="preserve"> approach</w:t>
      </w:r>
      <w:r w:rsidR="00096D1F">
        <w:t>es for various</w:t>
      </w:r>
      <w:r w:rsidRPr="00533B1D">
        <w:t xml:space="preserve"> clinical entity types and to characterize their strengths, limitations, and suitability for real-world pharmacovigilance workflows. </w:t>
      </w:r>
    </w:p>
    <w:p w14:paraId="1E2550AF" w14:textId="77777777" w:rsidR="00446306" w:rsidRDefault="00446306" w:rsidP="00E36A28">
      <w:pPr>
        <w:pStyle w:val="Heading1"/>
      </w:pPr>
      <w:r w:rsidRPr="00446306">
        <w:lastRenderedPageBreak/>
        <w:t>2. Materials and Methods</w:t>
      </w:r>
    </w:p>
    <w:p w14:paraId="189503DF" w14:textId="77777777" w:rsidR="00182ADC" w:rsidRDefault="00182ADC" w:rsidP="00182ADC">
      <w:pPr>
        <w:pStyle w:val="Heading2"/>
      </w:pPr>
      <w:r w:rsidRPr="00182ADC">
        <w:t>2.1 Datasets</w:t>
      </w:r>
    </w:p>
    <w:p w14:paraId="27C241A1" w14:textId="77777777" w:rsidR="00766689" w:rsidRDefault="00766689" w:rsidP="00514A36">
      <w:r>
        <w:t xml:space="preserve">Two </w:t>
      </w:r>
      <w:r w:rsidR="00063D5B" w:rsidRPr="00063D5B">
        <w:t xml:space="preserve">adverse event </w:t>
      </w:r>
      <w:r w:rsidR="00063D5B">
        <w:t>(</w:t>
      </w:r>
      <w:r>
        <w:t>AE</w:t>
      </w:r>
      <w:r w:rsidR="00063D5B">
        <w:t>)</w:t>
      </w:r>
      <w:r w:rsidR="00E360B0">
        <w:t xml:space="preserve"> annotation datasets were involved in this study</w:t>
      </w:r>
      <w:r w:rsidR="00771202">
        <w:t xml:space="preserve">, </w:t>
      </w:r>
      <w:r w:rsidR="00516AB7" w:rsidRPr="00516AB7">
        <w:t>one for FAERS and one for VAERS</w:t>
      </w:r>
      <w:r w:rsidR="00771202">
        <w:t xml:space="preserve">. </w:t>
      </w:r>
      <w:r w:rsidR="00166564">
        <w:t xml:space="preserve">The FAERS dataset was manually annotated during this study, </w:t>
      </w:r>
      <w:r w:rsidR="00A7420B">
        <w:t>while</w:t>
      </w:r>
      <w:r w:rsidR="00166564">
        <w:t xml:space="preserve"> the VAERS dataset</w:t>
      </w:r>
      <w:r w:rsidR="00C62914">
        <w:t xml:space="preserve"> was </w:t>
      </w:r>
      <w:r w:rsidR="00D353B2" w:rsidRPr="00D353B2">
        <w:t xml:space="preserve">obtained </w:t>
      </w:r>
      <w:r w:rsidR="00C62914">
        <w:t xml:space="preserve">from </w:t>
      </w:r>
      <w:r w:rsidR="0006503D">
        <w:t xml:space="preserve">a </w:t>
      </w:r>
      <w:r w:rsidR="00C62914">
        <w:t>previous publication.</w:t>
      </w:r>
      <w:r w:rsidR="00E360B0">
        <w:t xml:space="preserve"> </w:t>
      </w:r>
      <w:r w:rsidR="006725BD">
        <w:t>Together, the two corpora comprise 1,829 clinical narrative reports, 854,257 tokens</w:t>
      </w:r>
      <w:r w:rsidR="005E4E72">
        <w:t xml:space="preserve">, and </w:t>
      </w:r>
      <w:r w:rsidR="006725BD">
        <w:t xml:space="preserve">39,809 sentences. </w:t>
      </w:r>
      <w:r w:rsidR="006725BD" w:rsidRPr="00F97A31">
        <w:rPr>
          <w:b/>
          <w:bCs/>
        </w:rPr>
        <w:t>Table 1</w:t>
      </w:r>
      <w:r w:rsidR="006725BD">
        <w:t xml:space="preserve"> </w:t>
      </w:r>
      <w:r w:rsidR="00F97A31">
        <w:t>summarizes</w:t>
      </w:r>
      <w:r w:rsidR="006725BD">
        <w:t xml:space="preserve"> the key corpus statistics</w:t>
      </w:r>
      <w:r w:rsidR="005E4E72">
        <w:t xml:space="preserve">, including </w:t>
      </w:r>
      <w:r w:rsidR="00E04912">
        <w:t>document length, annotation volume, and lexical surface-form diversity</w:t>
      </w:r>
      <w:r w:rsidR="006725BD">
        <w:t>.</w:t>
      </w:r>
    </w:p>
    <w:p w14:paraId="625C7921" w14:textId="77777777" w:rsidR="00C05C07" w:rsidRDefault="00C05C07" w:rsidP="00514A36"/>
    <w:p w14:paraId="109FD74F" w14:textId="77777777" w:rsidR="00960837" w:rsidRDefault="00960837" w:rsidP="00514A36">
      <w:r w:rsidRPr="005064A1">
        <w:rPr>
          <w:b/>
          <w:bCs/>
        </w:rPr>
        <w:t>Table 1.</w:t>
      </w:r>
      <w:r w:rsidRPr="00960837">
        <w:t xml:space="preserve"> Descriptive statistics of the annotated corpora.</w:t>
      </w:r>
    </w:p>
    <w:tbl>
      <w:tblPr>
        <w:tblStyle w:val="PlainTable2"/>
        <w:tblW w:w="0" w:type="auto"/>
        <w:tblLook w:val="04A0" w:firstRow="1" w:lastRow="0" w:firstColumn="1" w:lastColumn="0" w:noHBand="0" w:noVBand="1"/>
      </w:tblPr>
      <w:tblGrid>
        <w:gridCol w:w="3223"/>
        <w:gridCol w:w="2276"/>
        <w:gridCol w:w="2835"/>
      </w:tblGrid>
      <w:tr w:rsidR="00960837" w:rsidRPr="00960837" w14:paraId="22526A7A" w14:textId="77777777" w:rsidTr="0050465D">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5F13AFE3" w14:textId="77777777" w:rsidR="00960837" w:rsidRPr="00960837" w:rsidRDefault="00960837" w:rsidP="00960837">
            <w:pPr>
              <w:spacing w:after="160" w:line="278" w:lineRule="auto"/>
            </w:pPr>
            <w:r w:rsidRPr="00960837">
              <w:t>Statistic</w:t>
            </w:r>
          </w:p>
        </w:tc>
        <w:tc>
          <w:tcPr>
            <w:tcW w:w="2276" w:type="dxa"/>
            <w:hideMark/>
          </w:tcPr>
          <w:p w14:paraId="114F8E87" w14:textId="77777777" w:rsidR="00960837" w:rsidRPr="00960837" w:rsidRDefault="00960837" w:rsidP="00960837">
            <w:pPr>
              <w:spacing w:after="160" w:line="278" w:lineRule="auto"/>
              <w:cnfStyle w:val="100000000000" w:firstRow="1" w:lastRow="0" w:firstColumn="0" w:lastColumn="0" w:oddVBand="0" w:evenVBand="0" w:oddHBand="0" w:evenHBand="0" w:firstRowFirstColumn="0" w:firstRowLastColumn="0" w:lastRowFirstColumn="0" w:lastRowLastColumn="0"/>
            </w:pPr>
            <w:r w:rsidRPr="00960837">
              <w:t>FAERS D1</w:t>
            </w:r>
          </w:p>
        </w:tc>
        <w:tc>
          <w:tcPr>
            <w:tcW w:w="2835" w:type="dxa"/>
            <w:hideMark/>
          </w:tcPr>
          <w:p w14:paraId="341B9C92" w14:textId="77777777" w:rsidR="00960837" w:rsidRPr="00960837" w:rsidRDefault="00960837" w:rsidP="00960837">
            <w:pPr>
              <w:spacing w:after="160" w:line="278" w:lineRule="auto"/>
              <w:cnfStyle w:val="100000000000" w:firstRow="1" w:lastRow="0" w:firstColumn="0" w:lastColumn="0" w:oddVBand="0" w:evenVBand="0" w:oddHBand="0" w:evenHBand="0" w:firstRowFirstColumn="0" w:firstRowLastColumn="0" w:lastRowFirstColumn="0" w:lastRowLastColumn="0"/>
            </w:pPr>
            <w:r w:rsidRPr="00960837">
              <w:t>VAERS</w:t>
            </w:r>
          </w:p>
        </w:tc>
      </w:tr>
      <w:tr w:rsidR="00960837" w:rsidRPr="00960837" w14:paraId="6FC73519" w14:textId="77777777" w:rsidTr="005046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4ECB9134" w14:textId="77777777" w:rsidR="00960837" w:rsidRPr="00960837" w:rsidRDefault="00AA0747" w:rsidP="00960837">
            <w:pPr>
              <w:spacing w:after="160" w:line="278" w:lineRule="auto"/>
            </w:pPr>
            <w:r>
              <w:t>#R</w:t>
            </w:r>
            <w:r w:rsidR="00960837" w:rsidRPr="00960837">
              <w:t>eports</w:t>
            </w:r>
          </w:p>
        </w:tc>
        <w:tc>
          <w:tcPr>
            <w:tcW w:w="2276" w:type="dxa"/>
            <w:hideMark/>
          </w:tcPr>
          <w:p w14:paraId="728E4B48"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829</w:t>
            </w:r>
          </w:p>
        </w:tc>
        <w:tc>
          <w:tcPr>
            <w:tcW w:w="2835" w:type="dxa"/>
            <w:hideMark/>
          </w:tcPr>
          <w:p w14:paraId="57EB0FBA"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1,000</w:t>
            </w:r>
          </w:p>
        </w:tc>
      </w:tr>
      <w:tr w:rsidR="00960837" w:rsidRPr="00960837" w14:paraId="7BDC3A01" w14:textId="77777777" w:rsidTr="0050465D">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484CFAD0" w14:textId="77777777" w:rsidR="00960837" w:rsidRPr="00960837" w:rsidRDefault="00960837" w:rsidP="00960837">
            <w:pPr>
              <w:spacing w:after="160" w:line="278" w:lineRule="auto"/>
            </w:pPr>
            <w:r w:rsidRPr="00960837">
              <w:t>Total tokens</w:t>
            </w:r>
          </w:p>
        </w:tc>
        <w:tc>
          <w:tcPr>
            <w:tcW w:w="2276" w:type="dxa"/>
            <w:hideMark/>
          </w:tcPr>
          <w:p w14:paraId="4C3EEBC8" w14:textId="77777777" w:rsidR="00960837" w:rsidRPr="00960837" w:rsidRDefault="00960837" w:rsidP="00960837">
            <w:pPr>
              <w:spacing w:after="160" w:line="278" w:lineRule="auto"/>
              <w:cnfStyle w:val="000000000000" w:firstRow="0" w:lastRow="0" w:firstColumn="0" w:lastColumn="0" w:oddVBand="0" w:evenVBand="0" w:oddHBand="0" w:evenHBand="0" w:firstRowFirstColumn="0" w:firstRowLastColumn="0" w:lastRowFirstColumn="0" w:lastRowLastColumn="0"/>
            </w:pPr>
            <w:r w:rsidRPr="00960837">
              <w:t>414,576</w:t>
            </w:r>
          </w:p>
        </w:tc>
        <w:tc>
          <w:tcPr>
            <w:tcW w:w="2835" w:type="dxa"/>
            <w:hideMark/>
          </w:tcPr>
          <w:p w14:paraId="24E838EA" w14:textId="77777777" w:rsidR="00960837" w:rsidRPr="00960837" w:rsidRDefault="00960837" w:rsidP="00960837">
            <w:pPr>
              <w:spacing w:after="160" w:line="278" w:lineRule="auto"/>
              <w:cnfStyle w:val="000000000000" w:firstRow="0" w:lastRow="0" w:firstColumn="0" w:lastColumn="0" w:oddVBand="0" w:evenVBand="0" w:oddHBand="0" w:evenHBand="0" w:firstRowFirstColumn="0" w:firstRowLastColumn="0" w:lastRowFirstColumn="0" w:lastRowLastColumn="0"/>
            </w:pPr>
            <w:r w:rsidRPr="00960837">
              <w:t>439,681</w:t>
            </w:r>
          </w:p>
        </w:tc>
      </w:tr>
      <w:tr w:rsidR="00960837" w:rsidRPr="00960837" w14:paraId="6F88EB77" w14:textId="77777777" w:rsidTr="005046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4AAA1FC4" w14:textId="77777777" w:rsidR="00960837" w:rsidRPr="00960837" w:rsidRDefault="00960837" w:rsidP="00960837">
            <w:pPr>
              <w:spacing w:after="160" w:line="278" w:lineRule="auto"/>
            </w:pPr>
            <w:r w:rsidRPr="00960837">
              <w:t>Total sentences</w:t>
            </w:r>
          </w:p>
        </w:tc>
        <w:tc>
          <w:tcPr>
            <w:tcW w:w="2276" w:type="dxa"/>
            <w:hideMark/>
          </w:tcPr>
          <w:p w14:paraId="7B916F27"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17,766</w:t>
            </w:r>
          </w:p>
        </w:tc>
        <w:tc>
          <w:tcPr>
            <w:tcW w:w="2835" w:type="dxa"/>
            <w:hideMark/>
          </w:tcPr>
          <w:p w14:paraId="156219EA"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22,043</w:t>
            </w:r>
          </w:p>
        </w:tc>
      </w:tr>
      <w:tr w:rsidR="00960837" w:rsidRPr="00960837" w14:paraId="5F685D25" w14:textId="77777777" w:rsidTr="0050465D">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2BE1CAE" w14:textId="77777777" w:rsidR="00960837" w:rsidRPr="00960837" w:rsidRDefault="00960837" w:rsidP="00960837">
            <w:pPr>
              <w:spacing w:after="160" w:line="278" w:lineRule="auto"/>
            </w:pPr>
            <w:r w:rsidRPr="00960837">
              <w:t xml:space="preserve">Avg tokens per </w:t>
            </w:r>
            <w:r w:rsidR="002C6301">
              <w:t>report</w:t>
            </w:r>
            <w:r w:rsidRPr="00960837">
              <w:t xml:space="preserve"> </w:t>
            </w:r>
          </w:p>
        </w:tc>
        <w:tc>
          <w:tcPr>
            <w:tcW w:w="2276" w:type="dxa"/>
            <w:hideMark/>
          </w:tcPr>
          <w:p w14:paraId="025F2125" w14:textId="77777777" w:rsidR="00960837" w:rsidRPr="00960837" w:rsidRDefault="00960837" w:rsidP="00960837">
            <w:pPr>
              <w:spacing w:after="160" w:line="278" w:lineRule="auto"/>
              <w:cnfStyle w:val="000000000000" w:firstRow="0" w:lastRow="0" w:firstColumn="0" w:lastColumn="0" w:oddVBand="0" w:evenVBand="0" w:oddHBand="0" w:evenHBand="0" w:firstRowFirstColumn="0" w:firstRowLastColumn="0" w:lastRowFirstColumn="0" w:lastRowLastColumn="0"/>
            </w:pPr>
            <w:r w:rsidRPr="00960837">
              <w:t>500.1 ± 254.6</w:t>
            </w:r>
          </w:p>
        </w:tc>
        <w:tc>
          <w:tcPr>
            <w:tcW w:w="2835" w:type="dxa"/>
            <w:hideMark/>
          </w:tcPr>
          <w:p w14:paraId="16874B81" w14:textId="77777777" w:rsidR="00960837" w:rsidRPr="00960837" w:rsidRDefault="00960837" w:rsidP="00960837">
            <w:pPr>
              <w:spacing w:after="160" w:line="278" w:lineRule="auto"/>
              <w:cnfStyle w:val="000000000000" w:firstRow="0" w:lastRow="0" w:firstColumn="0" w:lastColumn="0" w:oddVBand="0" w:evenVBand="0" w:oddHBand="0" w:evenHBand="0" w:firstRowFirstColumn="0" w:firstRowLastColumn="0" w:lastRowFirstColumn="0" w:lastRowLastColumn="0"/>
            </w:pPr>
            <w:r w:rsidRPr="00960837">
              <w:t>439.7 ± 143.0</w:t>
            </w:r>
          </w:p>
        </w:tc>
      </w:tr>
      <w:tr w:rsidR="00960837" w:rsidRPr="00960837" w14:paraId="34E38C5A" w14:textId="77777777" w:rsidTr="005046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41CA37A6" w14:textId="77777777" w:rsidR="00960837" w:rsidRPr="00960837" w:rsidRDefault="00960837" w:rsidP="00960837">
            <w:pPr>
              <w:spacing w:after="160" w:line="278" w:lineRule="auto"/>
            </w:pPr>
            <w:r w:rsidRPr="00960837">
              <w:t xml:space="preserve">Median tokens per </w:t>
            </w:r>
            <w:r w:rsidR="002C6301">
              <w:t>report</w:t>
            </w:r>
          </w:p>
        </w:tc>
        <w:tc>
          <w:tcPr>
            <w:tcW w:w="2276" w:type="dxa"/>
            <w:hideMark/>
          </w:tcPr>
          <w:p w14:paraId="05C5A1AB"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476</w:t>
            </w:r>
          </w:p>
        </w:tc>
        <w:tc>
          <w:tcPr>
            <w:tcW w:w="2835" w:type="dxa"/>
            <w:hideMark/>
          </w:tcPr>
          <w:p w14:paraId="09D7BFBE"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395</w:t>
            </w:r>
          </w:p>
        </w:tc>
      </w:tr>
      <w:tr w:rsidR="00C1414F" w:rsidRPr="00960837" w14:paraId="7675A0B2" w14:textId="77777777" w:rsidTr="0050465D">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188C389B" w14:textId="77777777" w:rsidR="00C1414F" w:rsidRPr="00960837" w:rsidRDefault="00C1414F" w:rsidP="00C1414F">
            <w:r>
              <w:t>SME</w:t>
            </w:r>
            <w:r w:rsidRPr="00FF17F1">
              <w:t xml:space="preserve"> annotations</w:t>
            </w:r>
          </w:p>
        </w:tc>
        <w:tc>
          <w:tcPr>
            <w:tcW w:w="2276" w:type="dxa"/>
          </w:tcPr>
          <w:p w14:paraId="566458F7" w14:textId="77777777" w:rsidR="00C1414F" w:rsidRPr="009353BE" w:rsidRDefault="009353BE" w:rsidP="00C1414F">
            <w:pPr>
              <w:cnfStyle w:val="000000000000" w:firstRow="0" w:lastRow="0" w:firstColumn="0" w:lastColumn="0" w:oddVBand="0" w:evenVBand="0" w:oddHBand="0" w:evenHBand="0" w:firstRowFirstColumn="0" w:firstRowLastColumn="0" w:lastRowFirstColumn="0" w:lastRowLastColumn="0"/>
            </w:pPr>
            <w:r w:rsidRPr="009353BE">
              <w:t>30,163</w:t>
            </w:r>
          </w:p>
        </w:tc>
        <w:tc>
          <w:tcPr>
            <w:tcW w:w="2835" w:type="dxa"/>
          </w:tcPr>
          <w:p w14:paraId="62B5E095" w14:textId="77777777" w:rsidR="00C1414F" w:rsidRPr="00960837" w:rsidRDefault="00C1414F" w:rsidP="00C1414F">
            <w:pPr>
              <w:cnfStyle w:val="000000000000" w:firstRow="0" w:lastRow="0" w:firstColumn="0" w:lastColumn="0" w:oddVBand="0" w:evenVBand="0" w:oddHBand="0" w:evenHBand="0" w:firstRowFirstColumn="0" w:firstRowLastColumn="0" w:lastRowFirstColumn="0" w:lastRowLastColumn="0"/>
            </w:pPr>
            <w:r w:rsidRPr="00FF17F1">
              <w:t>40,711</w:t>
            </w:r>
          </w:p>
        </w:tc>
      </w:tr>
      <w:tr w:rsidR="0050465D" w:rsidRPr="00960837" w14:paraId="167E506B" w14:textId="77777777" w:rsidTr="005046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19A2D470" w14:textId="77777777" w:rsidR="0050465D" w:rsidRPr="00960837" w:rsidRDefault="0050465D" w:rsidP="0050465D">
            <w:r>
              <w:t>Unique AE terms</w:t>
            </w:r>
          </w:p>
        </w:tc>
        <w:tc>
          <w:tcPr>
            <w:tcW w:w="2276" w:type="dxa"/>
          </w:tcPr>
          <w:p w14:paraId="16BC8543" w14:textId="77777777" w:rsidR="0050465D" w:rsidRPr="00960837" w:rsidRDefault="0050465D" w:rsidP="0050465D">
            <w:pPr>
              <w:cnfStyle w:val="000000100000" w:firstRow="0" w:lastRow="0" w:firstColumn="0" w:lastColumn="0" w:oddVBand="0" w:evenVBand="0" w:oddHBand="1" w:evenHBand="0" w:firstRowFirstColumn="0" w:firstRowLastColumn="0" w:lastRowFirstColumn="0" w:lastRowLastColumn="0"/>
            </w:pPr>
            <w:r w:rsidRPr="00925563">
              <w:t>3,991</w:t>
            </w:r>
          </w:p>
        </w:tc>
        <w:tc>
          <w:tcPr>
            <w:tcW w:w="2835" w:type="dxa"/>
          </w:tcPr>
          <w:p w14:paraId="59511422" w14:textId="77777777" w:rsidR="0050465D" w:rsidRPr="00960837" w:rsidRDefault="0050465D" w:rsidP="0050465D">
            <w:pPr>
              <w:cnfStyle w:val="000000100000" w:firstRow="0" w:lastRow="0" w:firstColumn="0" w:lastColumn="0" w:oddVBand="0" w:evenVBand="0" w:oddHBand="1" w:evenHBand="0" w:firstRowFirstColumn="0" w:firstRowLastColumn="0" w:lastRowFirstColumn="0" w:lastRowLastColumn="0"/>
            </w:pPr>
            <w:r w:rsidRPr="00925563">
              <w:t>13,819</w:t>
            </w:r>
          </w:p>
        </w:tc>
      </w:tr>
      <w:tr w:rsidR="0050465D" w:rsidRPr="00960837" w14:paraId="4BB2B6DA" w14:textId="77777777" w:rsidTr="0050465D">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06DFDA36" w14:textId="77777777" w:rsidR="0050465D" w:rsidRPr="00960837" w:rsidRDefault="0050465D" w:rsidP="0050465D">
            <w:r>
              <w:t>Unique Drug</w:t>
            </w:r>
            <w:r w:rsidR="0080492C">
              <w:t xml:space="preserve">/Vaccine </w:t>
            </w:r>
            <w:r>
              <w:t>terms</w:t>
            </w:r>
          </w:p>
        </w:tc>
        <w:tc>
          <w:tcPr>
            <w:tcW w:w="2276" w:type="dxa"/>
          </w:tcPr>
          <w:p w14:paraId="54C30C14" w14:textId="77777777" w:rsidR="0050465D" w:rsidRPr="00960837" w:rsidRDefault="0050465D" w:rsidP="0050465D">
            <w:pPr>
              <w:cnfStyle w:val="000000000000" w:firstRow="0" w:lastRow="0" w:firstColumn="0" w:lastColumn="0" w:oddVBand="0" w:evenVBand="0" w:oddHBand="0" w:evenHBand="0" w:firstRowFirstColumn="0" w:firstRowLastColumn="0" w:lastRowFirstColumn="0" w:lastRowLastColumn="0"/>
            </w:pPr>
            <w:r w:rsidRPr="00925563">
              <w:t>2,085</w:t>
            </w:r>
          </w:p>
        </w:tc>
        <w:tc>
          <w:tcPr>
            <w:tcW w:w="2835" w:type="dxa"/>
          </w:tcPr>
          <w:p w14:paraId="59B33986" w14:textId="77777777" w:rsidR="0050465D" w:rsidRPr="00960837" w:rsidRDefault="0050465D" w:rsidP="0050465D">
            <w:pPr>
              <w:cnfStyle w:val="000000000000" w:firstRow="0" w:lastRow="0" w:firstColumn="0" w:lastColumn="0" w:oddVBand="0" w:evenVBand="0" w:oddHBand="0" w:evenHBand="0" w:firstRowFirstColumn="0" w:firstRowLastColumn="0" w:lastRowFirstColumn="0" w:lastRowLastColumn="0"/>
            </w:pPr>
            <w:r w:rsidRPr="00925563">
              <w:t>863</w:t>
            </w:r>
          </w:p>
        </w:tc>
      </w:tr>
    </w:tbl>
    <w:p w14:paraId="221D95A0" w14:textId="77777777" w:rsidR="00960837" w:rsidRPr="00766689" w:rsidRDefault="00960837" w:rsidP="00514A36"/>
    <w:p w14:paraId="6401D917" w14:textId="77777777" w:rsidR="00182ADC" w:rsidRDefault="00182ADC" w:rsidP="001A4FB8">
      <w:r w:rsidRPr="00182ADC">
        <w:t xml:space="preserve">The </w:t>
      </w:r>
      <w:r w:rsidR="00C62914">
        <w:t>FAERS</w:t>
      </w:r>
      <w:r w:rsidRPr="00182ADC">
        <w:t xml:space="preserve"> dataset consisted of</w:t>
      </w:r>
      <w:r w:rsidR="009906C6">
        <w:t xml:space="preserve"> </w:t>
      </w:r>
      <w:r w:rsidR="00BF0279">
        <w:t>829</w:t>
      </w:r>
      <w:r w:rsidRPr="00182ADC">
        <w:t xml:space="preserve"> </w:t>
      </w:r>
      <w:r w:rsidR="00827CB2">
        <w:t>ICSRs</w:t>
      </w:r>
      <w:r w:rsidRPr="00182ADC">
        <w:t xml:space="preserve"> </w:t>
      </w:r>
      <w:r w:rsidR="007D0D1C">
        <w:t xml:space="preserve">which </w:t>
      </w:r>
      <w:r w:rsidR="009D01E9">
        <w:t>w</w:t>
      </w:r>
      <w:r w:rsidR="007D0D1C">
        <w:t xml:space="preserve">as </w:t>
      </w:r>
      <w:r w:rsidR="009D01E9">
        <w:t xml:space="preserve">a </w:t>
      </w:r>
      <w:r w:rsidR="005F3814">
        <w:t xml:space="preserve">convenient </w:t>
      </w:r>
      <w:r w:rsidR="009D01E9">
        <w:t xml:space="preserve">subset of </w:t>
      </w:r>
      <w:r w:rsidR="00D72B2A">
        <w:t>a</w:t>
      </w:r>
      <w:r w:rsidR="009D01E9">
        <w:t xml:space="preserve"> dataset that </w:t>
      </w:r>
      <w:r w:rsidR="00151E99">
        <w:t>ha</w:t>
      </w:r>
      <w:r w:rsidR="001F7770">
        <w:t>s</w:t>
      </w:r>
      <w:r w:rsidR="00151E99">
        <w:t xml:space="preserve"> been previously used in other pharmacovigilance studies</w:t>
      </w:r>
      <w:r w:rsidR="00864C57">
        <w:t xml:space="preserve"> </w:t>
      </w:r>
      <w:r w:rsidR="00864C57">
        <w:fldChar w:fldCharType="begin"/>
      </w:r>
      <w:r w:rsidR="00864C57">
        <w:instrText xml:space="preserve"> ADDIN EN.CITE &lt;EndNote&gt;&lt;Cite&gt;&lt;Author&gt;Kreimeyer&lt;/Author&gt;&lt;Year&gt;2022&lt;/Year&gt;&lt;RecNum&gt;21&lt;/RecNum&gt;&lt;DisplayText&gt;[11]&lt;/DisplayText&gt;&lt;record&gt;&lt;rec-number&gt;21&lt;/rec-number&gt;&lt;foreign-keys&gt;&lt;key app="EN" db-id="2wazf5f082zrfieazeax5tf4wvxz9x59ts99" timestamp="1764083720"&gt;21&lt;/key&gt;&lt;/foreign-keys&gt;&lt;ref-type name="Journal Article"&gt;17&lt;/ref-type&gt;&lt;contributors&gt;&lt;authors&gt;&lt;author&gt;Kreimeyer, Kory&lt;/author&gt;&lt;author&gt;Dang, Oanh&lt;/author&gt;&lt;author&gt;Spiker, Jonathan&lt;/author&gt;&lt;author&gt;Gish, Paula&lt;/author&gt;&lt;author&gt;Weintraub, Jessica&lt;/author&gt;&lt;author&gt;Wu, Eileen&lt;/author&gt;&lt;author&gt;Ball, Robert&lt;/author&gt;&lt;author&gt;Botsis, Taxiarchis&lt;/author&gt;&lt;/authors&gt;&lt;/contributors&gt;&lt;titles&gt;&lt;title&gt;Increased confidence in deduplication of drug safety reports with natural language processing of narratives at the us food and drug administration&lt;/title&gt;&lt;secondary-title&gt;Frontiers in Drug Safety and Regulation&lt;/secondary-title&gt;&lt;/titles&gt;&lt;periodical&gt;&lt;full-title&gt;Frontiers in Drug Safety and Regulation&lt;/full-title&gt;&lt;/periodical&gt;&lt;pages&gt;918897&lt;/pages&gt;&lt;volume&gt;2&lt;/volume&gt;&lt;dates&gt;&lt;year&gt;2022&lt;/year&gt;&lt;/dates&gt;&lt;isbn&gt;2674-0869&lt;/isbn&gt;&lt;urls&gt;&lt;/urls&gt;&lt;/record&gt;&lt;/Cite&gt;&lt;/EndNote&gt;</w:instrText>
      </w:r>
      <w:r w:rsidR="00864C57">
        <w:fldChar w:fldCharType="separate"/>
      </w:r>
      <w:r w:rsidR="00864C57">
        <w:rPr>
          <w:noProof/>
        </w:rPr>
        <w:t>[11]</w:t>
      </w:r>
      <w:r w:rsidR="00864C57">
        <w:fldChar w:fldCharType="end"/>
      </w:r>
      <w:r w:rsidR="002619C1">
        <w:t>.</w:t>
      </w:r>
      <w:r w:rsidR="00EF4E51">
        <w:t xml:space="preserve"> </w:t>
      </w:r>
      <w:r w:rsidR="00AF5C88">
        <w:t xml:space="preserve">These </w:t>
      </w:r>
      <w:r w:rsidR="00827CB2">
        <w:t xml:space="preserve">829 ICSRs </w:t>
      </w:r>
      <w:r w:rsidR="00827CB2" w:rsidRPr="00182ADC">
        <w:t>involv</w:t>
      </w:r>
      <w:r w:rsidR="00827CB2">
        <w:t>ed</w:t>
      </w:r>
      <w:r w:rsidR="00827CB2" w:rsidRPr="00182ADC">
        <w:t xml:space="preserve"> four drug–adverse event pairs: Azacitidine–QT prolongation, Tramadol–hypoglycemia, Baricitinib–hypersensitivity, and </w:t>
      </w:r>
      <w:proofErr w:type="spellStart"/>
      <w:r w:rsidR="00827CB2" w:rsidRPr="00182ADC">
        <w:t>Erenumab</w:t>
      </w:r>
      <w:proofErr w:type="spellEnd"/>
      <w:r w:rsidR="00827CB2" w:rsidRPr="00182ADC">
        <w:t>–stroke.</w:t>
      </w:r>
      <w:r w:rsidR="00827CB2">
        <w:t xml:space="preserve"> </w:t>
      </w:r>
      <w:r w:rsidR="00A44370">
        <w:t>All reports contain</w:t>
      </w:r>
      <w:r w:rsidR="00AF75D9">
        <w:t>ed</w:t>
      </w:r>
      <w:r w:rsidR="00A44370">
        <w:t xml:space="preserve"> detailed narratives describing adverse drug experiences. </w:t>
      </w:r>
      <w:r w:rsidR="00EF4E51">
        <w:t xml:space="preserve">We </w:t>
      </w:r>
      <w:r w:rsidR="00EF4E51" w:rsidRPr="00182ADC">
        <w:t>manually annotated</w:t>
      </w:r>
      <w:r w:rsidR="00EF4E51">
        <w:t xml:space="preserve"> this dataset in this study (see </w:t>
      </w:r>
      <w:r w:rsidR="00625D39">
        <w:t>2.2</w:t>
      </w:r>
      <w:r w:rsidR="00EF4E51">
        <w:t>)</w:t>
      </w:r>
      <w:r w:rsidR="00722EAA">
        <w:t xml:space="preserve">. </w:t>
      </w:r>
      <w:r w:rsidR="00722EAA" w:rsidRPr="00722EAA">
        <w:t>Across the FAERS corpus, the expert reference set contained 3</w:t>
      </w:r>
      <w:r w:rsidR="00967C76">
        <w:t>0</w:t>
      </w:r>
      <w:r w:rsidR="00722EAA" w:rsidRPr="00722EAA">
        <w:t>,</w:t>
      </w:r>
      <w:r w:rsidR="00967C76">
        <w:t>163</w:t>
      </w:r>
      <w:r w:rsidR="00722EAA" w:rsidRPr="00722EAA">
        <w:t xml:space="preserve"> annotations, including 3,991 unique AE/symptom </w:t>
      </w:r>
      <w:r w:rsidR="000F1436">
        <w:t>terms</w:t>
      </w:r>
      <w:r w:rsidR="00722EAA" w:rsidRPr="00722EAA">
        <w:t xml:space="preserve"> and 2,085 unique drug </w:t>
      </w:r>
      <w:r w:rsidR="000F1436">
        <w:t>terms</w:t>
      </w:r>
      <w:r w:rsidR="00722EAA" w:rsidRPr="00722EAA">
        <w:t xml:space="preserve"> under exact string matching.</w:t>
      </w:r>
      <w:r w:rsidR="00722EAA">
        <w:t xml:space="preserve"> </w:t>
      </w:r>
    </w:p>
    <w:p w14:paraId="35F22983" w14:textId="77777777" w:rsidR="00C31354" w:rsidRDefault="00C31354" w:rsidP="009C1AEA">
      <w:r w:rsidRPr="00C31354">
        <w:t xml:space="preserve">The VAERS dataset comprised 1,000 randomly selected reports drawn from the public </w:t>
      </w:r>
      <w:r w:rsidR="009057CE">
        <w:t xml:space="preserve">VAERS, which </w:t>
      </w:r>
      <w:r w:rsidRPr="00C31354">
        <w:t xml:space="preserve">was </w:t>
      </w:r>
      <w:r w:rsidR="009057CE">
        <w:t xml:space="preserve">previously </w:t>
      </w:r>
      <w:r w:rsidRPr="00C31354">
        <w:t>created as a gold</w:t>
      </w:r>
      <w:r w:rsidR="00D7634E">
        <w:t xml:space="preserve"> </w:t>
      </w:r>
      <w:r w:rsidRPr="00C31354">
        <w:t xml:space="preserve">standard annotated reference to support </w:t>
      </w:r>
      <w:r w:rsidRPr="00C31354">
        <w:lastRenderedPageBreak/>
        <w:t>the development and evaluation of NLP systems, including the ETHER text-mining algorithm</w:t>
      </w:r>
      <w:r w:rsidR="00394FC9">
        <w:fldChar w:fldCharType="begin"/>
      </w:r>
      <w:r w:rsidR="00394FC9">
        <w:instrText xml:space="preserve"> ADDIN EN.CITE &lt;EndNote&gt;&lt;Cite&gt;&lt;Author&gt;Foster&lt;/Author&gt;&lt;Year&gt;2018&lt;/Year&gt;&lt;RecNum&gt;30&lt;/RecNum&gt;&lt;DisplayText&gt;[12]&lt;/DisplayText&gt;&lt;record&gt;&lt;rec-number&gt;30&lt;/rec-number&gt;&lt;foreign-keys&gt;&lt;key app="EN" db-id="reaw999r8vept5ed0pcp9r2srtdp92extaew" timestamp="1767712026"&gt;30&lt;/key&gt;&lt;/foreign-keys&gt;&lt;ref-type name="Journal Article"&gt;17&lt;/ref-type&gt;&lt;contributors&gt;&lt;authors&gt;&lt;author&gt;Foster, Matthew&lt;/author&gt;&lt;author&gt;Pandey, Abhishek&lt;/author&gt;&lt;author&gt;Kreimeyer, Kory&lt;/author&gt;&lt;author&gt;Botsis, Taxiarchis&lt;/author&gt;&lt;/authors&gt;&lt;/contributors&gt;&lt;titles&gt;&lt;title&gt;Generation of an annotated reference standard for vaccine adverse event reports&lt;/title&gt;&lt;secondary-title&gt;Vaccine&lt;/secondary-title&gt;&lt;/titles&gt;&lt;periodical&gt;&lt;full-title&gt;Vaccine&lt;/full-title&gt;&lt;/periodical&gt;&lt;pages&gt;4325-4330&lt;/pages&gt;&lt;volume&gt;36&lt;/volume&gt;&lt;number&gt;29&lt;/number&gt;&lt;dates&gt;&lt;year&gt;2018&lt;/year&gt;&lt;/dates&gt;&lt;isbn&gt;0264-410X&lt;/isbn&gt;&lt;urls&gt;&lt;/urls&gt;&lt;/record&gt;&lt;/Cite&gt;&lt;/EndNote&gt;</w:instrText>
      </w:r>
      <w:r w:rsidR="00394FC9">
        <w:fldChar w:fldCharType="separate"/>
      </w:r>
      <w:r w:rsidR="00394FC9">
        <w:rPr>
          <w:noProof/>
        </w:rPr>
        <w:t>[12]</w:t>
      </w:r>
      <w:r w:rsidR="00394FC9">
        <w:fldChar w:fldCharType="end"/>
      </w:r>
      <w:r w:rsidRPr="00C31354">
        <w:t xml:space="preserve">. Each report </w:t>
      </w:r>
      <w:r w:rsidR="002903CA">
        <w:t>has been</w:t>
      </w:r>
      <w:r w:rsidRPr="00C31354">
        <w:t xml:space="preserve"> annotated for clinical features, temporal features, and clinical–temporal associations using a multi-phase annotation methodology. The annotations were produced using the ETHER Annotator</w:t>
      </w:r>
      <w:r w:rsidR="00FC4104">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FC4104">
        <w:fldChar w:fldCharType="separate"/>
      </w:r>
      <w:r w:rsidR="00FC4104">
        <w:rPr>
          <w:noProof/>
        </w:rPr>
        <w:t>[8]</w:t>
      </w:r>
      <w:r w:rsidR="00FC4104">
        <w:fldChar w:fldCharType="end"/>
      </w:r>
      <w:r w:rsidRPr="00C31354">
        <w:t xml:space="preserve"> with expert-defined guidelines and quality-controlled through adjudicator review.</w:t>
      </w:r>
      <w:r w:rsidR="009637C0">
        <w:t xml:space="preserve"> </w:t>
      </w:r>
      <w:r w:rsidR="009637C0" w:rsidRPr="009637C0">
        <w:t>The corpus contains 40,711 reference annotations</w:t>
      </w:r>
      <w:r w:rsidR="00CC4DBB">
        <w:t xml:space="preserve">, with </w:t>
      </w:r>
      <w:r w:rsidR="006B74B5">
        <w:t>863</w:t>
      </w:r>
      <w:r w:rsidR="00CC4DBB">
        <w:t xml:space="preserve"> unique Drug/Vaccine terms </w:t>
      </w:r>
      <w:r w:rsidR="009637C0" w:rsidRPr="009637C0">
        <w:t xml:space="preserve">and 13,819 unique </w:t>
      </w:r>
      <w:r w:rsidR="009637C0">
        <w:t>AE/</w:t>
      </w:r>
      <w:r w:rsidR="009637C0" w:rsidRPr="009637C0">
        <w:t xml:space="preserve">symptom </w:t>
      </w:r>
      <w:r w:rsidR="009637C0">
        <w:t>terms</w:t>
      </w:r>
      <w:r w:rsidR="009637C0" w:rsidRPr="009637C0">
        <w:t xml:space="preserve"> under exact string matching.</w:t>
      </w:r>
    </w:p>
    <w:p w14:paraId="262F5E7C" w14:textId="77777777" w:rsidR="0010317B" w:rsidRPr="00C31354" w:rsidRDefault="0010317B" w:rsidP="009C1AEA"/>
    <w:p w14:paraId="02487100" w14:textId="77777777" w:rsidR="00182ADC" w:rsidRPr="00182ADC" w:rsidRDefault="00182ADC" w:rsidP="00182ADC">
      <w:pPr>
        <w:pStyle w:val="Heading2"/>
      </w:pPr>
      <w:r w:rsidRPr="00182ADC">
        <w:t>2.2 Human Annotation Protocol</w:t>
      </w:r>
    </w:p>
    <w:p w14:paraId="3023B816" w14:textId="77777777" w:rsidR="00114CAB" w:rsidRDefault="00114CAB" w:rsidP="00114CAB">
      <w:r w:rsidRPr="00114CAB">
        <w:t xml:space="preserve">To begin human annotation, we first developed a comprehensive annotation guideline, with input from pharmacovigilance experts and adapted from prior VAERS work. The guideline defines 17 clinical entity types, including drug-related categories (e.g., suspect, concomitant, and other drugs, as well as dose and treatment), clinical outcomes (adverse events and their manifestations or sequelae), diagnostic and laboratory information, medical and family history, indications, and patient status, along with demographic attributes such as age and sex. Full definitions of the guideline are provided in Supplementary </w:t>
      </w:r>
      <w:r w:rsidRPr="00114CAB">
        <w:rPr>
          <w:b/>
          <w:bCs/>
        </w:rPr>
        <w:t>Table S1</w:t>
      </w:r>
      <w:r w:rsidRPr="00114CAB">
        <w:t>.</w:t>
      </w:r>
    </w:p>
    <w:p w14:paraId="6559E87A" w14:textId="77777777" w:rsidR="00611A30" w:rsidRDefault="009A440F" w:rsidP="00415620">
      <w:r w:rsidRPr="009A440F">
        <w:t xml:space="preserve">Annotations were performed by </w:t>
      </w:r>
      <w:r w:rsidR="00D777E2">
        <w:t xml:space="preserve">a </w:t>
      </w:r>
      <w:r w:rsidRPr="009A440F">
        <w:t>research fellow who received task-specific training and followed the predefined annotation guidelines throughout the process. The annotator was also involved in the development and iterative refinement of these guidelines, ensuring consistent interpretation of entity definitions. All annotations were stored in a structured format capturing span boundaries and entity labels, enabling reproducibility and facilitating downstream validation and analysis. To avoid potential bias, the annotation process was conducted entirely manually without assistance from AI-based tools, and the resulting human annotations were used as the benchmark for evaluating automated systems</w:t>
      </w:r>
      <w:r w:rsidR="00F21832">
        <w:t xml:space="preserve"> includ</w:t>
      </w:r>
      <w:r w:rsidR="00055EF0">
        <w:t>ing</w:t>
      </w:r>
      <w:r w:rsidR="00F21832">
        <w:t xml:space="preserve"> LLM, BERT</w:t>
      </w:r>
      <w:r w:rsidR="008E6435">
        <w:t>,</w:t>
      </w:r>
      <w:r w:rsidR="00F21832">
        <w:t xml:space="preserve"> and rule-based tools </w:t>
      </w:r>
      <w:r w:rsidR="009511FF" w:rsidRPr="009511FF">
        <w:t xml:space="preserve">such as </w:t>
      </w:r>
      <w:r w:rsidR="00F21832">
        <w:t>ETHER</w:t>
      </w:r>
      <w:r w:rsidRPr="009A440F">
        <w:t>.</w:t>
      </w:r>
    </w:p>
    <w:p w14:paraId="453881E9" w14:textId="77777777" w:rsidR="00466CC6" w:rsidRDefault="00736E23" w:rsidP="00415620">
      <w:r w:rsidRPr="00736E23">
        <w:t xml:space="preserve">To facilitate consistent and efficient annotation, we developed an in-house annotation platform tailored for ICSR narrative labeling. The tool enables annotators to highlight text spans and assign entity types based on </w:t>
      </w:r>
      <w:r w:rsidR="003F7A73">
        <w:t>a</w:t>
      </w:r>
      <w:r w:rsidRPr="00736E23">
        <w:t xml:space="preserve"> predefined controlled vocabulary, directly reflecting the annotation guidelines. It also provides functionalities for case management and annotation review, supporting systematic data organization and quality control throughout the process. Importantly, the platform incorporates version control to track changes across annotation iterations, allowing transparent comparison of updates and ensuring reproducibility. In addition, adjudication functionalities are built in to support review and resolution of ambiguous or uncertain annotations, enabling refinement of </w:t>
      </w:r>
      <w:r w:rsidRPr="00736E23">
        <w:lastRenderedPageBreak/>
        <w:t xml:space="preserve">guideline interpretation and improving overall annotation consistency. These features collectively enhance data reliability and facilitate future validation and extension of the dataset. The user interface of the platform is illustrated in </w:t>
      </w:r>
      <w:r w:rsidRPr="00A72A0F">
        <w:rPr>
          <w:b/>
          <w:bCs/>
        </w:rPr>
        <w:t>Figure 1,</w:t>
      </w:r>
      <w:r w:rsidRPr="00736E23">
        <w:t xml:space="preserve"> and the source code is publicly available at </w:t>
      </w:r>
      <w:hyperlink r:id="rId8" w:tgtFrame="_new" w:history="1">
        <w:r w:rsidRPr="00736E23">
          <w:rPr>
            <w:rStyle w:val="Hyperlink"/>
          </w:rPr>
          <w:t>https://github.com/seldas/LLM4AE</w:t>
        </w:r>
      </w:hyperlink>
      <w:r w:rsidRPr="00736E23">
        <w:t>.</w:t>
      </w:r>
    </w:p>
    <w:p w14:paraId="23DCAF92" w14:textId="77777777" w:rsidR="00415620" w:rsidRDefault="00415620" w:rsidP="00415620"/>
    <w:p w14:paraId="64484B67" w14:textId="77777777" w:rsidR="00F81AD3" w:rsidRDefault="0037517F" w:rsidP="00415620">
      <w:r w:rsidRPr="0037517F">
        <w:rPr>
          <w:noProof/>
        </w:rPr>
        <w:drawing>
          <wp:inline distT="0" distB="0" distL="0" distR="0" wp14:anchorId="1E1F9ADA" wp14:editId="777B1157">
            <wp:extent cx="5943600" cy="3797935"/>
            <wp:effectExtent l="0" t="0" r="0" b="0"/>
            <wp:docPr id="518031711" name="Picture 3" descr="Graphical user interface, application&#10;&#10;AI-generated content may be incorrect.">
              <a:extLst xmlns:a="http://schemas.openxmlformats.org/drawingml/2006/main">
                <a:ext uri="{FF2B5EF4-FFF2-40B4-BE49-F238E27FC236}">
                  <a16:creationId xmlns:a16="http://schemas.microsoft.com/office/drawing/2014/main" id="{CEDFB702-EB58-010C-2BCD-28B56706B8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31711" name="Picture 3" descr="Graphical user interface, application&#10;&#10;AI-generated content may be incorrect.">
                      <a:extLst>
                        <a:ext uri="{FF2B5EF4-FFF2-40B4-BE49-F238E27FC236}">
                          <a16:creationId xmlns:a16="http://schemas.microsoft.com/office/drawing/2014/main" id="{CEDFB702-EB58-010C-2BCD-28B56706B876}"/>
                        </a:ext>
                      </a:extLst>
                    </pic:cNvPr>
                    <pic:cNvPicPr>
                      <a:picLocks noChangeAspect="1"/>
                    </pic:cNvPicPr>
                  </pic:nvPicPr>
                  <pic:blipFill>
                    <a:blip r:embed="rId9"/>
                    <a:stretch>
                      <a:fillRect/>
                    </a:stretch>
                  </pic:blipFill>
                  <pic:spPr>
                    <a:xfrm>
                      <a:off x="0" y="0"/>
                      <a:ext cx="5943600" cy="3797935"/>
                    </a:xfrm>
                    <a:prstGeom prst="rect">
                      <a:avLst/>
                    </a:prstGeom>
                  </pic:spPr>
                </pic:pic>
              </a:graphicData>
            </a:graphic>
          </wp:inline>
        </w:drawing>
      </w:r>
    </w:p>
    <w:p w14:paraId="4481A6AE" w14:textId="77777777" w:rsidR="00182ADC" w:rsidRPr="005064A1" w:rsidRDefault="00F81AD3" w:rsidP="00DD7F1F">
      <w:pPr>
        <w:spacing w:line="240" w:lineRule="auto"/>
        <w:rPr>
          <w:sz w:val="20"/>
          <w:szCs w:val="20"/>
        </w:rPr>
      </w:pPr>
      <w:r w:rsidRPr="005064A1">
        <w:rPr>
          <w:b/>
          <w:bCs/>
          <w:sz w:val="20"/>
          <w:szCs w:val="20"/>
        </w:rPr>
        <w:t>Figure 1. In-house annotation platform and workflow.</w:t>
      </w:r>
      <w:r w:rsidR="0009328A">
        <w:rPr>
          <w:sz w:val="20"/>
          <w:szCs w:val="20"/>
        </w:rPr>
        <w:t xml:space="preserve"> </w:t>
      </w:r>
      <w:r w:rsidRPr="005064A1">
        <w:rPr>
          <w:sz w:val="20"/>
          <w:szCs w:val="20"/>
        </w:rPr>
        <w:t>(</w:t>
      </w:r>
      <w:r w:rsidR="00380B65" w:rsidRPr="005064A1">
        <w:rPr>
          <w:sz w:val="20"/>
          <w:szCs w:val="20"/>
        </w:rPr>
        <w:t>a</w:t>
      </w:r>
      <w:r w:rsidRPr="005064A1">
        <w:rPr>
          <w:sz w:val="20"/>
          <w:szCs w:val="20"/>
        </w:rPr>
        <w:t>) Annotation workflow illustrating guideline-driven labeling and version-controlled updates for reproducibility.</w:t>
      </w:r>
      <w:r w:rsidR="00380B65" w:rsidRPr="005064A1">
        <w:rPr>
          <w:sz w:val="20"/>
          <w:szCs w:val="20"/>
        </w:rPr>
        <w:t xml:space="preserve"> (b) Annotation interface for span labeling using predefined clinical entity types. </w:t>
      </w:r>
      <w:r w:rsidRPr="005064A1">
        <w:rPr>
          <w:sz w:val="20"/>
          <w:szCs w:val="20"/>
        </w:rPr>
        <w:t>(c) Adjudication and quality control process for resolving ambiguous cases and refining annotation consistency.</w:t>
      </w:r>
    </w:p>
    <w:p w14:paraId="3CE42925" w14:textId="77777777" w:rsidR="00F81AD3" w:rsidRPr="00182ADC" w:rsidRDefault="00F81AD3" w:rsidP="00182ADC"/>
    <w:p w14:paraId="180B324E" w14:textId="77777777" w:rsidR="00182ADC" w:rsidRDefault="00182ADC" w:rsidP="00182ADC">
      <w:pPr>
        <w:pStyle w:val="Heading2"/>
      </w:pPr>
      <w:r w:rsidRPr="00182ADC">
        <w:t xml:space="preserve">2.3 </w:t>
      </w:r>
      <w:r w:rsidR="00CE0AC4">
        <w:t xml:space="preserve">Automated </w:t>
      </w:r>
      <w:r w:rsidRPr="00182ADC">
        <w:t>Annotation Approaches</w:t>
      </w:r>
    </w:p>
    <w:p w14:paraId="0095A737" w14:textId="77777777" w:rsidR="00182ADC" w:rsidRPr="00182ADC" w:rsidRDefault="00C77958" w:rsidP="00C77958">
      <w:r>
        <w:t>In this study, we applied three annotation approaches: rule-based tool (e.g., ETHER); Large Language Model (LLM); and BERT-based Named Entity Recognition (NER) model. E</w:t>
      </w:r>
      <w:r w:rsidR="00182ADC" w:rsidRPr="00182ADC">
        <w:t xml:space="preserve">THER is a previously deployed rule-based system used to extract clinical concepts from </w:t>
      </w:r>
      <w:r w:rsidR="00AB45AA">
        <w:t>ICSR</w:t>
      </w:r>
      <w:r w:rsidR="00182ADC" w:rsidRPr="00182ADC">
        <w:t xml:space="preserve"> narratives</w:t>
      </w:r>
      <w:r w:rsidR="0074537C">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74537C">
        <w:fldChar w:fldCharType="separate"/>
      </w:r>
      <w:r w:rsidR="00FC4104">
        <w:rPr>
          <w:noProof/>
        </w:rPr>
        <w:t>[8]</w:t>
      </w:r>
      <w:r w:rsidR="0074537C">
        <w:fldChar w:fldCharType="end"/>
      </w:r>
      <w:r w:rsidR="00182ADC" w:rsidRPr="00182ADC">
        <w:t>. It relies on handcrafted rules, dictionaries, and pattern-matching heuristics. Because ETHER recognizes only a limited set of entity types and has difficulty handling linguistic variability, it serves as a baseline in this study.</w:t>
      </w:r>
    </w:p>
    <w:p w14:paraId="083CAA66" w14:textId="77777777" w:rsidR="00182ADC" w:rsidRDefault="00C77958" w:rsidP="00754828">
      <w:r>
        <w:lastRenderedPageBreak/>
        <w:t xml:space="preserve">Second, </w:t>
      </w:r>
      <w:r w:rsidR="00962A8D">
        <w:t>w</w:t>
      </w:r>
      <w:r w:rsidR="00182ADC" w:rsidRPr="00182ADC">
        <w:t xml:space="preserve">e used an instruction-tuned </w:t>
      </w:r>
      <w:r>
        <w:t>LLM</w:t>
      </w:r>
      <w:r w:rsidR="00182ADC" w:rsidRPr="00182ADC">
        <w:t xml:space="preserve"> to annotate narratives using an </w:t>
      </w:r>
      <w:r w:rsidR="00182ADC" w:rsidRPr="005E44DD">
        <w:t>in-text XML tagging</w:t>
      </w:r>
      <w:r w:rsidR="00182ADC" w:rsidRPr="00182ADC">
        <w:t xml:space="preserve"> strategy</w:t>
      </w:r>
      <w:r w:rsidR="00353FAE">
        <w:t xml:space="preserve"> (</w:t>
      </w:r>
      <w:r w:rsidR="00B24CE7" w:rsidRPr="00B24CE7">
        <w:rPr>
          <w:b/>
          <w:bCs/>
        </w:rPr>
        <w:t>Figure 2</w:t>
      </w:r>
      <w:r w:rsidR="00353FAE">
        <w:t>)</w:t>
      </w:r>
      <w:r w:rsidR="00182ADC" w:rsidRPr="00182ADC">
        <w:t xml:space="preserve">. </w:t>
      </w:r>
      <w:r w:rsidR="00155B9B">
        <w:t xml:space="preserve">In this study, two LLMs were applied with the same prompts. </w:t>
      </w:r>
      <w:r w:rsidR="00155B9B" w:rsidRPr="002E2FF1">
        <w:rPr>
          <w:lang w:val="it-IT"/>
        </w:rPr>
        <w:t xml:space="preserve">Llama 4 (Llama-4-Maverick-17B-128E-Instruct-FP8, </w:t>
      </w:r>
      <w:r w:rsidR="00155B9B">
        <w:fldChar w:fldCharType="begin"/>
      </w:r>
      <w:r w:rsidR="00155B9B" w:rsidRPr="002E2FF1">
        <w:rPr>
          <w:lang w:val="it-IT"/>
        </w:rPr>
        <w:instrText>HYPERLINK "https://huggingface.co/collections/meta-llama/llama-4" \h</w:instrText>
      </w:r>
      <w:r w:rsidR="00155B9B">
        <w:fldChar w:fldCharType="separate"/>
      </w:r>
      <w:r w:rsidR="00155B9B" w:rsidRPr="002E2FF1">
        <w:rPr>
          <w:rStyle w:val="Hyperlink"/>
          <w:lang w:val="it-IT"/>
        </w:rPr>
        <w:t>https://huggingface.co/collections/meta-llama/llama-4</w:t>
      </w:r>
      <w:r w:rsidR="00155B9B">
        <w:fldChar w:fldCharType="end"/>
      </w:r>
      <w:r w:rsidR="00155B9B" w:rsidRPr="002E2FF1">
        <w:rPr>
          <w:lang w:val="it-IT"/>
        </w:rPr>
        <w:t xml:space="preserve">) and Claude 4.6 Sonnet (via FDA Elsa API). </w:t>
      </w:r>
      <w:r w:rsidR="00182ADC" w:rsidRPr="003E0748">
        <w:t xml:space="preserve">The </w:t>
      </w:r>
      <w:r w:rsidR="00416F6F" w:rsidRPr="003E0748">
        <w:rPr>
          <w:iCs/>
        </w:rPr>
        <w:t>LLM was prompted to</w:t>
      </w:r>
      <w:r w:rsidR="00416F6F" w:rsidRPr="003E0748">
        <w:rPr>
          <w:i/>
        </w:rPr>
        <w:t xml:space="preserve"> </w:t>
      </w:r>
      <w:r w:rsidR="00182ADC" w:rsidRPr="003E0748">
        <w:t>insert tags around identified entities without altering the surrounding text</w:t>
      </w:r>
      <w:r w:rsidR="00CE151E">
        <w:t xml:space="preserve"> (</w:t>
      </w:r>
      <w:r w:rsidR="00CE151E" w:rsidRPr="00CE151E">
        <w:rPr>
          <w:b/>
          <w:bCs/>
        </w:rPr>
        <w:t>Supplementary File 1</w:t>
      </w:r>
      <w:r w:rsidR="00CE151E">
        <w:t>)</w:t>
      </w:r>
      <w:r w:rsidR="00182ADC" w:rsidRPr="003E0748">
        <w:rPr>
          <w:iCs/>
        </w:rPr>
        <w:t>.</w:t>
      </w:r>
      <w:r w:rsidR="00182ADC" w:rsidRPr="003E0748">
        <w:t xml:space="preserve"> After annotation, </w:t>
      </w:r>
      <w:r w:rsidR="00F230EE" w:rsidRPr="003E0748">
        <w:t xml:space="preserve">we </w:t>
      </w:r>
      <w:r w:rsidR="004328F1" w:rsidRPr="003E0748">
        <w:t>compute a character-level mapping between the LLM's tag-stripped output and the original page tex</w:t>
      </w:r>
      <w:r w:rsidR="00B3092F" w:rsidRPr="003E0748">
        <w:t>t</w:t>
      </w:r>
      <w:r w:rsidR="00B3092F" w:rsidRPr="003E0748">
        <w:rPr>
          <w:i/>
        </w:rPr>
        <w:t>,</w:t>
      </w:r>
      <w:r w:rsidR="00182ADC" w:rsidRPr="003E0748">
        <w:t xml:space="preserve"> using the </w:t>
      </w:r>
      <w:r w:rsidR="00182ADC" w:rsidRPr="00182ADC">
        <w:t xml:space="preserve">SequenceMatcher function from the </w:t>
      </w:r>
      <w:r w:rsidR="00182ADC" w:rsidRPr="00182ADC">
        <w:rPr>
          <w:i/>
          <w:iCs/>
        </w:rPr>
        <w:t>difflib</w:t>
      </w:r>
      <w:r w:rsidR="00182ADC" w:rsidRPr="00182ADC">
        <w:t xml:space="preserve"> Python library </w:t>
      </w:r>
      <w:r w:rsidR="00C76D5A">
        <w:t>(</w:t>
      </w:r>
      <w:hyperlink r:id="rId10">
        <w:r w:rsidR="00C76D5A" w:rsidRPr="147CEA42">
          <w:rPr>
            <w:rStyle w:val="Hyperlink"/>
          </w:rPr>
          <w:t>https://docs.python.org/3/library/difflib.html</w:t>
        </w:r>
      </w:hyperlink>
      <w:r w:rsidR="00C76D5A">
        <w:t xml:space="preserve">) </w:t>
      </w:r>
      <w:r w:rsidR="00182ADC">
        <w:t xml:space="preserve">to extract accurate character offsets. </w:t>
      </w:r>
      <w:r w:rsidR="009F03E7">
        <w:t xml:space="preserve"> </w:t>
      </w:r>
      <w:r w:rsidR="1EA1351B">
        <w:t>Besides filtering out unsuccessfully tagged items</w:t>
      </w:r>
      <w:r w:rsidR="00BE6D64">
        <w:t xml:space="preserve"> (</w:t>
      </w:r>
      <w:r w:rsidR="007A153D" w:rsidRPr="007A153D">
        <w:t xml:space="preserve">e.g., mismatched closing tags, unescaped angle brackets, or tags </w:t>
      </w:r>
      <w:r w:rsidR="007A153D">
        <w:t>did not match pre-defined categories</w:t>
      </w:r>
      <w:r w:rsidR="00BE6D64">
        <w:t>)</w:t>
      </w:r>
      <w:r w:rsidR="1EA1351B">
        <w:t>, using in-text annotation plus back mapping as a strategy helped ensure the original narratives were not altered during the annotation process. Unsuccessful tagging and text alterations have both been observed during preliminary studies, particularly where</w:t>
      </w:r>
      <w:r w:rsidR="009F03E7">
        <w:t xml:space="preserve"> </w:t>
      </w:r>
      <w:r w:rsidR="001F2997">
        <w:t xml:space="preserve">some </w:t>
      </w:r>
      <w:r w:rsidR="009F03E7">
        <w:t>LLM</w:t>
      </w:r>
      <w:r w:rsidR="001F2997">
        <w:t>s</w:t>
      </w:r>
      <w:r w:rsidR="009F03E7">
        <w:t xml:space="preserve"> </w:t>
      </w:r>
      <w:r w:rsidR="00957FA9">
        <w:t>were</w:t>
      </w:r>
      <w:r w:rsidR="009F03E7">
        <w:t xml:space="preserve"> </w:t>
      </w:r>
      <w:r w:rsidR="001F2997">
        <w:t>intended</w:t>
      </w:r>
      <w:r w:rsidR="009F03E7">
        <w:t xml:space="preserve"> to correct typos </w:t>
      </w:r>
      <w:r w:rsidR="00A3282A">
        <w:t>from narratives.</w:t>
      </w:r>
      <w:r w:rsidR="00DC55BF">
        <w:t xml:space="preserve"> </w:t>
      </w:r>
      <w:r w:rsidR="00182ADC" w:rsidRPr="00182ADC">
        <w:t xml:space="preserve">The full prompt used for LLM annotation is provided in </w:t>
      </w:r>
      <w:r w:rsidR="00182ADC" w:rsidRPr="00182ADC">
        <w:rPr>
          <w:b/>
          <w:bCs/>
        </w:rPr>
        <w:t xml:space="preserve">Supplementary File </w:t>
      </w:r>
      <w:r w:rsidR="00FE68E5">
        <w:rPr>
          <w:b/>
          <w:bCs/>
        </w:rPr>
        <w:t>1</w:t>
      </w:r>
      <w:r w:rsidR="00182ADC" w:rsidRPr="00182ADC">
        <w:t>.</w:t>
      </w:r>
      <w:r w:rsidR="001723F3">
        <w:t xml:space="preserve"> The annotation guidance used in the prompt are provided in </w:t>
      </w:r>
      <w:r w:rsidR="001723F3" w:rsidRPr="001723F3">
        <w:rPr>
          <w:b/>
          <w:bCs/>
        </w:rPr>
        <w:t>Supplementary File 2 and 3</w:t>
      </w:r>
      <w:r w:rsidR="001723F3">
        <w:t>, for FAERS and VAERS dataset, respectively.</w:t>
      </w:r>
    </w:p>
    <w:p w14:paraId="1A61AE20" w14:textId="77777777" w:rsidR="00353FAE" w:rsidRDefault="00353FAE" w:rsidP="00182ADC"/>
    <w:p w14:paraId="3061C0E7" w14:textId="77777777" w:rsidR="00353FAE" w:rsidRDefault="00C00AAF" w:rsidP="00353FAE">
      <w:pPr>
        <w:keepNext/>
        <w:jc w:val="center"/>
      </w:pPr>
      <w:r w:rsidRPr="00F1278E">
        <w:rPr>
          <w:noProof/>
        </w:rPr>
        <w:drawing>
          <wp:inline distT="0" distB="0" distL="0" distR="0" wp14:anchorId="684C3946" wp14:editId="6E14F947">
            <wp:extent cx="5943600" cy="2683510"/>
            <wp:effectExtent l="0" t="0" r="0" b="2540"/>
            <wp:docPr id="1211524515" name="Picture 14" descr="Graphical user interface, text, application, email&#10;&#10;AI-generated content may be incorrect.">
              <a:extLst xmlns:a="http://schemas.openxmlformats.org/drawingml/2006/main">
                <a:ext uri="{FF2B5EF4-FFF2-40B4-BE49-F238E27FC236}">
                  <a16:creationId xmlns:a16="http://schemas.microsoft.com/office/drawing/2014/main" id="{3BB0B516-5E88-FC9E-BBBA-A726509E77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24515" name="Picture 14" descr="Graphical user interface, text, application, email&#10;&#10;AI-generated content may be incorrect.">
                      <a:extLst>
                        <a:ext uri="{FF2B5EF4-FFF2-40B4-BE49-F238E27FC236}">
                          <a16:creationId xmlns:a16="http://schemas.microsoft.com/office/drawing/2014/main" id="{3BB0B516-5E88-FC9E-BBBA-A726509E77DB}"/>
                        </a:ext>
                      </a:extLst>
                    </pic:cNvPr>
                    <pic:cNvPicPr>
                      <a:picLocks noChangeAspect="1"/>
                    </pic:cNvPicPr>
                  </pic:nvPicPr>
                  <pic:blipFill>
                    <a:blip r:embed="rId11"/>
                    <a:stretch>
                      <a:fillRect/>
                    </a:stretch>
                  </pic:blipFill>
                  <pic:spPr>
                    <a:xfrm>
                      <a:off x="0" y="0"/>
                      <a:ext cx="5943600" cy="2683510"/>
                    </a:xfrm>
                    <a:prstGeom prst="rect">
                      <a:avLst/>
                    </a:prstGeom>
                  </pic:spPr>
                </pic:pic>
              </a:graphicData>
            </a:graphic>
          </wp:inline>
        </w:drawing>
      </w:r>
    </w:p>
    <w:p w14:paraId="313233C0" w14:textId="77777777" w:rsidR="00D1091A" w:rsidRPr="00DD7F1F" w:rsidRDefault="00D1091A" w:rsidP="00DD7F1F">
      <w:pPr>
        <w:spacing w:line="240" w:lineRule="auto"/>
        <w:rPr>
          <w:sz w:val="20"/>
          <w:szCs w:val="20"/>
        </w:rPr>
      </w:pPr>
      <w:r w:rsidRPr="00DD7F1F">
        <w:rPr>
          <w:b/>
          <w:bCs/>
          <w:sz w:val="20"/>
          <w:szCs w:val="20"/>
        </w:rPr>
        <w:t>Figure 2.</w:t>
      </w:r>
      <w:r w:rsidRPr="00DD7F1F">
        <w:rPr>
          <w:sz w:val="20"/>
          <w:szCs w:val="20"/>
        </w:rPr>
        <w:t xml:space="preserve"> Overview of the In-Text XML Tagging Annotation Framework (P2_TAG). The raw clinical narrative is processed using an instruction-tuned prompt with in-text XML tags (e.g., &lt;DRUG&gt;, &lt;AE&gt;, &lt;DX&gt;). Strict boundary alignment is verified against the original narrative text via character offset matching to ensure zero loss or corruption of narrative context.</w:t>
      </w:r>
    </w:p>
    <w:p w14:paraId="6DF81611" w14:textId="77777777" w:rsidR="00353FAE" w:rsidRDefault="00353FAE" w:rsidP="00182ADC"/>
    <w:p w14:paraId="61736D0B" w14:textId="77777777" w:rsidR="000A022B" w:rsidRDefault="009102DE" w:rsidP="00182ADC">
      <w:r>
        <w:lastRenderedPageBreak/>
        <w:t xml:space="preserve">Third, BERT-based NER </w:t>
      </w:r>
      <w:r w:rsidR="00EE3273" w:rsidRPr="00EE3273">
        <w:t>model</w:t>
      </w:r>
      <w:r w:rsidR="002A3DA8">
        <w:t>s</w:t>
      </w:r>
      <w:r w:rsidR="00EE3273" w:rsidRPr="00EE3273">
        <w:t xml:space="preserve"> w</w:t>
      </w:r>
      <w:r>
        <w:t>ere</w:t>
      </w:r>
      <w:r w:rsidR="00EE3273" w:rsidRPr="00EE3273">
        <w:t xml:space="preserve"> implemented using the spaCy transformer pipeline (TransformerModel</w:t>
      </w:r>
      <w:r w:rsidR="00A36E69">
        <w:t>.</w:t>
      </w:r>
      <w:r w:rsidR="00EE3273" w:rsidRPr="00EE3273">
        <w:t>v3) for FAERS and VAERS</w:t>
      </w:r>
      <w:r w:rsidR="002A3DA8">
        <w:t xml:space="preserve"> datasets. </w:t>
      </w:r>
      <w:r w:rsidR="00C04CE9" w:rsidRPr="00182ADC">
        <w:t>Narratives were tokenized and aligned with span annotations. Entities were converted to the BIO tagging scheme for model input. All preprocessing steps were standardized to ensure reproducibility.</w:t>
      </w:r>
      <w:r w:rsidR="00C04CE9">
        <w:t xml:space="preserve"> </w:t>
      </w:r>
    </w:p>
    <w:p w14:paraId="242B1F95" w14:textId="77777777" w:rsidR="00182ADC" w:rsidRPr="00182ADC" w:rsidRDefault="000A022B" w:rsidP="00182ADC">
      <w:r w:rsidRPr="000A022B">
        <w:t>To address variability associated with neural-network initialization, all BERT evaluations were repeated using five independent random seeds (42, 123, 456, 789, and 1011).</w:t>
      </w:r>
      <w:r w:rsidR="00171BE6">
        <w:t xml:space="preserve"> </w:t>
      </w:r>
      <w:r w:rsidR="00171BE6" w:rsidRPr="00171BE6">
        <w:t>For FAERS, the four predefined drug–adverse-event case series enabled a four-fold leave-one-drug–event-pair-out evaluation: each case series served once as the held-out test domain, and each fold was independently trained under all five seeds (20 training runs). For VAERS, which lacks an analogous predefined drug–event grouping, we use report-level 10-fold cross-validation with fixed folds; each fold is repeated under the same five seeds (50 training runs). The final overall estimates are calculated from pooled out-of-fold predictions for each seed and summarized as mean ± standard deviation across the five seeds.</w:t>
      </w:r>
      <w:r w:rsidRPr="000A022B">
        <w:t xml:space="preserve"> </w:t>
      </w:r>
      <w:r w:rsidR="00182ADC" w:rsidRPr="00182ADC">
        <w:t xml:space="preserve">Hyperparameters included a learning rate of 0.0001, batch size of 32, and up to 20,000 training steps. Sentences exceeding the 512-token limit were segmented </w:t>
      </w:r>
      <w:r w:rsidR="0073635B">
        <w:t>before transformer processing</w:t>
      </w:r>
      <w:r w:rsidR="00182ADC" w:rsidRPr="00182ADC">
        <w:t>.</w:t>
      </w:r>
    </w:p>
    <w:p w14:paraId="25674FC7" w14:textId="77777777" w:rsidR="00C04CE9" w:rsidRPr="00182ADC" w:rsidRDefault="00C04CE9" w:rsidP="00C04CE9">
      <w:r>
        <w:t>To determine the best base BERT model, w</w:t>
      </w:r>
      <w:r w:rsidRPr="00182ADC">
        <w:t>e conducted an ablation experiment comparing BERT</w:t>
      </w:r>
      <w:r>
        <w:fldChar w:fldCharType="begin"/>
      </w:r>
      <w:r>
        <w:instrText xml:space="preserve"> ADDIN EN.CITE &lt;EndNote&gt;&lt;Cite&gt;&lt;Author&gt;Devlin&lt;/Author&gt;&lt;Year&gt;2019&lt;/Year&gt;&lt;RecNum&gt;23&lt;/RecNum&gt;&lt;DisplayText&gt;[13]&lt;/DisplayText&gt;&lt;record&gt;&lt;rec-number&gt;23&lt;/rec-number&gt;&lt;foreign-keys&gt;&lt;key app="EN" db-id="2wazf5f082zrfieazeax5tf4wvxz9x59ts99" timestamp="1764084153"&gt;23&lt;/key&gt;&lt;/foreign-keys&gt;&lt;ref-type name="Conference Proceedings"&gt;10&lt;/ref-type&gt;&lt;contributors&gt;&lt;authors&gt;&lt;author&gt;Devlin,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understanding&lt;/title&gt;&lt;secondary-title&gt;Proceedings of the 2019 conference of the North American chapter of the association for computational linguistics: human language technologies, volume 1 (long and short papers)&lt;/secondary-title&gt;&lt;/titles&gt;&lt;pages&gt;4171-4186&lt;/pages&gt;&lt;dates&gt;&lt;year&gt;2019&lt;/year&gt;&lt;/dates&gt;&lt;urls&gt;&lt;/urls&gt;&lt;/record&gt;&lt;/Cite&gt;&lt;/EndNote&gt;</w:instrText>
      </w:r>
      <w:r>
        <w:fldChar w:fldCharType="separate"/>
      </w:r>
      <w:r>
        <w:rPr>
          <w:noProof/>
        </w:rPr>
        <w:t>[13]</w:t>
      </w:r>
      <w:r>
        <w:fldChar w:fldCharType="end"/>
      </w:r>
      <w:r w:rsidRPr="00182ADC">
        <w:t>, BioBERT</w:t>
      </w:r>
      <w:r>
        <w:fldChar w:fldCharType="begin"/>
      </w:r>
      <w:r>
        <w:instrText xml:space="preserve"> ADDIN EN.CITE &lt;EndNote&gt;&lt;Cite&gt;&lt;Author&gt;Lee&lt;/Author&gt;&lt;Year&gt;2020&lt;/Year&gt;&lt;RecNum&gt;24&lt;/RecNum&gt;&lt;DisplayText&gt;[14]&lt;/DisplayText&gt;&lt;record&gt;&lt;rec-number&gt;24&lt;/rec-number&gt;&lt;foreign-keys&gt;&lt;key app="EN" db-id="2wazf5f082zrfieazeax5tf4wvxz9x59ts99" timestamp="1764084192"&gt;24&lt;/key&gt;&lt;/foreign-keys&gt;&lt;ref-type name="Journal Article"&gt;17&lt;/ref-type&gt;&lt;contributors&gt;&lt;authors&gt;&lt;author&gt;Lee, Jinhyuk&lt;/author&gt;&lt;author&gt;Yoon, Wonjin&lt;/author&gt;&lt;author&gt;Kim, Sungdong&lt;/author&gt;&lt;author&gt;Kim, Donghyeon&lt;/author&gt;&lt;author&gt;Kim, Sunkyu&lt;/author&gt;&lt;author&gt;So, Chan Ho&lt;/author&gt;&lt;author&gt;Kang, Jaewoo&lt;/author&gt;&lt;/authors&gt;&lt;/contributors&gt;&lt;titles&gt;&lt;title&gt;BioBERT: a pre-trained biomedical language representation model for biomedical text mining&lt;/title&gt;&lt;secondary-title&gt;Bioinformatics&lt;/secondary-title&gt;&lt;/titles&gt;&lt;periodical&gt;&lt;full-title&gt;Bioinformatics&lt;/full-title&gt;&lt;/periodical&gt;&lt;pages&gt;1234-1240&lt;/pages&gt;&lt;volume&gt;36&lt;/volume&gt;&lt;number&gt;4&lt;/number&gt;&lt;dates&gt;&lt;year&gt;2020&lt;/year&gt;&lt;/dates&gt;&lt;isbn&gt;1367-4803&lt;/isbn&gt;&lt;urls&gt;&lt;/urls&gt;&lt;/record&gt;&lt;/Cite&gt;&lt;/EndNote&gt;</w:instrText>
      </w:r>
      <w:r>
        <w:fldChar w:fldCharType="separate"/>
      </w:r>
      <w:r>
        <w:rPr>
          <w:noProof/>
        </w:rPr>
        <w:t>[14]</w:t>
      </w:r>
      <w:r>
        <w:fldChar w:fldCharType="end"/>
      </w:r>
      <w:r w:rsidRPr="00182ADC">
        <w:t>, ClinicalBERT</w:t>
      </w:r>
      <w:r>
        <w:fldChar w:fldCharType="begin"/>
      </w:r>
      <w:r>
        <w:instrText xml:space="preserve"> ADDIN EN.CITE &lt;EndNote&gt;&lt;Cite&gt;&lt;Author&gt;Huang&lt;/Author&gt;&lt;Year&gt;2019&lt;/Year&gt;&lt;RecNum&gt;25&lt;/RecNum&gt;&lt;DisplayText&gt;[15]&lt;/DisplayText&gt;&lt;record&gt;&lt;rec-number&gt;25&lt;/rec-number&gt;&lt;foreign-keys&gt;&lt;key app="EN" db-id="2wazf5f082zrfieazeax5tf4wvxz9x59ts99" timestamp="1764084225"&gt;25&lt;/key&gt;&lt;/foreign-keys&gt;&lt;ref-type name="Journal Article"&gt;17&lt;/ref-type&gt;&lt;contributors&gt;&lt;authors&gt;&lt;author&gt;Huang, Kexin&lt;/author&gt;&lt;author&gt;Altosaar, Jaan&lt;/author&gt;&lt;author&gt;Ranganath, Rajesh&lt;/author&gt;&lt;/authors&gt;&lt;/contributors&gt;&lt;titles&gt;&lt;title&gt;Clinicalbert: Modeling clinical notes and predicting hospital readmission&lt;/title&gt;&lt;secondary-title&gt;arXiv preprint arXiv:1904.05342&lt;/secondary-title&gt;&lt;/titles&gt;&lt;periodical&gt;&lt;full-title&gt;arXiv preprint arXiv:1904.05342&lt;/full-title&gt;&lt;/periodical&gt;&lt;dates&gt;&lt;year&gt;2019&lt;/year&gt;&lt;/dates&gt;&lt;urls&gt;&lt;/urls&gt;&lt;/record&gt;&lt;/Cite&gt;&lt;/EndNote&gt;</w:instrText>
      </w:r>
      <w:r>
        <w:fldChar w:fldCharType="separate"/>
      </w:r>
      <w:r>
        <w:rPr>
          <w:noProof/>
        </w:rPr>
        <w:t>[15]</w:t>
      </w:r>
      <w:r>
        <w:fldChar w:fldCharType="end"/>
      </w:r>
      <w:r w:rsidRPr="00182ADC">
        <w:t>, and Bio_ClinicalBERT</w:t>
      </w:r>
      <w:r>
        <w:fldChar w:fldCharType="begin"/>
      </w:r>
      <w:r>
        <w:instrText xml:space="preserve"> ADDIN EN.CITE &lt;EndNote&gt;&lt;Cite&gt;&lt;Author&gt;Lee&lt;/Author&gt;&lt;Year&gt;2025&lt;/Year&gt;&lt;RecNum&gt;26&lt;/RecNum&gt;&lt;DisplayText&gt;[16]&lt;/DisplayText&gt;&lt;record&gt;&lt;rec-number&gt;26&lt;/rec-number&gt;&lt;foreign-keys&gt;&lt;key app="EN" db-id="2wazf5f082zrfieazeax5tf4wvxz9x59ts99" timestamp="1764084329"&gt;26&lt;/key&gt;&lt;/foreign-keys&gt;&lt;ref-type name="Journal Article"&gt;17&lt;/ref-type&gt;&lt;contributors&gt;&lt;authors&gt;&lt;author&gt;Lee, Simon A&lt;/author&gt;&lt;author&gt;Wu, Anthony&lt;/author&gt;&lt;author&gt;Chiang, Jeffrey N&lt;/author&gt;&lt;/authors&gt;&lt;/contributors&gt;&lt;titles&gt;&lt;title&gt;Clinical modernbert: An efficient and long context encoder for biomedical text&lt;/title&gt;&lt;secondary-title&gt;arXiv preprint arXiv:2504.03964&lt;/secondary-title&gt;&lt;/titles&gt;&lt;periodical&gt;&lt;full-title&gt;arXiv preprint arXiv:2504.03964&lt;/full-title&gt;&lt;/periodical&gt;&lt;dates&gt;&lt;year&gt;2025&lt;/year&gt;&lt;/dates&gt;&lt;urls&gt;&lt;/urls&gt;&lt;/record&gt;&lt;/Cite&gt;&lt;/EndNote&gt;</w:instrText>
      </w:r>
      <w:r>
        <w:fldChar w:fldCharType="separate"/>
      </w:r>
      <w:r>
        <w:rPr>
          <w:noProof/>
        </w:rPr>
        <w:t>[16]</w:t>
      </w:r>
      <w:r>
        <w:fldChar w:fldCharType="end"/>
      </w:r>
      <w:r w:rsidRPr="00182ADC">
        <w:t xml:space="preserve"> using the VAERS data. BioBERT demonstrated superior precision and recall across key biomedical categories (</w:t>
      </w:r>
      <w:r w:rsidRPr="00182ADC">
        <w:rPr>
          <w:b/>
          <w:bCs/>
        </w:rPr>
        <w:t>Table</w:t>
      </w:r>
      <w:r>
        <w:rPr>
          <w:b/>
          <w:bCs/>
        </w:rPr>
        <w:t xml:space="preserve"> S2</w:t>
      </w:r>
      <w:r w:rsidRPr="00182ADC">
        <w:t>) and was selected as the</w:t>
      </w:r>
      <w:r>
        <w:t xml:space="preserve"> base model in this study</w:t>
      </w:r>
      <w:r w:rsidRPr="00182ADC">
        <w:t>.</w:t>
      </w:r>
    </w:p>
    <w:p w14:paraId="076C4510" w14:textId="77777777" w:rsidR="00514D02" w:rsidRDefault="00514D02" w:rsidP="00514D02"/>
    <w:p w14:paraId="5FA21A07" w14:textId="77777777" w:rsidR="00182ADC" w:rsidRPr="00182ADC" w:rsidRDefault="00182ADC" w:rsidP="00182ADC">
      <w:pPr>
        <w:pStyle w:val="Heading2"/>
      </w:pPr>
      <w:r w:rsidRPr="00182ADC">
        <w:t>2.</w:t>
      </w:r>
      <w:r w:rsidR="00B112F7">
        <w:t>4</w:t>
      </w:r>
      <w:r w:rsidRPr="00182ADC">
        <w:t xml:space="preserve"> Evaluation Metrics</w:t>
      </w:r>
    </w:p>
    <w:p w14:paraId="68CD669E" w14:textId="77777777" w:rsidR="0044556F" w:rsidRDefault="00182ADC" w:rsidP="00595C3A">
      <w:r w:rsidRPr="00182ADC">
        <w:t xml:space="preserve">Model performance was evaluated using </w:t>
      </w:r>
      <w:r w:rsidR="00C07753">
        <w:t xml:space="preserve">mention-level matching </w:t>
      </w:r>
      <w:r w:rsidRPr="00182ADC">
        <w:t>adapted from ADE-Eval</w:t>
      </w:r>
      <w:r w:rsidR="00A53D7A">
        <w:fldChar w:fldCharType="begin">
          <w:fldData xml:space="preserve">PEVuZE5vdGU+PENpdGU+PEF1dGhvcj5CYXllcjwvQXV0aG9yPjxZZWFyPjIwMjE8L1llYXI+PFJl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</w:fldData>
        </w:fldChar>
      </w:r>
      <w:r w:rsidR="00C04CE9">
        <w:instrText xml:space="preserve"> ADDIN EN.CITE </w:instrText>
      </w:r>
      <w:r w:rsidR="00C04CE9">
        <w:fldChar w:fldCharType="begin">
          <w:fldData xml:space="preserve">PEVuZE5vdGU+PENpdGU+PEF1dGhvcj5CYXllcjwvQXV0aG9yPjxZZWFyPjIwMjE8L1llYXI+PFJl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</w:fldData>
        </w:fldChar>
      </w:r>
      <w:r w:rsidR="00C04CE9">
        <w:instrText xml:space="preserve"> ADDIN EN.CITE.DATA </w:instrText>
      </w:r>
      <w:r w:rsidR="00C04CE9">
        <w:fldChar w:fldCharType="end"/>
      </w:r>
      <w:r w:rsidR="00A53D7A">
        <w:fldChar w:fldCharType="separate"/>
      </w:r>
      <w:r w:rsidR="00C04CE9">
        <w:rPr>
          <w:noProof/>
        </w:rPr>
        <w:t>[17]</w:t>
      </w:r>
      <w:r w:rsidR="00A53D7A">
        <w:fldChar w:fldCharType="end"/>
      </w:r>
      <w:r w:rsidRPr="00182ADC">
        <w:t xml:space="preserve">. </w:t>
      </w:r>
      <w:r w:rsidR="009051E5">
        <w:t>S</w:t>
      </w:r>
      <w:r w:rsidR="0044556F" w:rsidRPr="0044556F">
        <w:t xml:space="preserve">ystem predictions </w:t>
      </w:r>
      <w:r w:rsidR="009051E5">
        <w:t xml:space="preserve">were categorized </w:t>
      </w:r>
      <w:r w:rsidR="007E7C8D">
        <w:t>as Match (M), Conflation (C), Spurious (S)</w:t>
      </w:r>
      <w:r w:rsidR="00E70484">
        <w:t>,</w:t>
      </w:r>
      <w:r w:rsidR="007E7C8D">
        <w:t xml:space="preserve"> and Null (N).</w:t>
      </w:r>
      <w:r w:rsidR="00A2349B">
        <w:t xml:space="preserve"> </w:t>
      </w:r>
      <w:r w:rsidR="00A2349B" w:rsidRPr="00A2349B">
        <w:t>Match denotes an exact span and label match; Conflation denotes an overlapping span with inexact boundaries under the same label</w:t>
      </w:r>
      <w:r w:rsidR="00A2349B">
        <w:t>, or a mis-label annotation</w:t>
      </w:r>
      <w:r w:rsidR="00A2349B" w:rsidRPr="00A2349B">
        <w:t>; Spurious denotes a predicted entity without a corresponding reference match; and Null denotes a reference entity that was not identified.</w:t>
      </w:r>
    </w:p>
    <w:p w14:paraId="2AE6A0B4" w14:textId="77777777" w:rsidR="00D87E23" w:rsidRPr="005064A1" w:rsidRDefault="00D87E23" w:rsidP="00D87E23">
      <w:pPr>
        <w:rPr>
          <w:iCs/>
        </w:rPr>
      </w:pPr>
      <w:r w:rsidRPr="005064A1">
        <w:rPr>
          <w:iCs/>
        </w:rPr>
        <w:t xml:space="preserve">For example, an automated prediction of </w:t>
      </w:r>
      <w:r w:rsidRPr="005064A1">
        <w:rPr>
          <w:i/>
          <w:iCs/>
        </w:rPr>
        <w:t>“hypoglycemia”</w:t>
      </w:r>
      <w:r w:rsidRPr="005064A1">
        <w:rPr>
          <w:iCs/>
        </w:rPr>
        <w:t xml:space="preserve"> as AE that exactly matches the reference span and label is classified as a Match (M). A prediction is classified as Conflation (C) when it identifies the same underlying text region but does not exactly reproduce the reference annotation. Conflation includes both boundary inexactness, for example predicting </w:t>
      </w:r>
      <w:r w:rsidRPr="005064A1">
        <w:rPr>
          <w:i/>
          <w:iCs/>
        </w:rPr>
        <w:t>“severe hypoglycemia”</w:t>
      </w:r>
      <w:r w:rsidRPr="005064A1">
        <w:rPr>
          <w:iCs/>
        </w:rPr>
        <w:t xml:space="preserve"> when the reference span is </w:t>
      </w:r>
      <w:r w:rsidRPr="005064A1">
        <w:rPr>
          <w:i/>
          <w:iCs/>
        </w:rPr>
        <w:t>“hypoglycemia”</w:t>
      </w:r>
      <w:r w:rsidRPr="005064A1">
        <w:rPr>
          <w:iCs/>
        </w:rPr>
        <w:t xml:space="preserve">, and category misclassification, for example identifying </w:t>
      </w:r>
      <w:r w:rsidRPr="005064A1">
        <w:rPr>
          <w:i/>
          <w:iCs/>
        </w:rPr>
        <w:t>“hypoglycemia”</w:t>
      </w:r>
      <w:r w:rsidRPr="005064A1">
        <w:rPr>
          <w:iCs/>
        </w:rPr>
        <w:t xml:space="preserve"> but labeling it as DX rather than AE. A Spurious (S) prediction is a predicted entity with no character overlap </w:t>
      </w:r>
      <w:r w:rsidRPr="005064A1">
        <w:rPr>
          <w:iCs/>
        </w:rPr>
        <w:lastRenderedPageBreak/>
        <w:t xml:space="preserve">with any reference entity, whereas Null (N) represents a reference entity for which no overlapping prediction is produced, such as failing to identify </w:t>
      </w:r>
      <w:r w:rsidRPr="005064A1">
        <w:rPr>
          <w:i/>
          <w:iCs/>
        </w:rPr>
        <w:t>“somnolence”</w:t>
      </w:r>
      <w:r w:rsidRPr="005064A1">
        <w:rPr>
          <w:iCs/>
        </w:rPr>
        <w:t>.</w:t>
      </w:r>
    </w:p>
    <w:p w14:paraId="6CAFE30B" w14:textId="77777777" w:rsidR="00D87E23" w:rsidRPr="005064A1" w:rsidRDefault="00D87E23" w:rsidP="00D87E23">
      <w:pPr>
        <w:rPr>
          <w:iCs/>
        </w:rPr>
      </w:pPr>
      <w:r w:rsidRPr="005064A1">
        <w:rPr>
          <w:iCs/>
        </w:rPr>
        <w:t>We evaluated model performance using two complementary evaluation schemes. The primary scheme was a strict exact-match NER evaluation, in which a prediction was counted as correct only when both its span boundaries and entity label exactly matched the reference annotation. Under this scheme, precision and recall were calculated as below:</w:t>
      </w:r>
    </w:p>
    <w:p w14:paraId="32A60C0A" w14:textId="77777777" w:rsidR="00FC0890" w:rsidRPr="005064A1" w:rsidRDefault="00000000" w:rsidP="00D87E23">
      <w:pPr>
        <w:rPr>
          <w:iCs/>
        </w:rPr>
      </w:pPr>
      <m:oMathPara>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 xml:space="preserve">=M/(M+C+S) </m:t>
          </m:r>
        </m:oMath>
      </m:oMathPara>
    </w:p>
    <w:p w14:paraId="2728BCF7" w14:textId="77777777" w:rsidR="00FC0890" w:rsidRPr="005064A1" w:rsidRDefault="00000000" w:rsidP="00FC0890">
      <w:pPr>
        <w:rPr>
          <w:iCs/>
        </w:rPr>
      </w:pPr>
      <m:oMathPara>
        <m:oMath>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=M/(M+C+N)</m:t>
          </m:r>
        </m:oMath>
      </m:oMathPara>
    </w:p>
    <w:p w14:paraId="60E627B2" w14:textId="77777777" w:rsidR="00FC0890" w:rsidRPr="005064A1" w:rsidRDefault="00FC0890" w:rsidP="00D87E23">
      <w:pPr>
        <w:rPr>
          <w:iCs/>
        </w:rPr>
      </w:pPr>
    </w:p>
    <w:p w14:paraId="788DBAF1" w14:textId="77777777" w:rsidR="004B03A5" w:rsidRPr="005064A1" w:rsidRDefault="00D87E23" w:rsidP="00595C3A">
      <w:pPr>
        <w:rPr>
          <w:iCs/>
        </w:rPr>
      </w:pPr>
      <w:r w:rsidRPr="005064A1">
        <w:rPr>
          <w:iCs/>
        </w:rPr>
        <w:t xml:space="preserve">The secondary scheme was an adapted ADE-Eval weighted evaluation. In this scheme, an exact Match receives full credit, while a Conflation receives 0.5 partial credit. Spurious predictions are assigned a 0.25 penalty weight, whereas completely missed reference entities (N) retain their full penalty. Weighted precision and recall were therefore calculated as </w:t>
      </w:r>
      <w:r w:rsidR="004B03A5" w:rsidRPr="005064A1">
        <w:rPr>
          <w:iCs/>
        </w:rPr>
        <w:t>below:</w:t>
      </w:r>
    </w:p>
    <w:p w14:paraId="7049A33D" w14:textId="77777777" w:rsidR="004B03A5" w:rsidRPr="005064A1" w:rsidRDefault="00000000" w:rsidP="004B03A5">
      <w:pPr>
        <w:rPr>
          <w:iCs/>
        </w:rPr>
      </w:pPr>
      <m:oMathPara>
        <m:oMath>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 xml:space="preserve">=(M+0.5C)/(M+C+0.25S) </m:t>
          </m:r>
        </m:oMath>
      </m:oMathPara>
    </w:p>
    <w:p w14:paraId="54084662" w14:textId="77777777" w:rsidR="004B03A5" w:rsidRPr="005064A1" w:rsidRDefault="00000000" w:rsidP="004B03A5">
      <w:pPr>
        <w:rPr>
          <w:iCs/>
        </w:rPr>
      </w:pPr>
      <m:oMathPara>
        <m:oMath>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=(M+0.5C)/(M+C+N)</m:t>
          </m:r>
        </m:oMath>
      </m:oMathPara>
    </w:p>
    <w:p w14:paraId="5C80F4BE" w14:textId="77777777" w:rsidR="004B03A5" w:rsidRPr="005064A1" w:rsidRDefault="004B03A5" w:rsidP="00595C3A">
      <w:pPr>
        <w:rPr>
          <w:iCs/>
        </w:rPr>
      </w:pPr>
    </w:p>
    <w:p w14:paraId="5A3A0061" w14:textId="77777777" w:rsidR="00600CBF" w:rsidRDefault="00D87E23" w:rsidP="00600CBF">
      <w:r w:rsidRPr="005064A1">
        <w:rPr>
          <w:iCs/>
        </w:rPr>
        <w:t xml:space="preserve">F1 was calculated as the harmonic </w:t>
      </w:r>
      <w:r w:rsidR="00191C4E" w:rsidRPr="005064A1">
        <w:rPr>
          <w:iCs/>
        </w:rPr>
        <w:t>means</w:t>
      </w:r>
      <w:r w:rsidRPr="005064A1">
        <w:rPr>
          <w:iCs/>
        </w:rPr>
        <w:t xml:space="preserve"> of precision and recall under each scheme</w:t>
      </w:r>
      <w:r w:rsidR="00783817" w:rsidRPr="005064A1">
        <w:rPr>
          <w:iCs/>
        </w:rPr>
        <w:t>,</w:t>
      </w:r>
      <w:r w:rsidRPr="005064A1">
        <w:rPr>
          <w:iCs/>
        </w:rPr>
        <w:t xml:space="preserve"> </w:t>
      </w:r>
      <w:r w:rsidR="00783817" w:rsidRPr="005064A1">
        <w:rPr>
          <w:iCs/>
        </w:rPr>
        <w:t xml:space="preserve">all P/R/F1 were measured in Micro-Level; </w:t>
      </w:r>
      <w:r w:rsidRPr="005064A1">
        <w:rPr>
          <w:iCs/>
        </w:rPr>
        <w:t>per-category metrics were reported separately.</w:t>
      </w:r>
      <w:r w:rsidR="00783817" w:rsidRPr="005064A1">
        <w:rPr>
          <w:iCs/>
        </w:rPr>
        <w:t xml:space="preserve"> </w:t>
      </w:r>
    </w:p>
    <w:p w14:paraId="7E2D5D87" w14:textId="77777777" w:rsidR="002F7410" w:rsidRDefault="002F7410" w:rsidP="00600CBF"/>
    <w:p w14:paraId="2D6A1182" w14:textId="77777777" w:rsidR="00446306" w:rsidRPr="00446306" w:rsidRDefault="00446306" w:rsidP="007C18AB">
      <w:pPr>
        <w:pStyle w:val="Heading1"/>
      </w:pPr>
      <w:r w:rsidRPr="00446306">
        <w:t>3. Results</w:t>
      </w:r>
    </w:p>
    <w:p w14:paraId="592E7FAB" w14:textId="77777777" w:rsidR="00AA53A2" w:rsidRPr="00AA53A2" w:rsidRDefault="00AA53A2" w:rsidP="00AA53A2">
      <w:pPr>
        <w:pStyle w:val="Heading2"/>
      </w:pPr>
      <w:r w:rsidRPr="00AA53A2">
        <w:t>3.1 Annotation Statistics</w:t>
      </w:r>
    </w:p>
    <w:p w14:paraId="67E49BFC" w14:textId="77777777" w:rsidR="00BB791D" w:rsidRDefault="008775F6">
      <w:pPr>
        <w:rPr>
          <w:b/>
          <w:bCs/>
        </w:rPr>
      </w:pPr>
      <w:r>
        <w:t>H</w:t>
      </w:r>
      <w:r w:rsidR="00AA53A2" w:rsidRPr="00AA53A2">
        <w:t>uman annotators labeled entities according to 1</w:t>
      </w:r>
      <w:r w:rsidR="00991104">
        <w:t>7</w:t>
      </w:r>
      <w:r w:rsidR="00AA53A2" w:rsidRPr="00AA53A2">
        <w:t xml:space="preserve"> clinical concept categories</w:t>
      </w:r>
      <w:r w:rsidR="00CF0DF1">
        <w:t xml:space="preserve">, as summarized in </w:t>
      </w:r>
      <w:r w:rsidR="00CF0DF1" w:rsidRPr="00CF0DF1">
        <w:rPr>
          <w:b/>
          <w:bCs/>
        </w:rPr>
        <w:t xml:space="preserve">Table </w:t>
      </w:r>
      <w:r w:rsidR="001471C0">
        <w:rPr>
          <w:b/>
          <w:bCs/>
        </w:rPr>
        <w:t>2</w:t>
      </w:r>
      <w:r w:rsidR="001471C0" w:rsidRPr="00571579">
        <w:t xml:space="preserve">. </w:t>
      </w:r>
      <w:r w:rsidR="001471C0">
        <w:t xml:space="preserve">The </w:t>
      </w:r>
      <w:r w:rsidR="00FB509E">
        <w:t xml:space="preserve">annotations from ETHER and LLM approaches </w:t>
      </w:r>
      <w:r w:rsidR="00807104">
        <w:t xml:space="preserve">were also </w:t>
      </w:r>
      <w:r w:rsidR="00342097">
        <w:t>included.</w:t>
      </w:r>
      <w:r w:rsidR="00BB791D">
        <w:rPr>
          <w:b/>
          <w:bCs/>
        </w:rPr>
        <w:br w:type="page"/>
      </w:r>
    </w:p>
    <w:p w14:paraId="4840FCB8" w14:textId="77777777" w:rsidR="00F70846" w:rsidRDefault="00F70846" w:rsidP="00853583">
      <w:r w:rsidRPr="00853583">
        <w:rPr>
          <w:b/>
          <w:bCs/>
        </w:rPr>
        <w:lastRenderedPageBreak/>
        <w:t xml:space="preserve">Table </w:t>
      </w:r>
      <w:r w:rsidR="000A1F01">
        <w:rPr>
          <w:b/>
          <w:bCs/>
        </w:rPr>
        <w:t>2</w:t>
      </w:r>
      <w:r w:rsidRPr="00853583">
        <w:rPr>
          <w:rFonts w:hint="eastAsia"/>
          <w:b/>
          <w:bCs/>
        </w:rPr>
        <w:t>.</w:t>
      </w:r>
      <w:r>
        <w:rPr>
          <w:rFonts w:hint="eastAsia"/>
        </w:rPr>
        <w:t xml:space="preserve"> </w:t>
      </w:r>
      <w:r>
        <w:t xml:space="preserve">FAERS </w:t>
      </w:r>
      <w:r>
        <w:rPr>
          <w:rFonts w:hint="eastAsia"/>
        </w:rPr>
        <w:t>annotations</w:t>
      </w:r>
      <w:r w:rsidR="003D422D">
        <w:t>, categorized</w:t>
      </w:r>
      <w:r>
        <w:rPr>
          <w:rFonts w:hint="eastAsia"/>
        </w:rPr>
        <w:t xml:space="preserve"> </w:t>
      </w:r>
      <w:r w:rsidR="00BE5166">
        <w:t>by</w:t>
      </w:r>
      <w:r>
        <w:rPr>
          <w:rFonts w:hint="eastAsia"/>
        </w:rPr>
        <w:t xml:space="preserve"> </w:t>
      </w:r>
      <w:r w:rsidR="00BE5166">
        <w:t>Human</w:t>
      </w:r>
      <w:r>
        <w:rPr>
          <w:rFonts w:hint="eastAsia"/>
        </w:rPr>
        <w:t>, ETHER</w:t>
      </w:r>
      <w:r>
        <w:t xml:space="preserve"> and LLM</w:t>
      </w:r>
    </w:p>
    <w:tbl>
      <w:tblPr>
        <w:tblStyle w:val="PlainTable2"/>
        <w:tblW w:w="0" w:type="auto"/>
        <w:tblLook w:val="04A0" w:firstRow="1" w:lastRow="0" w:firstColumn="1" w:lastColumn="0" w:noHBand="0" w:noVBand="1"/>
      </w:tblPr>
      <w:tblGrid>
        <w:gridCol w:w="1440"/>
        <w:gridCol w:w="1440"/>
        <w:gridCol w:w="1440"/>
        <w:gridCol w:w="1440"/>
      </w:tblGrid>
      <w:tr w:rsidR="001A1E2A" w:rsidRPr="001A1E2A" w14:paraId="6696616E" w14:textId="77777777" w:rsidTr="00DC788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002C0773" w14:textId="77777777" w:rsidR="001A1E2A" w:rsidRPr="001A1E2A" w:rsidRDefault="001A1E2A" w:rsidP="00DC7883">
            <w:pPr>
              <w:contextualSpacing/>
              <w:jc w:val="center"/>
              <w:rPr>
                <w:b w:val="0"/>
                <w:bCs w:val="0"/>
              </w:rPr>
            </w:pPr>
            <w:r w:rsidRPr="001A1E2A">
              <w:t>Category</w:t>
            </w:r>
          </w:p>
        </w:tc>
        <w:tc>
          <w:tcPr>
            <w:tcW w:w="1440" w:type="dxa"/>
            <w:vAlign w:val="center"/>
            <w:hideMark/>
          </w:tcPr>
          <w:p w14:paraId="342669C5" w14:textId="77777777" w:rsidR="001A1E2A" w:rsidRPr="001A1E2A" w:rsidRDefault="001A1E2A" w:rsidP="00DC7883">
            <w:pPr>
              <w:contextualSpacing/>
              <w:jc w:val="center"/>
              <w:cnfStyle w:val="100000000000" w:firstRow="1" w:lastRow="0" w:firstColumn="0" w:lastColumn="0" w:oddVBand="0" w:evenVBand="0" w:oddHBand="0" w:evenHBand="0" w:firstRowFirstColumn="0" w:firstRowLastColumn="0" w:lastRowFirstColumn="0" w:lastRowLastColumn="0"/>
              <w:rPr>
                <w:b w:val="0"/>
                <w:bCs w:val="0"/>
              </w:rPr>
            </w:pPr>
            <w:r w:rsidRPr="001A1E2A">
              <w:t>Human</w:t>
            </w:r>
          </w:p>
        </w:tc>
        <w:tc>
          <w:tcPr>
            <w:tcW w:w="1440" w:type="dxa"/>
            <w:vAlign w:val="center"/>
            <w:hideMark/>
          </w:tcPr>
          <w:p w14:paraId="40B47DBD" w14:textId="77777777" w:rsidR="001A1E2A" w:rsidRPr="001A1E2A" w:rsidRDefault="001A1E2A" w:rsidP="00DC7883">
            <w:pPr>
              <w:contextualSpacing/>
              <w:jc w:val="center"/>
              <w:cnfStyle w:val="100000000000" w:firstRow="1" w:lastRow="0" w:firstColumn="0" w:lastColumn="0" w:oddVBand="0" w:evenVBand="0" w:oddHBand="0" w:evenHBand="0" w:firstRowFirstColumn="0" w:firstRowLastColumn="0" w:lastRowFirstColumn="0" w:lastRowLastColumn="0"/>
              <w:rPr>
                <w:b w:val="0"/>
                <w:bCs w:val="0"/>
              </w:rPr>
            </w:pPr>
            <w:r w:rsidRPr="001A1E2A">
              <w:t>ETHER</w:t>
            </w:r>
          </w:p>
        </w:tc>
        <w:tc>
          <w:tcPr>
            <w:tcW w:w="1440" w:type="dxa"/>
            <w:vAlign w:val="center"/>
            <w:hideMark/>
          </w:tcPr>
          <w:p w14:paraId="67489559" w14:textId="77777777" w:rsidR="001A1E2A" w:rsidRPr="001A1E2A" w:rsidRDefault="001A1E2A" w:rsidP="00DC7883">
            <w:pPr>
              <w:contextualSpacing/>
              <w:jc w:val="center"/>
              <w:cnfStyle w:val="100000000000" w:firstRow="1" w:lastRow="0" w:firstColumn="0" w:lastColumn="0" w:oddVBand="0" w:evenVBand="0" w:oddHBand="0" w:evenHBand="0" w:firstRowFirstColumn="0" w:firstRowLastColumn="0" w:lastRowFirstColumn="0" w:lastRowLastColumn="0"/>
              <w:rPr>
                <w:b w:val="0"/>
                <w:bCs w:val="0"/>
              </w:rPr>
            </w:pPr>
            <w:r w:rsidRPr="001A1E2A">
              <w:t>LLM</w:t>
            </w:r>
          </w:p>
        </w:tc>
      </w:tr>
      <w:tr w:rsidR="008011B4" w:rsidRPr="001A1E2A" w14:paraId="70B8216F"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32249A98" w14:textId="77777777" w:rsidR="008011B4" w:rsidRPr="001A1E2A" w:rsidRDefault="008011B4" w:rsidP="00DC7883">
            <w:pPr>
              <w:contextualSpacing/>
              <w:jc w:val="center"/>
            </w:pPr>
            <w:proofErr w:type="spellStart"/>
            <w:r w:rsidRPr="001A1E2A">
              <w:t>SDrug</w:t>
            </w:r>
            <w:proofErr w:type="spellEnd"/>
          </w:p>
        </w:tc>
        <w:tc>
          <w:tcPr>
            <w:tcW w:w="1440" w:type="dxa"/>
            <w:vAlign w:val="center"/>
            <w:hideMark/>
          </w:tcPr>
          <w:p w14:paraId="414B86B2" w14:textId="77777777" w:rsidR="008011B4" w:rsidRPr="001A1E2A" w:rsidRDefault="008011B4"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3,501</w:t>
            </w:r>
          </w:p>
        </w:tc>
        <w:tc>
          <w:tcPr>
            <w:tcW w:w="1440" w:type="dxa"/>
            <w:vMerge w:val="restart"/>
            <w:vAlign w:val="center"/>
            <w:hideMark/>
          </w:tcPr>
          <w:p w14:paraId="097B2D77" w14:textId="77777777" w:rsidR="008011B4" w:rsidRPr="001A1E2A" w:rsidRDefault="008011B4" w:rsidP="00DC7883">
            <w:pPr>
              <w:contextualSpacing/>
              <w:jc w:val="center"/>
              <w:cnfStyle w:val="000000100000" w:firstRow="0" w:lastRow="0" w:firstColumn="0" w:lastColumn="0" w:oddVBand="0" w:evenVBand="0" w:oddHBand="1" w:evenHBand="0" w:firstRowFirstColumn="0" w:firstRowLastColumn="0" w:lastRowFirstColumn="0" w:lastRowLastColumn="0"/>
            </w:pPr>
            <w:r>
              <w:t>17164</w:t>
            </w:r>
            <w:r w:rsidRPr="001A1E2A">
              <w:t>†</w:t>
            </w:r>
          </w:p>
        </w:tc>
        <w:tc>
          <w:tcPr>
            <w:tcW w:w="1440" w:type="dxa"/>
            <w:vAlign w:val="center"/>
            <w:hideMark/>
          </w:tcPr>
          <w:p w14:paraId="558BD6B1" w14:textId="77777777" w:rsidR="008011B4" w:rsidRPr="001A1E2A" w:rsidRDefault="008011B4"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2,181</w:t>
            </w:r>
          </w:p>
        </w:tc>
      </w:tr>
      <w:tr w:rsidR="008011B4" w:rsidRPr="001A1E2A" w14:paraId="06966CB3"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2E7970F" w14:textId="77777777" w:rsidR="008011B4" w:rsidRPr="001A1E2A" w:rsidRDefault="008011B4" w:rsidP="00DC7883">
            <w:pPr>
              <w:contextualSpacing/>
              <w:jc w:val="center"/>
            </w:pPr>
            <w:proofErr w:type="spellStart"/>
            <w:r w:rsidRPr="001A1E2A">
              <w:t>CDrug</w:t>
            </w:r>
            <w:proofErr w:type="spellEnd"/>
          </w:p>
        </w:tc>
        <w:tc>
          <w:tcPr>
            <w:tcW w:w="1440" w:type="dxa"/>
            <w:vAlign w:val="center"/>
            <w:hideMark/>
          </w:tcPr>
          <w:p w14:paraId="699AFE7A" w14:textId="77777777" w:rsidR="008011B4" w:rsidRPr="001A1E2A" w:rsidRDefault="008011B4"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2,928</w:t>
            </w:r>
          </w:p>
        </w:tc>
        <w:tc>
          <w:tcPr>
            <w:tcW w:w="1440" w:type="dxa"/>
            <w:vMerge/>
            <w:vAlign w:val="center"/>
            <w:hideMark/>
          </w:tcPr>
          <w:p w14:paraId="7A217AF7" w14:textId="77777777" w:rsidR="008011B4" w:rsidRPr="001A1E2A" w:rsidRDefault="008011B4" w:rsidP="00DC7883">
            <w:pPr>
              <w:contextualSpacing/>
              <w:jc w:val="center"/>
              <w:cnfStyle w:val="000000000000" w:firstRow="0" w:lastRow="0" w:firstColumn="0" w:lastColumn="0" w:oddVBand="0" w:evenVBand="0" w:oddHBand="0" w:evenHBand="0" w:firstRowFirstColumn="0" w:firstRowLastColumn="0" w:lastRowFirstColumn="0" w:lastRowLastColumn="0"/>
            </w:pPr>
          </w:p>
        </w:tc>
        <w:tc>
          <w:tcPr>
            <w:tcW w:w="1440" w:type="dxa"/>
            <w:vAlign w:val="center"/>
            <w:hideMark/>
          </w:tcPr>
          <w:p w14:paraId="71773E1A" w14:textId="77777777" w:rsidR="008011B4" w:rsidRPr="001A1E2A" w:rsidRDefault="008011B4"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2,491</w:t>
            </w:r>
          </w:p>
        </w:tc>
      </w:tr>
      <w:tr w:rsidR="008011B4" w:rsidRPr="001A1E2A" w14:paraId="3AB805BE"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53D4CF3D" w14:textId="77777777" w:rsidR="008011B4" w:rsidRPr="001A1E2A" w:rsidRDefault="008011B4" w:rsidP="00DC7883">
            <w:pPr>
              <w:contextualSpacing/>
              <w:jc w:val="center"/>
            </w:pPr>
            <w:proofErr w:type="spellStart"/>
            <w:r>
              <w:t>Odrug</w:t>
            </w:r>
            <w:proofErr w:type="spellEnd"/>
          </w:p>
        </w:tc>
        <w:tc>
          <w:tcPr>
            <w:tcW w:w="1440" w:type="dxa"/>
            <w:vAlign w:val="center"/>
            <w:hideMark/>
          </w:tcPr>
          <w:p w14:paraId="261F4A8D" w14:textId="77777777" w:rsidR="008011B4" w:rsidRPr="001A1E2A" w:rsidRDefault="008011B4"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245</w:t>
            </w:r>
          </w:p>
        </w:tc>
        <w:tc>
          <w:tcPr>
            <w:tcW w:w="1440" w:type="dxa"/>
            <w:vMerge/>
            <w:vAlign w:val="center"/>
            <w:hideMark/>
          </w:tcPr>
          <w:p w14:paraId="197BD293" w14:textId="77777777" w:rsidR="008011B4" w:rsidRPr="001A1E2A" w:rsidRDefault="008011B4" w:rsidP="00DC7883">
            <w:pPr>
              <w:contextualSpacing/>
              <w:jc w:val="center"/>
              <w:cnfStyle w:val="000000100000" w:firstRow="0" w:lastRow="0" w:firstColumn="0" w:lastColumn="0" w:oddVBand="0" w:evenVBand="0" w:oddHBand="1" w:evenHBand="0" w:firstRowFirstColumn="0" w:firstRowLastColumn="0" w:lastRowFirstColumn="0" w:lastRowLastColumn="0"/>
            </w:pPr>
          </w:p>
        </w:tc>
        <w:tc>
          <w:tcPr>
            <w:tcW w:w="1440" w:type="dxa"/>
            <w:vAlign w:val="center"/>
            <w:hideMark/>
          </w:tcPr>
          <w:p w14:paraId="3E4A1297" w14:textId="77777777" w:rsidR="008011B4" w:rsidRPr="001A1E2A" w:rsidRDefault="008011B4"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1,310</w:t>
            </w:r>
          </w:p>
        </w:tc>
      </w:tr>
      <w:tr w:rsidR="001A1E2A" w:rsidRPr="001A1E2A" w14:paraId="35BEAE7C"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40C13087" w14:textId="77777777" w:rsidR="001A1E2A" w:rsidRPr="001A1E2A" w:rsidRDefault="001A1E2A" w:rsidP="00DC7883">
            <w:pPr>
              <w:contextualSpacing/>
              <w:jc w:val="center"/>
            </w:pPr>
            <w:r w:rsidRPr="001A1E2A">
              <w:t>Dose</w:t>
            </w:r>
          </w:p>
        </w:tc>
        <w:tc>
          <w:tcPr>
            <w:tcW w:w="1440" w:type="dxa"/>
            <w:vAlign w:val="center"/>
            <w:hideMark/>
          </w:tcPr>
          <w:p w14:paraId="4E6F711A"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1,621</w:t>
            </w:r>
          </w:p>
        </w:tc>
        <w:tc>
          <w:tcPr>
            <w:tcW w:w="1440" w:type="dxa"/>
            <w:vAlign w:val="center"/>
            <w:hideMark/>
          </w:tcPr>
          <w:p w14:paraId="2452C5EB" w14:textId="77777777" w:rsidR="001A1E2A" w:rsidRPr="00E509C4"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rPr>
                <w:i/>
                <w:iCs/>
              </w:rPr>
            </w:pPr>
            <w:r w:rsidRPr="00E509C4">
              <w:rPr>
                <w:i/>
                <w:iCs/>
              </w:rPr>
              <w:t>n/a</w:t>
            </w:r>
          </w:p>
        </w:tc>
        <w:tc>
          <w:tcPr>
            <w:tcW w:w="1440" w:type="dxa"/>
            <w:vAlign w:val="center"/>
            <w:hideMark/>
          </w:tcPr>
          <w:p w14:paraId="167F8930"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2,057</w:t>
            </w:r>
          </w:p>
        </w:tc>
      </w:tr>
      <w:tr w:rsidR="00BF4671" w:rsidRPr="001A1E2A" w14:paraId="279DDFB7"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F389FCA" w14:textId="77777777" w:rsidR="001A1E2A" w:rsidRPr="001A1E2A" w:rsidRDefault="001A1E2A" w:rsidP="00DC7883">
            <w:pPr>
              <w:contextualSpacing/>
              <w:jc w:val="center"/>
            </w:pPr>
            <w:r w:rsidRPr="001A1E2A">
              <w:t>Indication</w:t>
            </w:r>
          </w:p>
        </w:tc>
        <w:tc>
          <w:tcPr>
            <w:tcW w:w="1440" w:type="dxa"/>
            <w:vAlign w:val="center"/>
            <w:hideMark/>
          </w:tcPr>
          <w:p w14:paraId="6A56F2EE"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162</w:t>
            </w:r>
          </w:p>
        </w:tc>
        <w:tc>
          <w:tcPr>
            <w:tcW w:w="1440" w:type="dxa"/>
            <w:vAlign w:val="center"/>
            <w:hideMark/>
          </w:tcPr>
          <w:p w14:paraId="24B279B1" w14:textId="77777777" w:rsidR="001A1E2A" w:rsidRPr="00E509C4"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rPr>
                <w:i/>
                <w:iCs/>
              </w:rPr>
            </w:pPr>
            <w:r w:rsidRPr="00E509C4">
              <w:rPr>
                <w:i/>
                <w:iCs/>
              </w:rPr>
              <w:t>n/a</w:t>
            </w:r>
          </w:p>
        </w:tc>
        <w:tc>
          <w:tcPr>
            <w:tcW w:w="1440" w:type="dxa"/>
            <w:vAlign w:val="center"/>
            <w:hideMark/>
          </w:tcPr>
          <w:p w14:paraId="6DF33DFC"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1,368</w:t>
            </w:r>
          </w:p>
        </w:tc>
      </w:tr>
      <w:tr w:rsidR="001A1E2A" w:rsidRPr="001A1E2A" w14:paraId="000F6047"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E9C29FF" w14:textId="77777777" w:rsidR="001A1E2A" w:rsidRPr="001A1E2A" w:rsidRDefault="001A1E2A" w:rsidP="00DC7883">
            <w:pPr>
              <w:contextualSpacing/>
              <w:jc w:val="center"/>
            </w:pPr>
            <w:r w:rsidRPr="001A1E2A">
              <w:t>Treatment</w:t>
            </w:r>
          </w:p>
        </w:tc>
        <w:tc>
          <w:tcPr>
            <w:tcW w:w="1440" w:type="dxa"/>
            <w:vAlign w:val="center"/>
            <w:hideMark/>
          </w:tcPr>
          <w:p w14:paraId="78041684"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1,479</w:t>
            </w:r>
          </w:p>
        </w:tc>
        <w:tc>
          <w:tcPr>
            <w:tcW w:w="1440" w:type="dxa"/>
            <w:vAlign w:val="center"/>
            <w:hideMark/>
          </w:tcPr>
          <w:p w14:paraId="4FE0C1F5" w14:textId="77777777" w:rsidR="001A1E2A" w:rsidRPr="00E509C4"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rPr>
                <w:i/>
                <w:iCs/>
              </w:rPr>
            </w:pPr>
            <w:r w:rsidRPr="00E509C4">
              <w:rPr>
                <w:i/>
                <w:iCs/>
              </w:rPr>
              <w:t>n/a</w:t>
            </w:r>
          </w:p>
        </w:tc>
        <w:tc>
          <w:tcPr>
            <w:tcW w:w="1440" w:type="dxa"/>
            <w:vAlign w:val="center"/>
            <w:hideMark/>
          </w:tcPr>
          <w:p w14:paraId="7C7DC584"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1,472</w:t>
            </w:r>
          </w:p>
        </w:tc>
      </w:tr>
      <w:tr w:rsidR="006839FB" w:rsidRPr="001A1E2A" w14:paraId="438189DB"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8ED3911" w14:textId="77777777" w:rsidR="006839FB" w:rsidRPr="001A1E2A" w:rsidRDefault="006839FB" w:rsidP="00DC7883">
            <w:pPr>
              <w:contextualSpacing/>
              <w:jc w:val="center"/>
            </w:pPr>
            <w:r w:rsidRPr="001A1E2A">
              <w:t>AE</w:t>
            </w:r>
          </w:p>
        </w:tc>
        <w:tc>
          <w:tcPr>
            <w:tcW w:w="1440" w:type="dxa"/>
            <w:vAlign w:val="center"/>
            <w:hideMark/>
          </w:tcPr>
          <w:p w14:paraId="6FB320A2" w14:textId="77777777" w:rsidR="006839FB" w:rsidRPr="001A1E2A" w:rsidRDefault="006839FB"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9,080</w:t>
            </w:r>
          </w:p>
        </w:tc>
        <w:tc>
          <w:tcPr>
            <w:tcW w:w="1440" w:type="dxa"/>
            <w:vMerge w:val="restart"/>
            <w:vAlign w:val="center"/>
            <w:hideMark/>
          </w:tcPr>
          <w:p w14:paraId="45F7DE10" w14:textId="77777777" w:rsidR="006839FB" w:rsidRPr="001A1E2A" w:rsidRDefault="006839FB"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25,031†</w:t>
            </w:r>
          </w:p>
        </w:tc>
        <w:tc>
          <w:tcPr>
            <w:tcW w:w="1440" w:type="dxa"/>
            <w:vAlign w:val="center"/>
            <w:hideMark/>
          </w:tcPr>
          <w:p w14:paraId="510EE55A" w14:textId="77777777" w:rsidR="006839FB" w:rsidRPr="001A1E2A" w:rsidRDefault="006839FB"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6,311</w:t>
            </w:r>
          </w:p>
        </w:tc>
      </w:tr>
      <w:tr w:rsidR="006839FB" w:rsidRPr="001A1E2A" w14:paraId="284F24F0"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5B92806E" w14:textId="77777777" w:rsidR="006839FB" w:rsidRPr="001A1E2A" w:rsidRDefault="006839FB" w:rsidP="00DC7883">
            <w:pPr>
              <w:contextualSpacing/>
              <w:jc w:val="center"/>
            </w:pPr>
            <w:r w:rsidRPr="001A1E2A">
              <w:t>mAE</w:t>
            </w:r>
          </w:p>
        </w:tc>
        <w:tc>
          <w:tcPr>
            <w:tcW w:w="1440" w:type="dxa"/>
            <w:vAlign w:val="center"/>
            <w:hideMark/>
          </w:tcPr>
          <w:p w14:paraId="1E55EF0E" w14:textId="77777777" w:rsidR="006839FB" w:rsidRPr="001A1E2A" w:rsidRDefault="006839FB"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112</w:t>
            </w:r>
          </w:p>
        </w:tc>
        <w:tc>
          <w:tcPr>
            <w:tcW w:w="1440" w:type="dxa"/>
            <w:vMerge/>
            <w:vAlign w:val="center"/>
            <w:hideMark/>
          </w:tcPr>
          <w:p w14:paraId="61C09F8F" w14:textId="77777777" w:rsidR="006839FB" w:rsidRPr="001A1E2A" w:rsidRDefault="006839FB" w:rsidP="00DC7883">
            <w:pPr>
              <w:contextualSpacing/>
              <w:jc w:val="center"/>
              <w:cnfStyle w:val="000000000000" w:firstRow="0" w:lastRow="0" w:firstColumn="0" w:lastColumn="0" w:oddVBand="0" w:evenVBand="0" w:oddHBand="0" w:evenHBand="0" w:firstRowFirstColumn="0" w:firstRowLastColumn="0" w:lastRowFirstColumn="0" w:lastRowLastColumn="0"/>
            </w:pPr>
          </w:p>
        </w:tc>
        <w:tc>
          <w:tcPr>
            <w:tcW w:w="1440" w:type="dxa"/>
            <w:vAlign w:val="center"/>
            <w:hideMark/>
          </w:tcPr>
          <w:p w14:paraId="35B628FC" w14:textId="77777777" w:rsidR="006839FB" w:rsidRPr="001A1E2A" w:rsidRDefault="006839FB"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1,015</w:t>
            </w:r>
          </w:p>
        </w:tc>
      </w:tr>
      <w:tr w:rsidR="00BF4671" w:rsidRPr="001A1E2A" w14:paraId="16411E1D"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7F48D969" w14:textId="77777777" w:rsidR="001A1E2A" w:rsidRPr="001A1E2A" w:rsidRDefault="001A1E2A" w:rsidP="00DC7883">
            <w:pPr>
              <w:contextualSpacing/>
              <w:jc w:val="center"/>
            </w:pPr>
            <w:r w:rsidRPr="001A1E2A">
              <w:t>Dx</w:t>
            </w:r>
          </w:p>
        </w:tc>
        <w:tc>
          <w:tcPr>
            <w:tcW w:w="1440" w:type="dxa"/>
            <w:vAlign w:val="center"/>
            <w:hideMark/>
          </w:tcPr>
          <w:p w14:paraId="28C98343" w14:textId="77777777" w:rsidR="001A1E2A" w:rsidRPr="001A1E2A" w:rsidRDefault="004448C9" w:rsidP="00DC7883">
            <w:pPr>
              <w:contextualSpacing/>
              <w:jc w:val="center"/>
              <w:cnfStyle w:val="000000100000" w:firstRow="0" w:lastRow="0" w:firstColumn="0" w:lastColumn="0" w:oddVBand="0" w:evenVBand="0" w:oddHBand="1" w:evenHBand="0" w:firstRowFirstColumn="0" w:firstRowLastColumn="0" w:lastRowFirstColumn="0" w:lastRowLastColumn="0"/>
            </w:pPr>
            <w:r>
              <w:t>1783</w:t>
            </w:r>
          </w:p>
        </w:tc>
        <w:tc>
          <w:tcPr>
            <w:tcW w:w="1440" w:type="dxa"/>
            <w:vAlign w:val="center"/>
            <w:hideMark/>
          </w:tcPr>
          <w:p w14:paraId="55BD6D64"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4,344</w:t>
            </w:r>
          </w:p>
        </w:tc>
        <w:tc>
          <w:tcPr>
            <w:tcW w:w="1440" w:type="dxa"/>
            <w:vAlign w:val="center"/>
            <w:hideMark/>
          </w:tcPr>
          <w:p w14:paraId="5F1A7D2D"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9</w:t>
            </w:r>
            <w:r w:rsidR="004448C9">
              <w:t>41</w:t>
            </w:r>
          </w:p>
        </w:tc>
      </w:tr>
      <w:tr w:rsidR="001A1E2A" w:rsidRPr="001A1E2A" w14:paraId="5D3A3054"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5B2CEE30" w14:textId="77777777" w:rsidR="001A1E2A" w:rsidRPr="001A1E2A" w:rsidRDefault="001A1E2A" w:rsidP="00DC7883">
            <w:pPr>
              <w:contextualSpacing/>
              <w:jc w:val="center"/>
            </w:pPr>
            <w:r w:rsidRPr="001A1E2A">
              <w:t>Lab</w:t>
            </w:r>
          </w:p>
        </w:tc>
        <w:tc>
          <w:tcPr>
            <w:tcW w:w="1440" w:type="dxa"/>
            <w:vAlign w:val="center"/>
            <w:hideMark/>
          </w:tcPr>
          <w:p w14:paraId="65BA955B"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3,480</w:t>
            </w:r>
          </w:p>
        </w:tc>
        <w:tc>
          <w:tcPr>
            <w:tcW w:w="1440" w:type="dxa"/>
            <w:vAlign w:val="center"/>
            <w:hideMark/>
          </w:tcPr>
          <w:p w14:paraId="4200AFCE" w14:textId="77777777" w:rsidR="001A1E2A" w:rsidRPr="00E509C4"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rPr>
                <w:i/>
                <w:iCs/>
              </w:rPr>
            </w:pPr>
            <w:r w:rsidRPr="00E509C4">
              <w:rPr>
                <w:i/>
                <w:iCs/>
              </w:rPr>
              <w:t>n/a</w:t>
            </w:r>
          </w:p>
        </w:tc>
        <w:tc>
          <w:tcPr>
            <w:tcW w:w="1440" w:type="dxa"/>
            <w:vAlign w:val="center"/>
            <w:hideMark/>
          </w:tcPr>
          <w:p w14:paraId="2F655352"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2,362</w:t>
            </w:r>
          </w:p>
        </w:tc>
      </w:tr>
      <w:tr w:rsidR="00BF4671" w:rsidRPr="001A1E2A" w14:paraId="51598BE5"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1C5CE18E" w14:textId="77777777" w:rsidR="001A1E2A" w:rsidRPr="001A1E2A" w:rsidRDefault="001A1E2A" w:rsidP="00DC7883">
            <w:pPr>
              <w:contextualSpacing/>
              <w:jc w:val="center"/>
            </w:pPr>
            <w:r w:rsidRPr="001A1E2A">
              <w:t>Status</w:t>
            </w:r>
          </w:p>
        </w:tc>
        <w:tc>
          <w:tcPr>
            <w:tcW w:w="1440" w:type="dxa"/>
            <w:vAlign w:val="center"/>
            <w:hideMark/>
          </w:tcPr>
          <w:p w14:paraId="3245D2AA"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1,796</w:t>
            </w:r>
          </w:p>
        </w:tc>
        <w:tc>
          <w:tcPr>
            <w:tcW w:w="1440" w:type="dxa"/>
            <w:vAlign w:val="center"/>
            <w:hideMark/>
          </w:tcPr>
          <w:p w14:paraId="3BAF8193" w14:textId="77777777" w:rsidR="001A1E2A" w:rsidRPr="00E509C4"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rPr>
                <w:i/>
                <w:iCs/>
              </w:rPr>
            </w:pPr>
            <w:r w:rsidRPr="00E509C4">
              <w:rPr>
                <w:i/>
                <w:iCs/>
              </w:rPr>
              <w:t>n/a</w:t>
            </w:r>
          </w:p>
        </w:tc>
        <w:tc>
          <w:tcPr>
            <w:tcW w:w="1440" w:type="dxa"/>
            <w:vAlign w:val="center"/>
            <w:hideMark/>
          </w:tcPr>
          <w:p w14:paraId="570AB89F"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2,275</w:t>
            </w:r>
          </w:p>
        </w:tc>
      </w:tr>
      <w:tr w:rsidR="001A1E2A" w:rsidRPr="001A1E2A" w14:paraId="03DA1A9C"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7358ABC0" w14:textId="77777777" w:rsidR="001A1E2A" w:rsidRPr="001A1E2A" w:rsidRDefault="001A1E2A" w:rsidP="00DC7883">
            <w:pPr>
              <w:contextualSpacing/>
              <w:jc w:val="center"/>
            </w:pPr>
            <w:r w:rsidRPr="001A1E2A">
              <w:t>R/O</w:t>
            </w:r>
          </w:p>
        </w:tc>
        <w:tc>
          <w:tcPr>
            <w:tcW w:w="1440" w:type="dxa"/>
            <w:vAlign w:val="center"/>
            <w:hideMark/>
          </w:tcPr>
          <w:p w14:paraId="2BC1E39B"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9</w:t>
            </w:r>
          </w:p>
        </w:tc>
        <w:tc>
          <w:tcPr>
            <w:tcW w:w="1440" w:type="dxa"/>
            <w:vAlign w:val="center"/>
            <w:hideMark/>
          </w:tcPr>
          <w:p w14:paraId="484578B7"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33</w:t>
            </w:r>
          </w:p>
        </w:tc>
        <w:tc>
          <w:tcPr>
            <w:tcW w:w="1440" w:type="dxa"/>
            <w:vAlign w:val="center"/>
            <w:hideMark/>
          </w:tcPr>
          <w:p w14:paraId="2C34E24B"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83</w:t>
            </w:r>
          </w:p>
        </w:tc>
      </w:tr>
      <w:tr w:rsidR="00BF4671" w:rsidRPr="001A1E2A" w14:paraId="45852684"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613B9176" w14:textId="77777777" w:rsidR="001A1E2A" w:rsidRPr="001A1E2A" w:rsidRDefault="001A1E2A" w:rsidP="00DC7883">
            <w:pPr>
              <w:contextualSpacing/>
              <w:jc w:val="center"/>
            </w:pPr>
            <w:proofErr w:type="spellStart"/>
            <w:r w:rsidRPr="001A1E2A">
              <w:t>CoD</w:t>
            </w:r>
            <w:proofErr w:type="spellEnd"/>
          </w:p>
        </w:tc>
        <w:tc>
          <w:tcPr>
            <w:tcW w:w="1440" w:type="dxa"/>
            <w:vAlign w:val="center"/>
            <w:hideMark/>
          </w:tcPr>
          <w:p w14:paraId="45483DF3"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3</w:t>
            </w:r>
          </w:p>
        </w:tc>
        <w:tc>
          <w:tcPr>
            <w:tcW w:w="1440" w:type="dxa"/>
            <w:vAlign w:val="center"/>
            <w:hideMark/>
          </w:tcPr>
          <w:p w14:paraId="7F7D6432"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125</w:t>
            </w:r>
          </w:p>
        </w:tc>
        <w:tc>
          <w:tcPr>
            <w:tcW w:w="1440" w:type="dxa"/>
            <w:vAlign w:val="center"/>
            <w:hideMark/>
          </w:tcPr>
          <w:p w14:paraId="0879D8F7"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220</w:t>
            </w:r>
          </w:p>
        </w:tc>
      </w:tr>
      <w:tr w:rsidR="00BF4671" w:rsidRPr="001A1E2A" w14:paraId="450343ED"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202364EE" w14:textId="77777777" w:rsidR="001A1E2A" w:rsidRPr="001A1E2A" w:rsidRDefault="001A1E2A" w:rsidP="00DC7883">
            <w:pPr>
              <w:contextualSpacing/>
              <w:jc w:val="center"/>
            </w:pPr>
            <w:r w:rsidRPr="001A1E2A">
              <w:t>MHx</w:t>
            </w:r>
          </w:p>
        </w:tc>
        <w:tc>
          <w:tcPr>
            <w:tcW w:w="1440" w:type="dxa"/>
            <w:vAlign w:val="center"/>
            <w:hideMark/>
          </w:tcPr>
          <w:p w14:paraId="08E3C32D"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2,304</w:t>
            </w:r>
          </w:p>
        </w:tc>
        <w:tc>
          <w:tcPr>
            <w:tcW w:w="1440" w:type="dxa"/>
            <w:vAlign w:val="center"/>
            <w:hideMark/>
          </w:tcPr>
          <w:p w14:paraId="24C3381E"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755</w:t>
            </w:r>
          </w:p>
        </w:tc>
        <w:tc>
          <w:tcPr>
            <w:tcW w:w="1440" w:type="dxa"/>
            <w:vAlign w:val="center"/>
            <w:hideMark/>
          </w:tcPr>
          <w:p w14:paraId="704C9529"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2,830</w:t>
            </w:r>
          </w:p>
        </w:tc>
      </w:tr>
      <w:tr w:rsidR="001A1E2A" w:rsidRPr="001A1E2A" w14:paraId="0088509B"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2951A2A8" w14:textId="77777777" w:rsidR="001A1E2A" w:rsidRPr="001A1E2A" w:rsidRDefault="001A1E2A" w:rsidP="00DC7883">
            <w:pPr>
              <w:contextualSpacing/>
              <w:jc w:val="center"/>
            </w:pPr>
            <w:proofErr w:type="spellStart"/>
            <w:r w:rsidRPr="001A1E2A">
              <w:t>FHx</w:t>
            </w:r>
            <w:proofErr w:type="spellEnd"/>
          </w:p>
        </w:tc>
        <w:tc>
          <w:tcPr>
            <w:tcW w:w="1440" w:type="dxa"/>
            <w:vAlign w:val="center"/>
            <w:hideMark/>
          </w:tcPr>
          <w:p w14:paraId="3BD9CC6A"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105</w:t>
            </w:r>
          </w:p>
        </w:tc>
        <w:tc>
          <w:tcPr>
            <w:tcW w:w="1440" w:type="dxa"/>
            <w:vAlign w:val="center"/>
            <w:hideMark/>
          </w:tcPr>
          <w:p w14:paraId="2D83DFFE"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22</w:t>
            </w:r>
          </w:p>
        </w:tc>
        <w:tc>
          <w:tcPr>
            <w:tcW w:w="1440" w:type="dxa"/>
            <w:vAlign w:val="center"/>
            <w:hideMark/>
          </w:tcPr>
          <w:p w14:paraId="3734D2D0"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24</w:t>
            </w:r>
          </w:p>
        </w:tc>
      </w:tr>
      <w:tr w:rsidR="001A1E2A" w:rsidRPr="001A1E2A" w14:paraId="3A7BC81E" w14:textId="77777777" w:rsidTr="00DC7883">
        <w:trPr>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0888F206" w14:textId="77777777" w:rsidR="001A1E2A" w:rsidRPr="001A1E2A" w:rsidRDefault="001A1E2A" w:rsidP="00DC7883">
            <w:pPr>
              <w:contextualSpacing/>
              <w:jc w:val="center"/>
            </w:pPr>
            <w:r w:rsidRPr="001A1E2A">
              <w:t>Age</w:t>
            </w:r>
          </w:p>
        </w:tc>
        <w:tc>
          <w:tcPr>
            <w:tcW w:w="1440" w:type="dxa"/>
            <w:vAlign w:val="center"/>
            <w:hideMark/>
          </w:tcPr>
          <w:p w14:paraId="08B98E00"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787</w:t>
            </w:r>
          </w:p>
        </w:tc>
        <w:tc>
          <w:tcPr>
            <w:tcW w:w="1440" w:type="dxa"/>
            <w:vAlign w:val="center"/>
            <w:hideMark/>
          </w:tcPr>
          <w:p w14:paraId="51894F5B" w14:textId="77777777" w:rsidR="001A1E2A" w:rsidRPr="00E509C4"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rPr>
                <w:i/>
                <w:iCs/>
              </w:rPr>
            </w:pPr>
            <w:r w:rsidRPr="00E509C4">
              <w:rPr>
                <w:i/>
                <w:iCs/>
              </w:rPr>
              <w:t>n/a</w:t>
            </w:r>
          </w:p>
        </w:tc>
        <w:tc>
          <w:tcPr>
            <w:tcW w:w="1440" w:type="dxa"/>
            <w:vAlign w:val="center"/>
            <w:hideMark/>
          </w:tcPr>
          <w:p w14:paraId="1BB644D8" w14:textId="77777777" w:rsidR="001A1E2A" w:rsidRPr="001A1E2A" w:rsidRDefault="001A1E2A" w:rsidP="00DC7883">
            <w:pPr>
              <w:contextualSpacing/>
              <w:jc w:val="center"/>
              <w:cnfStyle w:val="000000000000" w:firstRow="0" w:lastRow="0" w:firstColumn="0" w:lastColumn="0" w:oddVBand="0" w:evenVBand="0" w:oddHBand="0" w:evenHBand="0" w:firstRowFirstColumn="0" w:firstRowLastColumn="0" w:lastRowFirstColumn="0" w:lastRowLastColumn="0"/>
            </w:pPr>
            <w:r w:rsidRPr="001A1E2A">
              <w:t>811</w:t>
            </w:r>
          </w:p>
        </w:tc>
      </w:tr>
      <w:tr w:rsidR="00BF4671" w:rsidRPr="001A1E2A" w14:paraId="17618255" w14:textId="77777777" w:rsidTr="00DC788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40" w:type="dxa"/>
            <w:vAlign w:val="center"/>
            <w:hideMark/>
          </w:tcPr>
          <w:p w14:paraId="39B902D6" w14:textId="77777777" w:rsidR="001A1E2A" w:rsidRPr="001A1E2A" w:rsidRDefault="001A1E2A" w:rsidP="00DC7883">
            <w:pPr>
              <w:contextualSpacing/>
              <w:jc w:val="center"/>
            </w:pPr>
            <w:r w:rsidRPr="001A1E2A">
              <w:t>Sex</w:t>
            </w:r>
          </w:p>
        </w:tc>
        <w:tc>
          <w:tcPr>
            <w:tcW w:w="1440" w:type="dxa"/>
            <w:vAlign w:val="center"/>
            <w:hideMark/>
          </w:tcPr>
          <w:p w14:paraId="09AEA0B7"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768</w:t>
            </w:r>
          </w:p>
        </w:tc>
        <w:tc>
          <w:tcPr>
            <w:tcW w:w="1440" w:type="dxa"/>
            <w:vAlign w:val="center"/>
            <w:hideMark/>
          </w:tcPr>
          <w:p w14:paraId="0B583F36" w14:textId="77777777" w:rsidR="001A1E2A" w:rsidRPr="00E509C4"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rPr>
                <w:i/>
                <w:iCs/>
              </w:rPr>
            </w:pPr>
            <w:r w:rsidRPr="00E509C4">
              <w:rPr>
                <w:i/>
                <w:iCs/>
              </w:rPr>
              <w:t>n/a</w:t>
            </w:r>
          </w:p>
        </w:tc>
        <w:tc>
          <w:tcPr>
            <w:tcW w:w="1440" w:type="dxa"/>
            <w:vAlign w:val="center"/>
            <w:hideMark/>
          </w:tcPr>
          <w:p w14:paraId="537DACF8" w14:textId="77777777" w:rsidR="001A1E2A" w:rsidRPr="001A1E2A" w:rsidRDefault="001A1E2A" w:rsidP="00DC7883">
            <w:pPr>
              <w:contextualSpacing/>
              <w:jc w:val="center"/>
              <w:cnfStyle w:val="000000100000" w:firstRow="0" w:lastRow="0" w:firstColumn="0" w:lastColumn="0" w:oddVBand="0" w:evenVBand="0" w:oddHBand="1" w:evenHBand="0" w:firstRowFirstColumn="0" w:firstRowLastColumn="0" w:lastRowFirstColumn="0" w:lastRowLastColumn="0"/>
            </w:pPr>
            <w:r w:rsidRPr="001A1E2A">
              <w:t>768</w:t>
            </w:r>
          </w:p>
        </w:tc>
      </w:tr>
    </w:tbl>
    <w:p w14:paraId="12D1C15C" w14:textId="77777777" w:rsidR="007D7591" w:rsidRDefault="007D7591" w:rsidP="0018289A">
      <w:pPr>
        <w:spacing w:line="240" w:lineRule="auto"/>
        <w:rPr>
          <w:sz w:val="20"/>
          <w:szCs w:val="20"/>
        </w:rPr>
      </w:pPr>
      <w:r w:rsidRPr="00C20936">
        <w:rPr>
          <w:sz w:val="20"/>
          <w:szCs w:val="20"/>
        </w:rPr>
        <w:t>† ETHER does not distinguish drug roles</w:t>
      </w:r>
      <w:r w:rsidR="003A5C54">
        <w:rPr>
          <w:sz w:val="20"/>
          <w:szCs w:val="20"/>
        </w:rPr>
        <w:t xml:space="preserve"> or AE types</w:t>
      </w:r>
      <w:r w:rsidRPr="00C20936">
        <w:rPr>
          <w:sz w:val="20"/>
          <w:szCs w:val="20"/>
        </w:rPr>
        <w:t xml:space="preserve"> — all drug </w:t>
      </w:r>
      <w:r w:rsidR="003A5C54">
        <w:rPr>
          <w:sz w:val="20"/>
          <w:szCs w:val="20"/>
        </w:rPr>
        <w:t xml:space="preserve">and AE </w:t>
      </w:r>
      <w:r w:rsidRPr="00C20936">
        <w:rPr>
          <w:sz w:val="20"/>
          <w:szCs w:val="20"/>
        </w:rPr>
        <w:t>mentions are output under a single DRUG tag (17,</w:t>
      </w:r>
      <w:r w:rsidR="003A5C54">
        <w:rPr>
          <w:sz w:val="20"/>
          <w:szCs w:val="20"/>
        </w:rPr>
        <w:t>164</w:t>
      </w:r>
      <w:r w:rsidRPr="00C20936">
        <w:rPr>
          <w:sz w:val="20"/>
          <w:szCs w:val="20"/>
        </w:rPr>
        <w:t>)</w:t>
      </w:r>
      <w:r w:rsidR="003A5C54">
        <w:rPr>
          <w:sz w:val="20"/>
          <w:szCs w:val="20"/>
        </w:rPr>
        <w:t xml:space="preserve"> and AE tag (25</w:t>
      </w:r>
      <w:r w:rsidR="00B33297">
        <w:rPr>
          <w:sz w:val="20"/>
          <w:szCs w:val="20"/>
        </w:rPr>
        <w:t>,</w:t>
      </w:r>
      <w:r w:rsidR="003A5C54">
        <w:rPr>
          <w:sz w:val="20"/>
          <w:szCs w:val="20"/>
        </w:rPr>
        <w:t>031)</w:t>
      </w:r>
      <w:r w:rsidRPr="00C20936">
        <w:rPr>
          <w:sz w:val="20"/>
          <w:szCs w:val="20"/>
        </w:rPr>
        <w:t xml:space="preserve">. </w:t>
      </w:r>
    </w:p>
    <w:p w14:paraId="13F3AF08" w14:textId="77777777" w:rsidR="0018289A" w:rsidRPr="00C20936" w:rsidRDefault="0018289A" w:rsidP="0018289A">
      <w:pPr>
        <w:spacing w:line="240" w:lineRule="auto"/>
        <w:rPr>
          <w:sz w:val="20"/>
          <w:szCs w:val="20"/>
        </w:rPr>
      </w:pPr>
    </w:p>
    <w:p w14:paraId="068E79C3" w14:textId="77777777" w:rsidR="00AD2CE2" w:rsidRDefault="00AD2CE2" w:rsidP="00AD2CE2">
      <w:pPr>
        <w:pStyle w:val="Heading2"/>
      </w:pPr>
      <w:r>
        <w:t>3.2 LLM performs significantly better than ETHER</w:t>
      </w:r>
    </w:p>
    <w:p w14:paraId="22E1D5A1" w14:textId="77777777" w:rsidR="00AD2CE2" w:rsidRPr="00B671BA" w:rsidRDefault="00AD2CE2" w:rsidP="00AD2CE2">
      <w:r>
        <w:t>First, we compared two machine annotation methods</w:t>
      </w:r>
      <w:r w:rsidR="008626DC">
        <w:t xml:space="preserve">, </w:t>
      </w:r>
      <w:r>
        <w:t>LLM and ETHER</w:t>
      </w:r>
      <w:r w:rsidR="008626DC">
        <w:t xml:space="preserve">, </w:t>
      </w:r>
      <w:r>
        <w:t>against human annotations</w:t>
      </w:r>
      <w:r w:rsidR="001C2C23">
        <w:t xml:space="preserve"> as the gold standards</w:t>
      </w:r>
      <w:r>
        <w:t xml:space="preserve"> </w:t>
      </w:r>
      <w:r w:rsidRPr="00A44D6F">
        <w:t>on FAERS case series dataset</w:t>
      </w:r>
      <w:r>
        <w:t xml:space="preserve">. </w:t>
      </w:r>
      <w:r w:rsidR="00840E06">
        <w:t>For LLM, both Llama-4</w:t>
      </w:r>
      <w:r w:rsidR="00F52C58">
        <w:t xml:space="preserve"> and</w:t>
      </w:r>
      <w:r w:rsidR="00E5101A">
        <w:t xml:space="preserve"> Claude 4.6 Sonnet were evaluated. </w:t>
      </w:r>
      <w:r>
        <w:t>The goal was to assess which method more accurately replicates human-level annotation performance across common annotation types.</w:t>
      </w:r>
      <w:r>
        <w:rPr>
          <w:rFonts w:hint="eastAsia"/>
        </w:rPr>
        <w:t xml:space="preserve"> </w:t>
      </w:r>
    </w:p>
    <w:p w14:paraId="4CCD4646" w14:textId="77777777" w:rsidR="00AD2CE2" w:rsidRDefault="00AD2CE2" w:rsidP="00AD2CE2">
      <w:r>
        <w:t xml:space="preserve">As shown in </w:t>
      </w:r>
      <w:r>
        <w:rPr>
          <w:b/>
          <w:bCs/>
        </w:rPr>
        <w:t>Figure</w:t>
      </w:r>
      <w:r w:rsidRPr="006958A1">
        <w:rPr>
          <w:b/>
          <w:bCs/>
        </w:rPr>
        <w:t xml:space="preserve"> </w:t>
      </w:r>
      <w:r>
        <w:rPr>
          <w:b/>
          <w:bCs/>
        </w:rPr>
        <w:t>3</w:t>
      </w:r>
      <w:r w:rsidR="00EC62AA">
        <w:rPr>
          <w:b/>
          <w:bCs/>
        </w:rPr>
        <w:t>a</w:t>
      </w:r>
      <w:r>
        <w:t xml:space="preserve">, </w:t>
      </w:r>
      <w:r w:rsidR="00146210">
        <w:t>Llama-4 and Claude 4.6 Sonnet showed similar performance</w:t>
      </w:r>
      <w:r w:rsidR="00AF10D1">
        <w:t xml:space="preserve">, </w:t>
      </w:r>
      <w:r w:rsidR="00CA3427">
        <w:t>and</w:t>
      </w:r>
      <w:r w:rsidR="006D04FF">
        <w:t xml:space="preserve"> </w:t>
      </w:r>
      <w:r w:rsidR="00CA3427">
        <w:t>overall,</w:t>
      </w:r>
      <w:r w:rsidR="006D04FF">
        <w:t xml:space="preserve"> </w:t>
      </w:r>
      <w:r>
        <w:t xml:space="preserve">the </w:t>
      </w:r>
      <w:r w:rsidR="002E70EF">
        <w:t>few-shot</w:t>
      </w:r>
      <w:r>
        <w:t xml:space="preserve"> LLM demonstrated robust generalization capabilities, </w:t>
      </w:r>
      <w:r w:rsidR="004F006A">
        <w:t>outperform</w:t>
      </w:r>
      <w:r w:rsidR="00C142B5">
        <w:t>ed</w:t>
      </w:r>
      <w:r w:rsidR="004F006A">
        <w:t xml:space="preserve"> ETHER in </w:t>
      </w:r>
      <w:r w:rsidR="004E5E27">
        <w:t>all categories that</w:t>
      </w:r>
      <w:r w:rsidR="004F006A">
        <w:t xml:space="preserve"> </w:t>
      </w:r>
      <w:r w:rsidR="00DA422B">
        <w:t xml:space="preserve">are </w:t>
      </w:r>
      <w:r w:rsidR="00453EFE">
        <w:t>available for</w:t>
      </w:r>
      <w:r w:rsidR="004F006A">
        <w:t xml:space="preserve"> comparisons</w:t>
      </w:r>
      <w:r w:rsidR="00EC62AA">
        <w:t xml:space="preserve"> (</w:t>
      </w:r>
      <w:r w:rsidR="00EC62AA" w:rsidRPr="00EC62AA">
        <w:rPr>
          <w:b/>
          <w:bCs/>
        </w:rPr>
        <w:t>Figure 3b</w:t>
      </w:r>
      <w:r w:rsidR="00EC62AA">
        <w:t>)</w:t>
      </w:r>
      <w:r w:rsidR="004F006A">
        <w:t xml:space="preserve">. Moreover, </w:t>
      </w:r>
      <w:r>
        <w:t xml:space="preserve">LLMs offer broader coverage </w:t>
      </w:r>
      <w:r w:rsidR="003F717F">
        <w:t xml:space="preserve">of safety concepts such as age, sex, </w:t>
      </w:r>
      <w:r w:rsidR="0026543B">
        <w:t xml:space="preserve">and </w:t>
      </w:r>
      <w:r w:rsidR="00C71BE5">
        <w:t>lab values</w:t>
      </w:r>
      <w:r w:rsidR="00D30E6D">
        <w:t xml:space="preserve">, </w:t>
      </w:r>
      <w:r w:rsidR="00C71BE5">
        <w:t xml:space="preserve">some of </w:t>
      </w:r>
      <w:r w:rsidR="00D30E6D">
        <w:t xml:space="preserve">which </w:t>
      </w:r>
      <w:r w:rsidR="00C71BE5">
        <w:t xml:space="preserve">were challenging to extract </w:t>
      </w:r>
      <w:r w:rsidR="00E32654">
        <w:t>using</w:t>
      </w:r>
      <w:r w:rsidR="00C71BE5">
        <w:t xml:space="preserve"> ETHER</w:t>
      </w:r>
      <w:r w:rsidR="00E11747">
        <w:t xml:space="preserve"> rule-based systems</w:t>
      </w:r>
      <w:r w:rsidR="00C71BE5">
        <w:t>.</w:t>
      </w:r>
      <w:r w:rsidR="003F717F">
        <w:t xml:space="preserve"> </w:t>
      </w:r>
      <w:r w:rsidR="00D24E7F">
        <w:t>We observed a slightly decreased performance of Dx in LLMs, which we will discuss more in later section about Error Analysis.</w:t>
      </w:r>
    </w:p>
    <w:p w14:paraId="7A0DBB86" w14:textId="77777777" w:rsidR="007D5693" w:rsidRDefault="007D5693" w:rsidP="00AD2CE2"/>
    <w:p w14:paraId="7BE00A8C" w14:textId="77777777" w:rsidR="007D5693" w:rsidRDefault="00DD0E6C" w:rsidP="00AD2CE2">
      <w:r>
        <w:rPr>
          <w:noProof/>
        </w:rPr>
        <w:lastRenderedPageBreak/>
        <w:drawing>
          <wp:inline distT="0" distB="0" distL="0" distR="0" wp14:anchorId="229BBBF4" wp14:editId="47D36EA2">
            <wp:extent cx="5932170" cy="4008120"/>
            <wp:effectExtent l="0" t="0" r="0" b="0"/>
            <wp:docPr id="1843461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2170" cy="4008120"/>
                    </a:xfrm>
                    <a:prstGeom prst="rect">
                      <a:avLst/>
                    </a:prstGeom>
                    <a:noFill/>
                    <a:ln>
                      <a:noFill/>
                    </a:ln>
                  </pic:spPr>
                </pic:pic>
              </a:graphicData>
            </a:graphic>
          </wp:inline>
        </w:drawing>
      </w:r>
    </w:p>
    <w:p w14:paraId="5D019B43" w14:textId="77777777" w:rsidR="004F536D" w:rsidRPr="009377D9" w:rsidRDefault="004F536D" w:rsidP="009377D9">
      <w:pPr>
        <w:spacing w:line="240" w:lineRule="auto"/>
        <w:rPr>
          <w:sz w:val="20"/>
          <w:szCs w:val="20"/>
        </w:rPr>
      </w:pPr>
      <w:r w:rsidRPr="009377D9">
        <w:rPr>
          <w:b/>
          <w:bCs/>
          <w:sz w:val="20"/>
          <w:szCs w:val="20"/>
        </w:rPr>
        <w:t>Figure 3.</w:t>
      </w:r>
      <w:r w:rsidRPr="009377D9">
        <w:rPr>
          <w:sz w:val="20"/>
          <w:szCs w:val="20"/>
        </w:rPr>
        <w:t xml:space="preserve"> Overall Performance Comparison Across Three Evaluation Schemes on FAERS Narratives (N = 829). Grouped bar chart comparing the rule-based baseline ETHER (Gray), Claude 4.6 Sonnet (</w:t>
      </w:r>
      <w:r w:rsidR="00FE2720">
        <w:rPr>
          <w:sz w:val="20"/>
          <w:szCs w:val="20"/>
        </w:rPr>
        <w:t>R</w:t>
      </w:r>
      <w:r w:rsidRPr="009377D9">
        <w:rPr>
          <w:sz w:val="20"/>
          <w:szCs w:val="20"/>
        </w:rPr>
        <w:t>ed)</w:t>
      </w:r>
      <w:r w:rsidR="00042525">
        <w:rPr>
          <w:sz w:val="20"/>
          <w:szCs w:val="20"/>
        </w:rPr>
        <w:t xml:space="preserve">, and </w:t>
      </w:r>
      <w:r w:rsidR="00042525" w:rsidRPr="009377D9">
        <w:rPr>
          <w:sz w:val="20"/>
          <w:szCs w:val="20"/>
        </w:rPr>
        <w:t>LLaMA 4 (Pink)</w:t>
      </w:r>
      <w:r w:rsidRPr="009377D9">
        <w:rPr>
          <w:sz w:val="20"/>
          <w:szCs w:val="20"/>
        </w:rPr>
        <w:t xml:space="preserve"> across Adapted ADE-Eval </w:t>
      </w:r>
      <w:r w:rsidR="00D92AF9">
        <w:rPr>
          <w:sz w:val="20"/>
          <w:szCs w:val="20"/>
        </w:rPr>
        <w:t xml:space="preserve">F1 </w:t>
      </w:r>
      <w:r w:rsidRPr="009377D9">
        <w:rPr>
          <w:sz w:val="20"/>
          <w:szCs w:val="20"/>
        </w:rPr>
        <w:t xml:space="preserve">and Strict Exact-Match </w:t>
      </w:r>
      <w:r w:rsidR="00D92AF9">
        <w:rPr>
          <w:sz w:val="20"/>
          <w:szCs w:val="20"/>
        </w:rPr>
        <w:t>F1</w:t>
      </w:r>
      <w:r w:rsidRPr="009377D9">
        <w:rPr>
          <w:sz w:val="20"/>
          <w:szCs w:val="20"/>
        </w:rPr>
        <w:t>.</w:t>
      </w:r>
      <w:r w:rsidR="009455C7">
        <w:rPr>
          <w:sz w:val="20"/>
          <w:szCs w:val="20"/>
        </w:rPr>
        <w:t xml:space="preserve"> (a) Per-category analysis between Llama 4 and Sonnet 4.6; (b) comparative </w:t>
      </w:r>
      <w:r w:rsidR="0083594F">
        <w:rPr>
          <w:sz w:val="20"/>
          <w:szCs w:val="20"/>
        </w:rPr>
        <w:t>result between ETHER and LLMs; to comply with ETHER’s labeling groups, some categories in LLMs are combined.</w:t>
      </w:r>
    </w:p>
    <w:p w14:paraId="21AE43AA" w14:textId="77777777" w:rsidR="00F37A56" w:rsidRDefault="00F37A56" w:rsidP="00F37A56"/>
    <w:p w14:paraId="3566A0EF" w14:textId="77777777" w:rsidR="00E7527C" w:rsidRDefault="00E7527C" w:rsidP="00E7527C">
      <w:pPr>
        <w:pStyle w:val="Heading2"/>
      </w:pPr>
      <w:r>
        <w:t xml:space="preserve">3.3 BERT-based NER model </w:t>
      </w:r>
      <w:r w:rsidR="005A67B0">
        <w:t>performance</w:t>
      </w:r>
    </w:p>
    <w:p w14:paraId="3D38B1F0" w14:textId="77777777" w:rsidR="00B73B5B" w:rsidRDefault="00D02538" w:rsidP="00D02538">
      <w:r>
        <w:t>We trained and evaluated a supervised BioBERT named entity recognition (NER) model using a 4-fold Leave-One-Drug-Event-Pair-Out cross-validation design on the 829 FAERS narratives across all 17 clinical concept categories. Table 3 summarizes the overall benchmark comparison across model families, input paradigms, and evaluation tiers. BioBERT achieved a strict exact-match F1 of 0.5685 ± 0.0080 and an adapted ADE-Eval F1 of 0.7463 ± 0.0076, which substantially outperformed few-shot LLaMA 4 (0.4043 Strict, 0.6249 Adapted), Claude 4.6 Sonnet (0.4667 Strict, 0.6443 Adapted), and baseline ETHER system (0.1147 Strict, 0.2447 Adapted).</w:t>
      </w:r>
    </w:p>
    <w:p w14:paraId="430F181B" w14:textId="77777777" w:rsidR="00541E83" w:rsidRDefault="00541E83" w:rsidP="00D02538"/>
    <w:p w14:paraId="351CAE6F" w14:textId="77777777" w:rsidR="00541E83" w:rsidRDefault="00541E83" w:rsidP="00D02538"/>
    <w:p w14:paraId="285C9E02" w14:textId="77777777" w:rsidR="00541E83" w:rsidRDefault="00541E83" w:rsidP="00D02538"/>
    <w:p w14:paraId="042689B9" w14:textId="77777777" w:rsidR="00CF4EAD" w:rsidRPr="00FC123B" w:rsidRDefault="00CF4EAD" w:rsidP="00D02538">
      <w:pPr>
        <w:rPr>
          <w:sz w:val="20"/>
          <w:szCs w:val="20"/>
        </w:rPr>
      </w:pPr>
      <w:r w:rsidRPr="00FC123B">
        <w:rPr>
          <w:b/>
          <w:bCs/>
          <w:sz w:val="20"/>
          <w:szCs w:val="20"/>
        </w:rPr>
        <w:t xml:space="preserve">Table 3. </w:t>
      </w:r>
      <w:r w:rsidRPr="00FC123B">
        <w:rPr>
          <w:sz w:val="20"/>
          <w:szCs w:val="20"/>
        </w:rPr>
        <w:t>Performance Benchmark on the FAERS Dataset (N = 829 Reports).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3120"/>
        <w:gridCol w:w="3120"/>
        <w:gridCol w:w="3120"/>
      </w:tblGrid>
      <w:tr>
        <w:tc>
          <w:tcPr>
            <w:tcW w:type="dxa" w:w="4032"/>
            <w:shd w:fill="F2F4F8"/>
            <w:tcMar>
              <w:top w:w="60" w:type="dxa"/>
              <w:bottom w:w="60" w:type="dxa"/>
              <w:left w:w="90" w:type="dxa"/>
              <w:right w:w="90" w:type="dxa"/>
            </w:tcMar>
            <w:vAlign w:val="center"/>
          </w:tcPr>
          <w:p>
            <w:pPr>
              <w:spacing w:before="30" w:after="30"/>
              <w:jc w:val="center"/>
            </w:pPr>
            <w:r/>
            <w:r>
              <w:rPr>
                <w:rFonts w:ascii="Arial" w:hAnsi="Arial"/>
                <w:b/>
                <w:color w:val="111111"/>
                <w:sz w:val="16"/>
              </w:rPr>
              <w:t>Model &amp; Configuration</w:t>
            </w:r>
          </w:p>
        </w:tc>
        <w:tc>
          <w:tcPr>
            <w:tcW w:type="dxa" w:w="2592"/>
            <w:shd w:fill="F2F4F8"/>
            <w:tcMar>
              <w:top w:w="60" w:type="dxa"/>
              <w:bottom w:w="60" w:type="dxa"/>
              <w:left w:w="90" w:type="dxa"/>
              <w:right w:w="90" w:type="dxa"/>
            </w:tcMar>
            <w:vAlign w:val="center"/>
          </w:tcPr>
          <w:p>
            <w:pPr>
              <w:spacing w:before="30" w:after="30"/>
              <w:jc w:val="center"/>
            </w:pPr>
            <w:r/>
            <w:r>
              <w:rPr>
                <w:rFonts w:ascii="Arial" w:hAnsi="Arial"/>
                <w:b/>
                <w:color w:val="111111"/>
                <w:sz w:val="16"/>
              </w:rPr>
              <w:t>Primary Tier: Strict Exact F1</w:t>
            </w:r>
          </w:p>
        </w:tc>
        <w:tc>
          <w:tcPr>
            <w:tcW w:type="dxa" w:w="2592"/>
            <w:shd w:fill="F2F4F8"/>
            <w:tcMar>
              <w:top w:w="60" w:type="dxa"/>
              <w:bottom w:w="60" w:type="dxa"/>
              <w:left w:w="90" w:type="dxa"/>
              <w:right w:w="90" w:type="dxa"/>
            </w:tcMar>
            <w:vAlign w:val="center"/>
          </w:tcPr>
          <w:p>
            <w:pPr>
              <w:spacing w:before="30" w:after="30"/>
              <w:jc w:val="center"/>
            </w:pPr>
            <w:r/>
            <w:r>
              <w:rPr>
                <w:rFonts w:ascii="Arial" w:hAnsi="Arial"/>
                <w:b/>
                <w:color w:val="111111"/>
                <w:sz w:val="16"/>
              </w:rPr>
              <w:t>Secondary Tier: Adapted ADE F1</w:t>
            </w:r>
          </w:p>
        </w:tc>
      </w:tr>
      <w:tr>
        <w:tc>
          <w:tcPr>
            <w:tcW w:type="dxa" w:w="4032"/>
            <w:shd w:fill="FFFFFF"/>
            <w:tcMar>
              <w:top w:w="60" w:type="dxa"/>
              <w:bottom w:w="60" w:type="dxa"/>
              <w:left w:w="90" w:type="dxa"/>
              <w:right w:w="90" w:type="dxa"/>
            </w:tcMar>
            <w:vAlign w:val="center"/>
          </w:tcPr>
          <w:p>
            <w:pPr>
              <w:spacing w:before="30" w:after="30"/>
              <w:jc w:val="left"/>
            </w:pPr>
            <w:r/>
            <w:r>
              <w:rPr>
                <w:rFonts w:ascii="Arial" w:hAnsi="Arial"/>
                <w:b/>
                <w:color w:val="222222"/>
                <w:sz w:val="16"/>
              </w:rPr>
              <w:t>BioBERT (4-Fold LOO)</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0.5685 ± 0.0080</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0.7463 ± 0.0076</w:t>
            </w:r>
          </w:p>
        </w:tc>
      </w:tr>
      <w:tr>
        <w:tc>
          <w:tcPr>
            <w:tcW w:type="dxa" w:w="4032"/>
            <w:shd w:fill="FBFBFB"/>
            <w:tcMar>
              <w:top w:w="60" w:type="dxa"/>
              <w:bottom w:w="60" w:type="dxa"/>
              <w:left w:w="90" w:type="dxa"/>
              <w:right w:w="90" w:type="dxa"/>
            </w:tcMar>
            <w:vAlign w:val="center"/>
          </w:tcPr>
          <w:p>
            <w:pPr>
              <w:spacing w:before="30" w:after="30"/>
              <w:jc w:val="left"/>
            </w:pPr>
            <w:r/>
            <w:r>
              <w:rPr>
                <w:rFonts w:ascii="Arial" w:hAnsi="Arial"/>
                <w:b/>
                <w:color w:val="222222"/>
                <w:sz w:val="16"/>
              </w:rPr>
              <w:t>LLaMA 4 (1-shot, Tagged P2_TAG)</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0.4043</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0.6249</w:t>
            </w:r>
          </w:p>
        </w:tc>
      </w:tr>
      <w:tr>
        <w:tc>
          <w:tcPr>
            <w:tcW w:type="dxa" w:w="4032"/>
            <w:shd w:fill="FFFFFF"/>
            <w:tcMar>
              <w:top w:w="60" w:type="dxa"/>
              <w:bottom w:w="60" w:type="dxa"/>
              <w:left w:w="90" w:type="dxa"/>
              <w:right w:w="90" w:type="dxa"/>
            </w:tcMar>
            <w:vAlign w:val="center"/>
          </w:tcPr>
          <w:p>
            <w:pPr>
              <w:spacing w:before="30" w:after="30"/>
              <w:jc w:val="left"/>
            </w:pPr>
            <w:r/>
            <w:r>
              <w:rPr>
                <w:rFonts w:ascii="Arial" w:hAnsi="Arial"/>
                <w:b/>
                <w:color w:val="222222"/>
                <w:sz w:val="16"/>
              </w:rPr>
              <w:t>Claude 4.6 Sonnet (1-shot, Tagged)</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0.4667</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0.6443</w:t>
            </w:r>
          </w:p>
        </w:tc>
      </w:tr>
      <w:tr>
        <w:tc>
          <w:tcPr>
            <w:tcW w:type="dxa" w:w="4032"/>
            <w:shd w:fill="FBFBFB"/>
            <w:tcMar>
              <w:top w:w="60" w:type="dxa"/>
              <w:bottom w:w="60" w:type="dxa"/>
              <w:left w:w="90" w:type="dxa"/>
              <w:right w:w="90" w:type="dxa"/>
            </w:tcMar>
            <w:vAlign w:val="center"/>
          </w:tcPr>
          <w:p>
            <w:pPr>
              <w:spacing w:before="30" w:after="30"/>
              <w:jc w:val="left"/>
            </w:pPr>
            <w:r/>
            <w:r>
              <w:rPr>
                <w:rFonts w:ascii="Arial" w:hAnsi="Arial"/>
                <w:b/>
                <w:color w:val="222222"/>
                <w:sz w:val="16"/>
              </w:rPr>
              <w:t>ETHER (Baseline, used=Yes)</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0.1147</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0.2447</w:t>
            </w:r>
          </w:p>
        </w:tc>
      </w:tr>
    </w:tbl>
    <w:p w14:paraId="0C06646A" w14:textId="77777777" w:rsidR="00CF4EAD" w:rsidRDefault="00CF4EAD" w:rsidP="00CF4EAD"/>
    <w:p w14:paraId="6C46DAC5" w14:textId="77777777" w:rsidR="00FC123B" w:rsidRDefault="00FC123B" w:rsidP="00CF4EAD">
      <w:r w:rsidRPr="008D472B">
        <w:rPr>
          <w:b/>
          <w:bCs/>
        </w:rPr>
        <w:t>Figure 4</w:t>
      </w:r>
      <w:r>
        <w:t xml:space="preserve"> details the fine-grained category-level performance breakdown across all 17 clinical concept categories.</w:t>
      </w:r>
      <w:r w:rsidR="00B473D8">
        <w:t xml:space="preserve"> Among these 17 categories, some of them (</w:t>
      </w:r>
      <w:proofErr w:type="spellStart"/>
      <w:r w:rsidR="00B473D8">
        <w:t>oDrug</w:t>
      </w:r>
      <w:proofErr w:type="spellEnd"/>
      <w:r w:rsidR="00B473D8">
        <w:t xml:space="preserve">, </w:t>
      </w:r>
      <w:proofErr w:type="spellStart"/>
      <w:r w:rsidR="002D218E">
        <w:t>mAE</w:t>
      </w:r>
      <w:proofErr w:type="spellEnd"/>
      <w:r w:rsidR="002D218E">
        <w:t xml:space="preserve">, </w:t>
      </w:r>
      <w:r w:rsidR="001B36FA">
        <w:t xml:space="preserve">Dx, R/O, </w:t>
      </w:r>
      <w:proofErr w:type="spellStart"/>
      <w:r w:rsidR="001B36FA">
        <w:t>CoD</w:t>
      </w:r>
      <w:proofErr w:type="spellEnd"/>
      <w:r w:rsidR="001B36FA">
        <w:t xml:space="preserve">) has close-to-zero </w:t>
      </w:r>
      <w:r w:rsidR="001656FD">
        <w:t xml:space="preserve">strict F1 across all LLMs and BERT models, implying </w:t>
      </w:r>
      <w:r w:rsidR="00E97017">
        <w:t xml:space="preserve">accurately tagging these categories are challenging regardless of the selected algorithm. On the other side, they showed </w:t>
      </w:r>
      <w:r w:rsidR="0075247E">
        <w:t>higher (nearly 0.5) F</w:t>
      </w:r>
      <w:r w:rsidR="00F06D96">
        <w:t>1 under adapted ADE-Eval F1</w:t>
      </w:r>
      <w:r w:rsidR="00802A4B">
        <w:t xml:space="preserve"> in Llama 4 and Sonnet 4.6</w:t>
      </w:r>
      <w:r w:rsidR="00F06D96">
        <w:t xml:space="preserve">, indicating some of the terms were found </w:t>
      </w:r>
      <w:r w:rsidR="00802A4B">
        <w:t xml:space="preserve">by LLMs </w:t>
      </w:r>
      <w:r w:rsidR="00F06D96">
        <w:t xml:space="preserve">however with inaccurate boundaries or </w:t>
      </w:r>
      <w:r w:rsidR="008D472B">
        <w:t xml:space="preserve">mislabeled to a different category (i.e., Conflation). </w:t>
      </w:r>
      <w:r w:rsidR="00802A4B">
        <w:t>However, BERT kept</w:t>
      </w:r>
      <w:r w:rsidR="009C51A0">
        <w:t xml:space="preserve"> the nearly-zero performance for </w:t>
      </w:r>
      <w:r w:rsidR="00386FC3">
        <w:t>4 of 5</w:t>
      </w:r>
      <w:r w:rsidR="009C51A0">
        <w:t xml:space="preserve"> categories</w:t>
      </w:r>
      <w:r w:rsidR="001B05FD">
        <w:t xml:space="preserve"> (</w:t>
      </w:r>
      <w:proofErr w:type="spellStart"/>
      <w:r w:rsidR="001B05FD">
        <w:t>oDrug</w:t>
      </w:r>
      <w:proofErr w:type="spellEnd"/>
      <w:r w:rsidR="001B05FD">
        <w:t xml:space="preserve">, </w:t>
      </w:r>
      <w:proofErr w:type="spellStart"/>
      <w:r w:rsidR="001B05FD">
        <w:t>mAE</w:t>
      </w:r>
      <w:proofErr w:type="spellEnd"/>
      <w:r w:rsidR="001B05FD">
        <w:t xml:space="preserve">, R/O, </w:t>
      </w:r>
      <w:proofErr w:type="spellStart"/>
      <w:r w:rsidR="001B05FD">
        <w:t>CoD</w:t>
      </w:r>
      <w:proofErr w:type="spellEnd"/>
      <w:r w:rsidR="001B05FD">
        <w:t>)</w:t>
      </w:r>
      <w:r w:rsidR="009C51A0">
        <w:t>, i</w:t>
      </w:r>
      <w:r w:rsidR="002D218E">
        <w:t>mplying its weakness on these challenging annotation categories.</w:t>
      </w:r>
    </w:p>
    <w:p w14:paraId="7543B478" w14:textId="77777777" w:rsidR="006A7617" w:rsidRDefault="006A7617" w:rsidP="00CF4EAD">
      <w:r>
        <w:rPr>
          <w:noProof/>
        </w:rPr>
        <w:drawing>
          <wp:inline distT="0" distB="0" distL="0" distR="0" wp14:anchorId="2A31942A" wp14:editId="208C778F">
            <wp:extent cx="5937885" cy="2573020"/>
            <wp:effectExtent l="0" t="0" r="5715" b="0"/>
            <wp:docPr id="1721116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885" cy="2573020"/>
                    </a:xfrm>
                    <a:prstGeom prst="rect">
                      <a:avLst/>
                    </a:prstGeom>
                    <a:noFill/>
                    <a:ln>
                      <a:noFill/>
                    </a:ln>
                  </pic:spPr>
                </pic:pic>
              </a:graphicData>
            </a:graphic>
          </wp:inline>
        </w:drawing>
      </w:r>
    </w:p>
    <w:p w14:paraId="416F5801" w14:textId="77777777" w:rsidR="0064673F" w:rsidRPr="002E2FF1" w:rsidRDefault="0064673F" w:rsidP="00541E83">
      <w:pPr>
        <w:spacing w:line="240" w:lineRule="auto"/>
        <w:rPr>
          <w:sz w:val="16"/>
          <w:szCs w:val="16"/>
        </w:rPr>
      </w:pPr>
      <w:r>
        <w:t>Figure 4. Comparative Concept Extraction Performance Across All 17 Clinical Concept Categories on the FAERS Benchmark Corpus (N = 829 Reports) for Fine-Tuned BioBERT (Blue Diamond / Bar), Claude 4.6 Sonnet (Red Circle / Bar), and LLaMA 4 (Pink Square / Bar).</w:t>
      </w:r>
    </w:p>
    <w:p w14:paraId="678FF44E" w14:textId="77777777" w:rsidR="00541E83" w:rsidRPr="00541E83" w:rsidRDefault="00541E83" w:rsidP="00541E83">
      <w:pPr>
        <w:spacing w:line="240" w:lineRule="auto"/>
        <w:rPr>
          <w:sz w:val="20"/>
          <w:szCs w:val="20"/>
        </w:rPr>
      </w:pPr>
    </w:p>
    <w:p w14:paraId="189C3B4A" w14:textId="77777777" w:rsidR="00472A41" w:rsidRPr="00472A41" w:rsidRDefault="00831330" w:rsidP="00472A41">
      <w:pPr>
        <w:pStyle w:val="Heading2"/>
      </w:pPr>
      <w:r>
        <w:lastRenderedPageBreak/>
        <w:t xml:space="preserve">3.4 </w:t>
      </w:r>
      <w:r w:rsidR="00472A41" w:rsidRPr="00472A41">
        <w:t>Error analysis</w:t>
      </w:r>
    </w:p>
    <w:p w14:paraId="2D416A13" w14:textId="1B917FDC" w:rsidR="00155734" w:rsidRPr="00155734" w:rsidRDefault="00413F31" w:rsidP="00155734">
      <w:r>
        <w:t xml:space="preserve">Next, we conducted a detailed error analysis on the FAERS </w:t>
      </w:r>
      <w:r w:rsidR="009F28E6">
        <w:rPr>
          <w:rFonts w:hint="eastAsia"/>
          <w:lang w:eastAsia="zh-CN"/>
        </w:rPr>
        <w:t>dataset</w:t>
      </w:r>
      <w:r>
        <w:t xml:space="preserve"> to characterize how the BERT and the LLM differ in their failure modes. </w:t>
      </w:r>
      <w:r w:rsidR="00155734" w:rsidRPr="009F28E6">
        <w:rPr>
          <w:b/>
          <w:bCs/>
        </w:rPr>
        <w:t>Figure 5a</w:t>
      </w:r>
      <w:r w:rsidR="00155734">
        <w:t xml:space="preserve"> shows that BERT produces more exact matches</w:t>
      </w:r>
      <w:r w:rsidR="00045C0D">
        <w:rPr>
          <w:rFonts w:hint="eastAsia"/>
          <w:lang w:eastAsia="zh-CN"/>
        </w:rPr>
        <w:t>,</w:t>
      </w:r>
      <w:r w:rsidR="00155734">
        <w:t xml:space="preserve"> and fewer conflation and </w:t>
      </w:r>
      <w:r w:rsidR="009F28E6">
        <w:rPr>
          <w:rFonts w:hint="eastAsia"/>
          <w:lang w:eastAsia="zh-CN"/>
        </w:rPr>
        <w:t>spurious</w:t>
      </w:r>
      <w:r w:rsidR="00155734">
        <w:t xml:space="preserve"> errors than the LLM. For BERT, 58.0% of spans are exact matches (26,891), compared with 31.6% (17,396) for the LLM. The LLM, in contrast, exhibits more than double the proportion of coverage errors (29.7% vs 14.0%; 16,358 vs 6,485 spans). The LLM also produces significantly more spurious spans (25.7% vs 15.5%; 14,185 vs 7,195), reflecting </w:t>
      </w:r>
      <w:r w:rsidR="00045C0D">
        <w:rPr>
          <w:rFonts w:hint="eastAsia"/>
          <w:lang w:eastAsia="zh-CN"/>
        </w:rPr>
        <w:t>non-overlapped</w:t>
      </w:r>
      <w:r w:rsidR="00155734">
        <w:t xml:space="preserve"> entities </w:t>
      </w:r>
      <w:r w:rsidR="00045C0D">
        <w:rPr>
          <w:rFonts w:hint="eastAsia"/>
          <w:lang w:eastAsia="zh-CN"/>
        </w:rPr>
        <w:t>reported by human SME</w:t>
      </w:r>
      <w:r w:rsidR="00155734">
        <w:t xml:space="preserve">. Missed spans (N) show comparable proportions between both paradigms (13.0% vs 12.5%; 7,156 vs 5,793 spans), which is consistent with the recall patterns observed in </w:t>
      </w:r>
      <w:r w:rsidR="00155734" w:rsidRPr="00045C0D">
        <w:rPr>
          <w:b/>
          <w:bCs/>
        </w:rPr>
        <w:t>Figure 4</w:t>
      </w:r>
      <w:r w:rsidR="00155734">
        <w:t>, while the much larger excess of coverage and spurious errors for the LLM reflects its tendency to over-segment entities rather than leaving spans unannotated.</w:t>
      </w:r>
    </w:p>
    <w:p w14:paraId="745F73DE" w14:textId="77777777" w:rsidR="00FC7AE4" w:rsidRDefault="00A344F6" w:rsidP="00A344F6">
      <w:r>
        <w:t>The top confusion pairs for both systems (Figure 5b and 5c) demonstrate that errors cluster within clinically related concept types rather than dispersing randomly. For BERT, misclassifications primarily involve context-dependent clinical boundaries, notably medical history conflated with therapeutic indications (MHx → Indication: 345), adverse events confused with laboratory findings (AE → Lab: 191), and bidirectional medical history versus AE boundary ambiguities (MHx → AE: 172; AE → MHx: 168), typically occurring when chronic comorbidities and acute symptoms are documented within the same sentence. For the LLM, the single largest error mode is the misclassification of concomitant medications as primary suspect drugs (cDrug → sDrug: 2,737), followed by treatment interventions labeled as suspect drugs (Treatment → sDrug: 847). Additional prominent LLM confusions include medical history categorized as current diagnoses (MHx → Dx: 364) or adverse events (MHx → AE: 342), laboratory values labeled as dosages (Lab → Dose: 328), and laboratory findings classified as adverse events (Lab → AE: 230). While BERT errors are concentrated in a tight set of adjacent clinical categories, the LLM exhibits widespread role conflation across pharmacological and historical categories.</w:t>
      </w:r>
    </w:p>
    <w:p w14:paraId="418F1DF7" w14:textId="7BFE0894" w:rsidR="00A344F6" w:rsidRPr="00A344F6" w:rsidRDefault="00A344F6" w:rsidP="00A344F6">
      <w:r>
        <w:t>For the LLM, the single largest error mode is the misclassification of concomitant medications as primary suspect drugs (</w:t>
      </w:r>
      <w:proofErr w:type="spellStart"/>
      <w:r>
        <w:t>cDrug</w:t>
      </w:r>
      <w:proofErr w:type="spellEnd"/>
      <w:r>
        <w:t xml:space="preserve"> </w:t>
      </w:r>
      <w:r w:rsidR="00FC7AE4">
        <w:rPr>
          <w:rFonts w:hint="eastAsia"/>
          <w:lang w:eastAsia="zh-CN"/>
        </w:rPr>
        <w:t>to</w:t>
      </w:r>
      <w:r>
        <w:t xml:space="preserve"> </w:t>
      </w:r>
      <w:proofErr w:type="spellStart"/>
      <w:r>
        <w:t>sDrug</w:t>
      </w:r>
      <w:proofErr w:type="spellEnd"/>
      <w:r>
        <w:t xml:space="preserve">: 2,737), followed by treatment interventions labeled as suspect drugs (Treatment </w:t>
      </w:r>
      <w:r w:rsidR="00B46E4A">
        <w:rPr>
          <w:rFonts w:hint="eastAsia"/>
          <w:lang w:eastAsia="zh-CN"/>
        </w:rPr>
        <w:t>to</w:t>
      </w:r>
      <w:r>
        <w:t xml:space="preserve"> sDrug: 847). Additional prominent LLM confusions include medical history categorized as current diagnoses (MHx </w:t>
      </w:r>
      <w:r w:rsidR="00AA2185">
        <w:rPr>
          <w:rFonts w:hint="eastAsia"/>
          <w:lang w:eastAsia="zh-CN"/>
        </w:rPr>
        <w:t>to</w:t>
      </w:r>
      <w:r>
        <w:t xml:space="preserve"> Dx: 364) or adverse events (MHx </w:t>
      </w:r>
      <w:r w:rsidR="00AA2185">
        <w:rPr>
          <w:rFonts w:hint="eastAsia"/>
          <w:lang w:eastAsia="zh-CN"/>
        </w:rPr>
        <w:t>to</w:t>
      </w:r>
      <w:r>
        <w:t xml:space="preserve"> AE: 342), laboratory values labeled as dosages (Lab </w:t>
      </w:r>
      <w:r w:rsidR="00814A20">
        <w:rPr>
          <w:rFonts w:hint="eastAsia"/>
          <w:lang w:eastAsia="zh-CN"/>
        </w:rPr>
        <w:t>to</w:t>
      </w:r>
      <w:r>
        <w:t xml:space="preserve"> Dose: 328), and laboratory findings classified as adverse events (Lab </w:t>
      </w:r>
      <w:r w:rsidR="00814A20">
        <w:rPr>
          <w:rFonts w:hint="eastAsia"/>
          <w:lang w:eastAsia="zh-CN"/>
        </w:rPr>
        <w:t>to</w:t>
      </w:r>
      <w:r>
        <w:t xml:space="preserve"> AE: 230). While BERT errors are concentrated in a tight set of adjacent clinical categories, the LLM exhibits widespread role conflation across pharmacological and historical categories.</w:t>
      </w:r>
    </w:p>
    <w:p w14:paraId="2A7D5603" w14:textId="12C13362" w:rsidR="00CA63BA" w:rsidRDefault="00577354" w:rsidP="00CA63BA">
      <w:r>
        <w:t>We applied word-cloud visualizations on the primary LLM misclassification categories to clarify these failure modes at the entity level. For concomitant and treatment spans misclassified as suspect drug (sDrug) by the LLM (</w:t>
      </w:r>
      <w:r w:rsidRPr="005535C4">
        <w:rPr>
          <w:b/>
          <w:bCs/>
        </w:rPr>
        <w:t>Figure 5d</w:t>
      </w:r>
      <w:r>
        <w:t>), the most prominent tokens were common co-administered medications and supportive therapies, including methylprednisolone, methotrexate, prednisone, esomeprazole, folic acid, and dexamethasone. In contrast, clinical spans exhibiting medical history and diagnosis/AE confusions (</w:t>
      </w:r>
      <w:r w:rsidRPr="003C70DB">
        <w:rPr>
          <w:b/>
          <w:bCs/>
        </w:rPr>
        <w:t>Figure 5e</w:t>
      </w:r>
      <w:r>
        <w:t>) were dominated by prevalent chronic conditions and comorbidities, such as hypertension, myelodysplastic syndrome, pneumonia, rheumatoid arthritis, osteoporosis, and recurrent infections.</w:t>
      </w:r>
    </w:p>
    <w:p w14:paraId="25597D4B" w14:textId="70F74718" w:rsidR="00CA63BA" w:rsidRDefault="00CA63BA" w:rsidP="00CA63BA">
      <w:pPr>
        <w:rPr>
          <w:rFonts w:hint="eastAsia"/>
          <w:lang w:eastAsia="zh-CN"/>
        </w:rPr>
      </w:pPr>
      <w:r>
        <w:lastRenderedPageBreak/>
        <w:t xml:space="preserve">Overall, the few-shot LLM annotations are prone to spurious </w:t>
      </w:r>
      <w:r w:rsidR="001F64C4">
        <w:rPr>
          <w:rFonts w:hint="eastAsia"/>
          <w:lang w:eastAsia="zh-CN"/>
        </w:rPr>
        <w:t>predictions</w:t>
      </w:r>
      <w:r>
        <w:t>, boundary drift, and drug role conflation (</w:t>
      </w:r>
      <w:proofErr w:type="spellStart"/>
      <w:r>
        <w:t>cDrug</w:t>
      </w:r>
      <w:proofErr w:type="spellEnd"/>
      <w:r>
        <w:t xml:space="preserve">/Treatment → </w:t>
      </w:r>
      <w:proofErr w:type="spellStart"/>
      <w:r>
        <w:t>sDrug</w:t>
      </w:r>
      <w:proofErr w:type="spellEnd"/>
      <w:r>
        <w:t xml:space="preserve">). </w:t>
      </w:r>
      <w:r w:rsidR="009433EC">
        <w:rPr>
          <w:rFonts w:hint="eastAsia"/>
          <w:lang w:eastAsia="zh-CN"/>
        </w:rPr>
        <w:t xml:space="preserve">However, LLM is better to annotate uncommon categories like </w:t>
      </w:r>
      <w:proofErr w:type="spellStart"/>
      <w:r w:rsidR="009433EC">
        <w:rPr>
          <w:rFonts w:hint="eastAsia"/>
          <w:lang w:eastAsia="zh-CN"/>
        </w:rPr>
        <w:t>oDrug</w:t>
      </w:r>
      <w:proofErr w:type="spellEnd"/>
      <w:r w:rsidR="009433EC">
        <w:rPr>
          <w:rFonts w:hint="eastAsia"/>
          <w:lang w:eastAsia="zh-CN"/>
        </w:rPr>
        <w:t xml:space="preserve">, </w:t>
      </w:r>
      <w:proofErr w:type="spellStart"/>
      <w:r w:rsidR="009433EC">
        <w:rPr>
          <w:rFonts w:hint="eastAsia"/>
          <w:lang w:eastAsia="zh-CN"/>
        </w:rPr>
        <w:t>mAE</w:t>
      </w:r>
      <w:proofErr w:type="spellEnd"/>
      <w:r w:rsidR="009433EC">
        <w:rPr>
          <w:rFonts w:hint="eastAsia"/>
          <w:lang w:eastAsia="zh-CN"/>
        </w:rPr>
        <w:t xml:space="preserve">, RO and </w:t>
      </w:r>
      <w:proofErr w:type="spellStart"/>
      <w:r w:rsidR="009433EC">
        <w:rPr>
          <w:rFonts w:hint="eastAsia"/>
          <w:lang w:eastAsia="zh-CN"/>
        </w:rPr>
        <w:t>CoD</w:t>
      </w:r>
      <w:proofErr w:type="spellEnd"/>
      <w:r w:rsidR="009433EC">
        <w:rPr>
          <w:rFonts w:hint="eastAsia"/>
          <w:lang w:eastAsia="zh-CN"/>
        </w:rPr>
        <w:t xml:space="preserve"> by conflation through inaccurate boundary or mislabeled category, therefore retrieved higher adapted ADE-Eval F1 in these uncommon categories (</w:t>
      </w:r>
      <w:r w:rsidR="009433EC" w:rsidRPr="009433EC">
        <w:rPr>
          <w:rFonts w:hint="eastAsia"/>
          <w:b/>
          <w:bCs/>
          <w:lang w:eastAsia="zh-CN"/>
        </w:rPr>
        <w:t>Figure 4</w:t>
      </w:r>
      <w:r w:rsidR="009433EC">
        <w:rPr>
          <w:rFonts w:hint="eastAsia"/>
          <w:lang w:eastAsia="zh-CN"/>
        </w:rPr>
        <w:t xml:space="preserve">). </w:t>
      </w:r>
    </w:p>
    <w:p w14:paraId="752875AB" w14:textId="77777777" w:rsidR="0034182A" w:rsidRDefault="0034182A" w:rsidP="00924F71"/>
    <w:p w14:paraId="2C370FA4" w14:textId="77777777" w:rsidR="00924F71" w:rsidRPr="00924F71" w:rsidRDefault="009E09BC" w:rsidP="00432731">
      <w:pPr>
        <w:jc w:val="center"/>
      </w:pPr>
      <w:r>
        <w:rPr>
          <w:noProof/>
        </w:rPr>
        <w:drawing>
          <wp:inline distT="0" distB="0" distL="0" distR="0" wp14:anchorId="5210EEBB" wp14:editId="3ACB33BC">
            <wp:extent cx="5943600" cy="5033010"/>
            <wp:effectExtent l="0" t="0" r="0" b="0"/>
            <wp:docPr id="1005109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033010"/>
                    </a:xfrm>
                    <a:prstGeom prst="rect">
                      <a:avLst/>
                    </a:prstGeom>
                    <a:noFill/>
                    <a:ln>
                      <a:noFill/>
                    </a:ln>
                  </pic:spPr>
                </pic:pic>
              </a:graphicData>
            </a:graphic>
          </wp:inline>
        </w:drawing>
      </w:r>
    </w:p>
    <w:p w14:paraId="575FDD6B" w14:textId="77777777" w:rsidR="003B3AC7" w:rsidRPr="0073558C" w:rsidRDefault="009E09BC" w:rsidP="0034182A">
      <w:pPr>
        <w:spacing w:line="240" w:lineRule="auto"/>
        <w:rPr>
          <w:sz w:val="16"/>
          <w:szCs w:val="16"/>
        </w:rPr>
      </w:pPr>
      <w:r>
        <w:t>Figure 5. Error Anatomy and Extraction Discrepancy Breakdown for Supervised BERT versus Few-Shot LLM (LLaMA 4) on the Full FAERS Benchmark Corpus (N = 829 Reports). (a) Overall M/C/S/N error distribution (M: exact match; C: coverage error; S: spurious prediction; N: miss). (b) Top label misclassifications for BERT. (c) Top label misclassifications for LLM. (d) Typical concomitant drug and treatment terms misclassified as suspect drug (sDrug) by LLM. (e) Typical clinical terms exhibiting medical history (MHx) versus diagnosis (Dx) or adverse event (AE) confusions by LLM.</w:t>
      </w:r>
    </w:p>
    <w:p w14:paraId="13BE3FB8" w14:textId="77777777" w:rsidR="009E09BC" w:rsidRPr="009E09BC" w:rsidRDefault="009E09BC" w:rsidP="0034182A">
      <w:pPr>
        <w:spacing w:line="240" w:lineRule="auto"/>
      </w:pPr>
    </w:p>
    <w:p w14:paraId="049F3443" w14:textId="77777777" w:rsidR="00413F31" w:rsidRDefault="00413F31" w:rsidP="00EC4E8F">
      <w:pPr>
        <w:pStyle w:val="Heading2"/>
      </w:pPr>
      <w:r>
        <w:lastRenderedPageBreak/>
        <w:t>3.5 VAER</w:t>
      </w:r>
      <w:r w:rsidR="00B019D5">
        <w:t>S</w:t>
      </w:r>
      <w:r>
        <w:t xml:space="preserve"> </w:t>
      </w:r>
      <w:r w:rsidR="00B07BC3">
        <w:t>Evaluation</w:t>
      </w:r>
    </w:p>
    <w:p w14:paraId="4FFC4F5F" w14:textId="77777777" w:rsidR="007B7450" w:rsidRDefault="00426F20" w:rsidP="00426F20">
      <w:r>
        <w:t xml:space="preserve">To evaluate cross-domain generalization beyond </w:t>
      </w:r>
      <w:r w:rsidR="00363D32">
        <w:rPr>
          <w:rFonts w:hint="eastAsia"/>
          <w:lang w:eastAsia="zh-CN"/>
        </w:rPr>
        <w:t>FAERS dataset</w:t>
      </w:r>
      <w:r>
        <w:t xml:space="preserve">, we </w:t>
      </w:r>
      <w:r w:rsidR="00363D32">
        <w:rPr>
          <w:rFonts w:hint="eastAsia"/>
          <w:lang w:eastAsia="zh-CN"/>
        </w:rPr>
        <w:t xml:space="preserve">further </w:t>
      </w:r>
      <w:proofErr w:type="gramStart"/>
      <w:r w:rsidR="00363D32">
        <w:rPr>
          <w:rFonts w:hint="eastAsia"/>
          <w:lang w:eastAsia="zh-CN"/>
        </w:rPr>
        <w:t xml:space="preserve">analyzed </w:t>
      </w:r>
      <w:r>
        <w:t xml:space="preserve"> the</w:t>
      </w:r>
      <w:proofErr w:type="gramEnd"/>
      <w:r>
        <w:t xml:space="preserve"> public VAERS corpus (N = 1,000 narratives). As reported in </w:t>
      </w:r>
      <w:r w:rsidRPr="00BF0207">
        <w:rPr>
          <w:b/>
          <w:bCs/>
        </w:rPr>
        <w:t>Table 4</w:t>
      </w:r>
      <w:r>
        <w:t xml:space="preserve">, BioBERT fine-tuned via 10-fold cross-validation achieved a strict exact-match F1 of 0.6594 (0.7848 Adapted </w:t>
      </w:r>
      <w:r w:rsidR="007B7450">
        <w:rPr>
          <w:rFonts w:hint="eastAsia"/>
          <w:lang w:eastAsia="zh-CN"/>
        </w:rPr>
        <w:t xml:space="preserve">ADE-Eval </w:t>
      </w:r>
      <w:r>
        <w:t xml:space="preserve">F1). In contrast, the zero-shot/1-shot LLaMA 4 baseline achieved a strict F1 of 0.2364 and adapted </w:t>
      </w:r>
      <w:r w:rsidR="007B7450">
        <w:rPr>
          <w:rFonts w:hint="eastAsia"/>
          <w:lang w:eastAsia="zh-CN"/>
        </w:rPr>
        <w:t xml:space="preserve">ADE-Eval </w:t>
      </w:r>
      <w:r>
        <w:t xml:space="preserve">F1 of 0.4766. </w:t>
      </w:r>
    </w:p>
    <w:p w14:paraId="4AA3EC4B" w14:textId="77777777" w:rsidR="00E928CC" w:rsidRDefault="00E928CC" w:rsidP="00426F20"/>
    <w:p w14:paraId="0DACD7CF" w14:textId="77777777" w:rsidR="00426F20" w:rsidRPr="007B7450" w:rsidRDefault="00426F20" w:rsidP="00413F31">
      <w:pPr>
        <w:rPr>
          <w:sz w:val="16"/>
          <w:szCs w:val="16"/>
        </w:rPr>
      </w:pPr>
      <w:r>
        <w:t>Table 4. Master Performance Benchmark on the VAERS Dataset (N = 1,000 Reports).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3120"/>
        <w:gridCol w:w="3120"/>
        <w:gridCol w:w="3120"/>
      </w:tblGrid>
      <w:tr>
        <w:tc>
          <w:tcPr>
            <w:tcW w:type="dxa" w:w="4032"/>
            <w:shd w:fill="F2F4F8"/>
            <w:tcMar>
              <w:top w:w="60" w:type="dxa"/>
              <w:bottom w:w="60" w:type="dxa"/>
              <w:left w:w="90" w:type="dxa"/>
              <w:right w:w="90" w:type="dxa"/>
            </w:tcMar>
            <w:vAlign w:val="center"/>
          </w:tcPr>
          <w:p>
            <w:pPr>
              <w:spacing w:before="30" w:after="30"/>
              <w:jc w:val="center"/>
            </w:pPr>
            <w:r/>
            <w:r>
              <w:rPr>
                <w:rFonts w:ascii="Arial" w:hAnsi="Arial"/>
                <w:b/>
                <w:color w:val="111111"/>
                <w:sz w:val="16"/>
              </w:rPr>
              <w:t>Model &amp; Configuration</w:t>
            </w:r>
          </w:p>
        </w:tc>
        <w:tc>
          <w:tcPr>
            <w:tcW w:type="dxa" w:w="2592"/>
            <w:shd w:fill="F2F4F8"/>
            <w:tcMar>
              <w:top w:w="60" w:type="dxa"/>
              <w:bottom w:w="60" w:type="dxa"/>
              <w:left w:w="90" w:type="dxa"/>
              <w:right w:w="90" w:type="dxa"/>
            </w:tcMar>
            <w:vAlign w:val="center"/>
          </w:tcPr>
          <w:p>
            <w:pPr>
              <w:spacing w:before="30" w:after="30"/>
              <w:jc w:val="center"/>
            </w:pPr>
            <w:r/>
            <w:r>
              <w:rPr>
                <w:rFonts w:ascii="Arial" w:hAnsi="Arial"/>
                <w:b/>
                <w:color w:val="111111"/>
                <w:sz w:val="16"/>
              </w:rPr>
              <w:t>Primary Tier: Strict Exact F1</w:t>
            </w:r>
          </w:p>
        </w:tc>
        <w:tc>
          <w:tcPr>
            <w:tcW w:type="dxa" w:w="2592"/>
            <w:shd w:fill="F2F4F8"/>
            <w:tcMar>
              <w:top w:w="60" w:type="dxa"/>
              <w:bottom w:w="60" w:type="dxa"/>
              <w:left w:w="90" w:type="dxa"/>
              <w:right w:w="90" w:type="dxa"/>
            </w:tcMar>
            <w:vAlign w:val="center"/>
          </w:tcPr>
          <w:p>
            <w:pPr>
              <w:spacing w:before="30" w:after="30"/>
              <w:jc w:val="center"/>
            </w:pPr>
            <w:r/>
            <w:r>
              <w:rPr>
                <w:rFonts w:ascii="Arial" w:hAnsi="Arial"/>
                <w:b/>
                <w:color w:val="111111"/>
                <w:sz w:val="16"/>
              </w:rPr>
              <w:t>Secondary Tier: Adapted ADE F1</w:t>
            </w:r>
          </w:p>
        </w:tc>
      </w:tr>
      <w:tr>
        <w:tc>
          <w:tcPr>
            <w:tcW w:type="dxa" w:w="4032"/>
            <w:shd w:fill="FFFFFF"/>
            <w:tcMar>
              <w:top w:w="60" w:type="dxa"/>
              <w:bottom w:w="60" w:type="dxa"/>
              <w:left w:w="90" w:type="dxa"/>
              <w:right w:w="90" w:type="dxa"/>
            </w:tcMar>
            <w:vAlign w:val="center"/>
          </w:tcPr>
          <w:p>
            <w:pPr>
              <w:spacing w:before="30" w:after="30"/>
              <w:jc w:val="left"/>
            </w:pPr>
            <w:r/>
            <w:r>
              <w:rPr>
                <w:rFonts w:ascii="Arial" w:hAnsi="Arial"/>
                <w:b/>
                <w:color w:val="222222"/>
                <w:sz w:val="16"/>
              </w:rPr>
              <w:t>BioBERT (10-Fold CV)</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0.6594 ± 0.0196</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0.7848 ± 0.0127</w:t>
            </w:r>
          </w:p>
        </w:tc>
      </w:tr>
      <w:tr>
        <w:tc>
          <w:tcPr>
            <w:tcW w:type="dxa" w:w="4032"/>
            <w:shd w:fill="FBFBFB"/>
            <w:tcMar>
              <w:top w:w="60" w:type="dxa"/>
              <w:bottom w:w="60" w:type="dxa"/>
              <w:left w:w="90" w:type="dxa"/>
              <w:right w:w="90" w:type="dxa"/>
            </w:tcMar>
            <w:vAlign w:val="center"/>
          </w:tcPr>
          <w:p>
            <w:pPr>
              <w:spacing w:before="30" w:after="30"/>
              <w:jc w:val="left"/>
            </w:pPr>
            <w:r/>
            <w:r>
              <w:rPr>
                <w:rFonts w:ascii="Arial" w:hAnsi="Arial"/>
                <w:b/>
                <w:color w:val="222222"/>
                <w:sz w:val="16"/>
              </w:rPr>
              <w:t>LLaMA 4 (1-shot, Tagged P2_TAG_VAERS)</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0.2364</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0.4766</w:t>
            </w:r>
          </w:p>
        </w:tc>
      </w:tr>
    </w:tbl>
    <w:p w14:paraId="05DC5011" w14:textId="77777777" w:rsidR="00594F72" w:rsidRDefault="00594F72" w:rsidP="00413F31"/>
    <w:p w14:paraId="6FF83D11" w14:textId="7C0246C8" w:rsidR="00E928CC" w:rsidRDefault="00E928CC" w:rsidP="00E928CC">
      <w:r>
        <w:t>Category-level analysis (Figure 6a) across all 14 clinical and contextual concept categories confirmed strong supervised encoder advantages across vaccines (VAX: 0.86 vs 0.60), treatments (Tx: 0.84 vs 0.40), patient status (STATUS: 0.71 vs 0.30), medical history (MHx: 0.75 vs 0.24), confirmed adverse event diagnoses (sDx: 0.69 vs 0.08), provisional diagnoses (pDx: 0.62 vs 0.07), symptoms (SYM: 0.63 vs 0.22), laboratory findings (Lab: 0.59 vs 0.16), and family history (FHx: 0.35 vs 0.10). Error anatomy (Figure 6b–d) on the complete VAERS corpus (N = 1,000 reports) revealed that BioBERT achieved a high proportion of exact matches (57.7% vs 13.7%; 15,068 vs 10,154 spans), while LLM few-shot predictions suffered from high spurious hallucinations (45.2% vs 18.6%; 33,421 vs 4,846 spans) and extensive missed entities (30.7% vs 17.1%; 22,711 vs 4,459 spans). Confusion breakdowns (Figure 6c &amp; 6d) demonstrated that both models experienced diagnostic granularity conflations (sDx → DX: 4,902 for BERT, 3,116 for LLM; and SYM → DX: 2,782 for BERT, 2,999 for LLM).</w:t>
      </w:r>
    </w:p>
    <w:p w14:paraId="214BAB6A" w14:textId="77777777" w:rsidR="00E928CC" w:rsidRDefault="00E928CC" w:rsidP="00413F31"/>
    <w:p w14:paraId="6EFBCD42" w14:textId="77777777" w:rsidR="00413F31" w:rsidRPr="0085396C" w:rsidRDefault="00871950" w:rsidP="00413F31">
      <w:r>
        <w:rPr>
          <w:noProof/>
        </w:rPr>
        <w:lastRenderedPageBreak/>
        <w:drawing>
          <wp:inline distT="0" distB="0" distL="0" distR="0" wp14:anchorId="7F29C378" wp14:editId="5FB8420F">
            <wp:extent cx="5932170" cy="4251960"/>
            <wp:effectExtent l="0" t="0" r="0" b="0"/>
            <wp:docPr id="33667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170" cy="4251960"/>
                    </a:xfrm>
                    <a:prstGeom prst="rect">
                      <a:avLst/>
                    </a:prstGeom>
                    <a:noFill/>
                    <a:ln>
                      <a:noFill/>
                    </a:ln>
                  </pic:spPr>
                </pic:pic>
              </a:graphicData>
            </a:graphic>
          </wp:inline>
        </w:drawing>
      </w:r>
    </w:p>
    <w:p w14:paraId="4CFE4F51" w14:textId="77777777" w:rsidR="00413F31" w:rsidRPr="005064A1" w:rsidRDefault="00413F31" w:rsidP="00413F31">
      <w:pPr>
        <w:rPr>
          <w:sz w:val="20"/>
          <w:szCs w:val="20"/>
        </w:rPr>
      </w:pPr>
      <w:r>
        <w:t>Figure 6. Cross-Domain Annotation Benchmark and Error Anatomy on the Full VAERS Vaccine Safety Corpus Across 14 Concept Categories (N = 1,000 Reports). (a) Per-category performance across all 14 clinical and contextual concept categories and overall micro-average for BioBERT (Blue) vs. LLaMA 4 (Pink-Coral), showing F1 bars and precision/recall trajectories. (b) M/C/S/N error distribution for BioBERT vs. LLaMA 4 across the complete corpus. (c) BioBERT top label misclassifications (X-axis: 0–5,400). (d) LLaMA 4 top label misclassifications (X-axis: 0–5,400, aligned with panel c).</w:t>
      </w:r>
    </w:p>
    <w:p w14:paraId="5335B775" w14:textId="77777777" w:rsidR="00CD0715" w:rsidRDefault="00CD0715" w:rsidP="00413F31"/>
    <w:p w14:paraId="4ECBE5F6" w14:textId="77777777" w:rsidR="003C4EB5" w:rsidRDefault="003C4EB5" w:rsidP="00787130">
      <w:pPr>
        <w:pStyle w:val="Heading2"/>
      </w:pPr>
      <w:r>
        <w:t xml:space="preserve">3.6 </w:t>
      </w:r>
      <w:r w:rsidR="00355FD6">
        <w:t>Ablation Studies</w:t>
      </w:r>
    </w:p>
    <w:p w14:paraId="7F41DBC4" w14:textId="77777777" w:rsidR="00303BAD" w:rsidRPr="00303BAD" w:rsidRDefault="00303BAD" w:rsidP="005064A1">
      <w:pPr>
        <w:pStyle w:val="Heading3"/>
      </w:pPr>
      <w:r>
        <w:t xml:space="preserve">Leave-One-Drug-Event-Pair-Out </w:t>
      </w:r>
      <w:r w:rsidR="007B374C">
        <w:t>in BERT</w:t>
      </w:r>
    </w:p>
    <w:p w14:paraId="1C98E065" w14:textId="77777777" w:rsidR="00303BAD" w:rsidRDefault="00303BAD" w:rsidP="00303BAD">
      <w:r>
        <w:t>We applied a repeated Leave-One-Drug-Event-Pair-Out cross-validation protocol on the FAERS corpus to evaluate model generalization across distinct therapeutic contexts on all 17 clinical concept categories. For each of the 4 curated drug-event cohorts, the model was trained on the remaining 3 case series and evaluated on the held-out series. As shown in Table 5, strict exact-match F1 was 0.6002 ± 0.0114 for azacitidine–QT prolongation (N = 200), 0.6367 ± 0.0201 for baricitinib–hypersensitivity (N = 200), 0.5289 ± 0.0093 for tramadol–hypoglycemia (N = 229), and 0.5084 ± 0.0122 for erenumab–stroke (N = 200), yielding a macro-average F1 of 0.5685 ± 0.0080 across folds (0.7463 ± 0.0076 Adapted F1). The between-series performance variance exceeded within-fold variation, demonstrating that narrative complexity and therapeutic vocabulary differences contribute more variation than stochastic model initialization.</w:t>
      </w:r>
    </w:p>
    <w:p w14:paraId="2FE555A3" w14:textId="77777777" w:rsidR="00303BAD" w:rsidRDefault="00303BAD" w:rsidP="00303BAD">
      <w:r>
        <w:t>Table 5. Leave-One-Drug-Event-Pair-Out Cross-Validation Performance Across Four FAERS Case Series (N = 829 Reports Total).</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340"/>
        <w:gridCol w:w="2340"/>
        <w:gridCol w:w="2340"/>
        <w:gridCol w:w="2340"/>
      </w:tblGrid>
      <w:tr>
        <w:tc>
          <w:tcPr>
            <w:tcW w:type="dxa" w:w="3456"/>
            <w:shd w:fill="F2F4F8"/>
            <w:tcMar>
              <w:top w:w="60" w:type="dxa"/>
              <w:bottom w:w="60" w:type="dxa"/>
              <w:left w:w="90" w:type="dxa"/>
              <w:right w:w="90" w:type="dxa"/>
            </w:tcMar>
            <w:vAlign w:val="center"/>
          </w:tcPr>
          <w:p>
            <w:pPr>
              <w:spacing w:before="30" w:after="30"/>
              <w:jc w:val="center"/>
            </w:pPr>
            <w:r/>
            <w:r>
              <w:rPr>
                <w:rFonts w:ascii="Arial" w:hAnsi="Arial"/>
                <w:b/>
                <w:color w:val="111111"/>
                <w:sz w:val="16"/>
              </w:rPr>
              <w:t>Drug–Event Case Series</w:t>
            </w:r>
          </w:p>
        </w:tc>
        <w:tc>
          <w:tcPr>
            <w:tcW w:type="dxa" w:w="2160"/>
            <w:shd w:fill="F2F4F8"/>
            <w:tcMar>
              <w:top w:w="60" w:type="dxa"/>
              <w:bottom w:w="60" w:type="dxa"/>
              <w:left w:w="90" w:type="dxa"/>
              <w:right w:w="90" w:type="dxa"/>
            </w:tcMar>
            <w:vAlign w:val="center"/>
          </w:tcPr>
          <w:p>
            <w:pPr>
              <w:spacing w:before="30" w:after="30"/>
              <w:jc w:val="center"/>
            </w:pPr>
            <w:r/>
            <w:r>
              <w:rPr>
                <w:rFonts w:ascii="Arial" w:hAnsi="Arial"/>
                <w:b/>
                <w:color w:val="111111"/>
                <w:sz w:val="16"/>
              </w:rPr>
              <w:t>Validation Cohort Size</w:t>
            </w:r>
          </w:p>
        </w:tc>
        <w:tc>
          <w:tcPr>
            <w:tcW w:type="dxa" w:w="2304"/>
            <w:shd w:fill="F2F4F8"/>
            <w:tcMar>
              <w:top w:w="60" w:type="dxa"/>
              <w:bottom w:w="60" w:type="dxa"/>
              <w:left w:w="90" w:type="dxa"/>
              <w:right w:w="90" w:type="dxa"/>
            </w:tcMar>
            <w:vAlign w:val="center"/>
          </w:tcPr>
          <w:p>
            <w:pPr>
              <w:spacing w:before="30" w:after="30"/>
              <w:jc w:val="center"/>
            </w:pPr>
            <w:r/>
            <w:r>
              <w:rPr>
                <w:rFonts w:ascii="Arial" w:hAnsi="Arial"/>
                <w:b/>
                <w:color w:val="111111"/>
                <w:sz w:val="16"/>
              </w:rPr>
              <w:t>Primary Tier: Strict Exact F1</w:t>
            </w:r>
          </w:p>
        </w:tc>
        <w:tc>
          <w:tcPr>
            <w:tcW w:type="dxa" w:w="2304"/>
            <w:shd w:fill="F2F4F8"/>
            <w:tcMar>
              <w:top w:w="60" w:type="dxa"/>
              <w:bottom w:w="60" w:type="dxa"/>
              <w:left w:w="90" w:type="dxa"/>
              <w:right w:w="90" w:type="dxa"/>
            </w:tcMar>
            <w:vAlign w:val="center"/>
          </w:tcPr>
          <w:p>
            <w:pPr>
              <w:spacing w:before="30" w:after="30"/>
              <w:jc w:val="center"/>
            </w:pPr>
            <w:r/>
            <w:r>
              <w:rPr>
                <w:rFonts w:ascii="Arial" w:hAnsi="Arial"/>
                <w:b/>
                <w:color w:val="111111"/>
                <w:sz w:val="16"/>
              </w:rPr>
              <w:t>Secondary Tier: Adapted ADE F1</w:t>
            </w:r>
          </w:p>
        </w:tc>
      </w:tr>
      <w:tr>
        <w:tc>
          <w:tcPr>
            <w:tcW w:type="dxa" w:w="3456"/>
            <w:shd w:fill="FFFFFF"/>
            <w:tcMar>
              <w:top w:w="60" w:type="dxa"/>
              <w:bottom w:w="60" w:type="dxa"/>
              <w:left w:w="90" w:type="dxa"/>
              <w:right w:w="90" w:type="dxa"/>
            </w:tcMar>
            <w:vAlign w:val="center"/>
          </w:tcPr>
          <w:p>
            <w:pPr>
              <w:spacing w:before="30" w:after="30"/>
              <w:jc w:val="left"/>
            </w:pPr>
            <w:r/>
            <w:r>
              <w:rPr>
                <w:rFonts w:ascii="Arial" w:hAnsi="Arial"/>
                <w:b/>
                <w:color w:val="222222"/>
                <w:sz w:val="16"/>
              </w:rPr>
              <w:t>Azacitidine – QT Prolongation</w:t>
            </w:r>
          </w:p>
        </w:tc>
        <w:tc>
          <w:tcPr>
            <w:tcW w:type="dxa" w:w="2160"/>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N = 200 reports</w:t>
            </w:r>
          </w:p>
        </w:tc>
        <w:tc>
          <w:tcPr>
            <w:tcW w:type="dxa" w:w="2304"/>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0.6002 ± 0.0114</w:t>
            </w:r>
          </w:p>
        </w:tc>
        <w:tc>
          <w:tcPr>
            <w:tcW w:type="dxa" w:w="2304"/>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0.7733 ± 0.0092</w:t>
            </w:r>
          </w:p>
        </w:tc>
      </w:tr>
      <w:tr>
        <w:tc>
          <w:tcPr>
            <w:tcW w:type="dxa" w:w="3456"/>
            <w:shd w:fill="FBFBFB"/>
            <w:tcMar>
              <w:top w:w="60" w:type="dxa"/>
              <w:bottom w:w="60" w:type="dxa"/>
              <w:left w:w="90" w:type="dxa"/>
              <w:right w:w="90" w:type="dxa"/>
            </w:tcMar>
            <w:vAlign w:val="center"/>
          </w:tcPr>
          <w:p>
            <w:pPr>
              <w:spacing w:before="30" w:after="30"/>
              <w:jc w:val="left"/>
            </w:pPr>
            <w:r/>
            <w:r>
              <w:rPr>
                <w:rFonts w:ascii="Arial" w:hAnsi="Arial"/>
                <w:b/>
                <w:color w:val="222222"/>
                <w:sz w:val="16"/>
              </w:rPr>
              <w:t>Baricitinib – Hypersensitivity</w:t>
            </w:r>
          </w:p>
        </w:tc>
        <w:tc>
          <w:tcPr>
            <w:tcW w:type="dxa" w:w="2160"/>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N = 200 reports</w:t>
            </w:r>
          </w:p>
        </w:tc>
        <w:tc>
          <w:tcPr>
            <w:tcW w:type="dxa" w:w="2304"/>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0.6367 ± 0.0201</w:t>
            </w:r>
          </w:p>
        </w:tc>
        <w:tc>
          <w:tcPr>
            <w:tcW w:type="dxa" w:w="2304"/>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0.7751 ± 0.0128</w:t>
            </w:r>
          </w:p>
        </w:tc>
      </w:tr>
      <w:tr>
        <w:tc>
          <w:tcPr>
            <w:tcW w:type="dxa" w:w="3456"/>
            <w:shd w:fill="FFFFFF"/>
            <w:tcMar>
              <w:top w:w="60" w:type="dxa"/>
              <w:bottom w:w="60" w:type="dxa"/>
              <w:left w:w="90" w:type="dxa"/>
              <w:right w:w="90" w:type="dxa"/>
            </w:tcMar>
            <w:vAlign w:val="center"/>
          </w:tcPr>
          <w:p>
            <w:pPr>
              <w:spacing w:before="30" w:after="30"/>
              <w:jc w:val="left"/>
            </w:pPr>
            <w:r/>
            <w:r>
              <w:rPr>
                <w:rFonts w:ascii="Arial" w:hAnsi="Arial"/>
                <w:b/>
                <w:color w:val="222222"/>
                <w:sz w:val="16"/>
              </w:rPr>
              <w:t>Tramadol – Hypoglycemia</w:t>
            </w:r>
          </w:p>
        </w:tc>
        <w:tc>
          <w:tcPr>
            <w:tcW w:type="dxa" w:w="2160"/>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N = 229 reports</w:t>
            </w:r>
          </w:p>
        </w:tc>
        <w:tc>
          <w:tcPr>
            <w:tcW w:type="dxa" w:w="2304"/>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0.5289 ± 0.0093</w:t>
            </w:r>
          </w:p>
        </w:tc>
        <w:tc>
          <w:tcPr>
            <w:tcW w:type="dxa" w:w="2304"/>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0.7242 ± 0.0036</w:t>
            </w:r>
          </w:p>
        </w:tc>
      </w:tr>
      <w:tr>
        <w:tc>
          <w:tcPr>
            <w:tcW w:type="dxa" w:w="3456"/>
            <w:shd w:fill="FBFBFB"/>
            <w:tcMar>
              <w:top w:w="60" w:type="dxa"/>
              <w:bottom w:w="60" w:type="dxa"/>
              <w:left w:w="90" w:type="dxa"/>
              <w:right w:w="90" w:type="dxa"/>
            </w:tcMar>
            <w:vAlign w:val="center"/>
          </w:tcPr>
          <w:p>
            <w:pPr>
              <w:spacing w:before="30" w:after="30"/>
              <w:jc w:val="left"/>
            </w:pPr>
            <w:r/>
            <w:r>
              <w:rPr>
                <w:rFonts w:ascii="Arial" w:hAnsi="Arial"/>
                <w:b/>
                <w:color w:val="222222"/>
                <w:sz w:val="16"/>
              </w:rPr>
              <w:t>Erenumab – Stroke</w:t>
            </w:r>
          </w:p>
        </w:tc>
        <w:tc>
          <w:tcPr>
            <w:tcW w:type="dxa" w:w="2160"/>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N = 200 reports</w:t>
            </w:r>
          </w:p>
        </w:tc>
        <w:tc>
          <w:tcPr>
            <w:tcW w:type="dxa" w:w="2304"/>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0.5084 ± 0.0122</w:t>
            </w:r>
          </w:p>
        </w:tc>
        <w:tc>
          <w:tcPr>
            <w:tcW w:type="dxa" w:w="2304"/>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0.7126 ± 0.0077</w:t>
            </w:r>
          </w:p>
        </w:tc>
      </w:tr>
      <w:tr>
        <w:tc>
          <w:tcPr>
            <w:tcW w:type="dxa" w:w="3456"/>
            <w:shd w:fill="FFFFFF"/>
            <w:tcMar>
              <w:top w:w="60" w:type="dxa"/>
              <w:bottom w:w="60" w:type="dxa"/>
              <w:left w:w="90" w:type="dxa"/>
              <w:right w:w="90" w:type="dxa"/>
            </w:tcMar>
            <w:vAlign w:val="center"/>
          </w:tcPr>
          <w:p>
            <w:pPr>
              <w:spacing w:before="30" w:after="30"/>
              <w:jc w:val="left"/>
            </w:pPr>
            <w:r/>
            <w:r>
              <w:rPr>
                <w:rFonts w:ascii="Arial" w:hAnsi="Arial"/>
                <w:b/>
                <w:color w:val="222222"/>
                <w:sz w:val="16"/>
              </w:rPr>
              <w:t>Macro-Average (All 4 Folds)</w:t>
            </w:r>
          </w:p>
        </w:tc>
        <w:tc>
          <w:tcPr>
            <w:tcW w:type="dxa" w:w="2160"/>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N = 829 reports total</w:t>
            </w:r>
          </w:p>
        </w:tc>
        <w:tc>
          <w:tcPr>
            <w:tcW w:type="dxa" w:w="2304"/>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0.5685 ± 0.0080</w:t>
            </w:r>
          </w:p>
        </w:tc>
        <w:tc>
          <w:tcPr>
            <w:tcW w:type="dxa" w:w="2304"/>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0.7463 ± 0.0076</w:t>
            </w:r>
          </w:p>
        </w:tc>
      </w:tr>
    </w:tbl>
    <w:p w14:paraId="46B63671" w14:textId="77777777" w:rsidR="00E50399" w:rsidRPr="00E50399" w:rsidRDefault="00E50399" w:rsidP="005064A1"/>
    <w:p w14:paraId="575363E4" w14:textId="77777777" w:rsidR="00977ABD" w:rsidRDefault="005E7BC1" w:rsidP="00587C00">
      <w:pPr>
        <w:pStyle w:val="Heading3"/>
      </w:pPr>
      <w:r>
        <w:t>Random seed</w:t>
      </w:r>
      <w:r w:rsidR="00BE1A8A">
        <w:t xml:space="preserve"> in BERT Training</w:t>
      </w:r>
    </w:p>
    <w:p w14:paraId="352C0FAD" w14:textId="77777777" w:rsidR="008A16A5" w:rsidRDefault="00BE1A8A" w:rsidP="00BE1A8A">
      <w:r>
        <w:t>To rigorously verify neural network optimization stability, we conducted 5 independent training runs using random initialization seeds (42, 123, 456, 789, 1011) across both FAERS 4-fold LOO (20 total model runs, 17 categories) and VAERS 10-fold CV (50 total model runs, 14 categories). As summarized in Table 6, cross-seed variance was exceptionally low across both datasets. On FAERS, strict F1 averaged 0.5685 ± 0.0080 (0.7463 ± 0.0076 Adapted F1) across the 5 seeds. On VAERS, strict F1 averaged 0.6595 ± 0.0015 (0.7882 ± 0.0022 Adapted F1) across the 5 seeds. These findings confirm that supervised BioBERT convergence is remarkably robust to stochastic weight initialization, with between-series clinical diversity accounting for substantially greater performance variance than random initialization.</w:t>
      </w:r>
    </w:p>
    <w:p w14:paraId="76621E43" w14:textId="77777777" w:rsidR="00723359" w:rsidRDefault="003250B5" w:rsidP="00594F72">
      <w:r>
        <w:t>Table 6. BioBERT Optimization Stability and Performance Invariance Across Five Independent Random Initialization Seeds on FAERS (4-Fold LOO) and VAERS (10-Fold CV).</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340"/>
        <w:gridCol w:w="2340"/>
        <w:gridCol w:w="2340"/>
        <w:gridCol w:w="2340"/>
      </w:tblGrid>
      <w:tr>
        <w:tc>
          <w:tcPr>
            <w:tcW w:type="dxa" w:w="3456"/>
            <w:shd w:fill="F2F4F8"/>
            <w:tcMar>
              <w:top w:w="60" w:type="dxa"/>
              <w:bottom w:w="60" w:type="dxa"/>
              <w:left w:w="90" w:type="dxa"/>
              <w:right w:w="90" w:type="dxa"/>
            </w:tcMar>
            <w:vAlign w:val="center"/>
          </w:tcPr>
          <w:p>
            <w:pPr>
              <w:spacing w:before="30" w:after="30"/>
              <w:jc w:val="center"/>
            </w:pPr>
            <w:r/>
            <w:r>
              <w:rPr>
                <w:rFonts w:ascii="Arial" w:hAnsi="Arial"/>
                <w:b/>
                <w:color w:val="111111"/>
                <w:sz w:val="16"/>
              </w:rPr>
              <w:t>Dataset &amp; Evaluation Protocol</w:t>
            </w:r>
          </w:p>
        </w:tc>
        <w:tc>
          <w:tcPr>
            <w:tcW w:type="dxa" w:w="2304"/>
            <w:shd w:fill="F2F4F8"/>
            <w:tcMar>
              <w:top w:w="60" w:type="dxa"/>
              <w:bottom w:w="60" w:type="dxa"/>
              <w:left w:w="90" w:type="dxa"/>
              <w:right w:w="90" w:type="dxa"/>
            </w:tcMar>
            <w:vAlign w:val="center"/>
          </w:tcPr>
          <w:p>
            <w:pPr>
              <w:spacing w:before="30" w:after="30"/>
              <w:jc w:val="center"/>
            </w:pPr>
            <w:r/>
            <w:r>
              <w:rPr>
                <w:rFonts w:ascii="Arial" w:hAnsi="Arial"/>
                <w:b/>
                <w:color w:val="111111"/>
                <w:sz w:val="16"/>
              </w:rPr>
              <w:t>Random Seed</w:t>
            </w:r>
          </w:p>
        </w:tc>
        <w:tc>
          <w:tcPr>
            <w:tcW w:type="dxa" w:w="2592"/>
            <w:shd w:fill="F2F4F8"/>
            <w:tcMar>
              <w:top w:w="60" w:type="dxa"/>
              <w:bottom w:w="60" w:type="dxa"/>
              <w:left w:w="90" w:type="dxa"/>
              <w:right w:w="90" w:type="dxa"/>
            </w:tcMar>
            <w:vAlign w:val="center"/>
          </w:tcPr>
          <w:p>
            <w:pPr>
              <w:spacing w:before="30" w:after="30"/>
              <w:jc w:val="center"/>
            </w:pPr>
            <w:r/>
            <w:r>
              <w:rPr>
                <w:rFonts w:ascii="Arial" w:hAnsi="Arial"/>
                <w:b/>
                <w:color w:val="111111"/>
                <w:sz w:val="16"/>
              </w:rPr>
              <w:t>Primary Tier: Strict Exact F1</w:t>
            </w:r>
          </w:p>
        </w:tc>
        <w:tc>
          <w:tcPr>
            <w:tcW w:type="dxa" w:w="2592"/>
            <w:shd w:fill="F2F4F8"/>
            <w:tcMar>
              <w:top w:w="60" w:type="dxa"/>
              <w:bottom w:w="60" w:type="dxa"/>
              <w:left w:w="90" w:type="dxa"/>
              <w:right w:w="90" w:type="dxa"/>
            </w:tcMar>
            <w:vAlign w:val="center"/>
          </w:tcPr>
          <w:p>
            <w:pPr>
              <w:spacing w:before="30" w:after="30"/>
              <w:jc w:val="center"/>
            </w:pPr>
            <w:r/>
            <w:r>
              <w:rPr>
                <w:rFonts w:ascii="Arial" w:hAnsi="Arial"/>
                <w:b/>
                <w:color w:val="111111"/>
                <w:sz w:val="16"/>
              </w:rPr>
              <w:t>Secondary Tier: Adapted ADE F1</w:t>
            </w:r>
          </w:p>
        </w:tc>
      </w:tr>
      <w:tr>
        <w:tc>
          <w:tcPr>
            <w:tcW w:type="dxa" w:w="3456"/>
            <w:shd w:fill="FFFFFF"/>
            <w:tcMar>
              <w:top w:w="60" w:type="dxa"/>
              <w:bottom w:w="60" w:type="dxa"/>
              <w:left w:w="90" w:type="dxa"/>
              <w:right w:w="90" w:type="dxa"/>
            </w:tcMar>
            <w:vAlign w:val="center"/>
          </w:tcPr>
          <w:p>
            <w:pPr>
              <w:spacing w:before="30" w:after="30"/>
              <w:jc w:val="left"/>
            </w:pPr>
            <w:r/>
            <w:r>
              <w:rPr>
                <w:rFonts w:ascii="Arial" w:hAnsi="Arial"/>
                <w:b/>
                <w:color w:val="222222"/>
                <w:sz w:val="16"/>
              </w:rPr>
              <w:t>FAERS (4-Fold LOO, N = 829)</w:t>
            </w:r>
          </w:p>
        </w:tc>
        <w:tc>
          <w:tcPr>
            <w:tcW w:type="dxa" w:w="2304"/>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Seed 42</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0.5582 ± 0.0649</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0.7431 ± 0.0295</w:t>
            </w:r>
          </w:p>
        </w:tc>
      </w:tr>
      <w:tr>
        <w:tc>
          <w:tcPr>
            <w:tcW w:type="dxa" w:w="3456"/>
            <w:shd w:fill="FBFBFB"/>
            <w:tcMar>
              <w:top w:w="60" w:type="dxa"/>
              <w:bottom w:w="60" w:type="dxa"/>
              <w:left w:w="90" w:type="dxa"/>
              <w:right w:w="90" w:type="dxa"/>
            </w:tcMar>
            <w:vAlign w:val="center"/>
          </w:tcPr>
          <w:p>
            <w:pPr>
              <w:spacing w:before="30" w:after="30"/>
              <w:jc w:val="left"/>
            </w:pPr>
            <w:r/>
            <w:r>
              <w:rPr>
                <w:rFonts w:ascii="Arial" w:hAnsi="Arial"/>
                <w:b/>
                <w:color w:val="222222"/>
                <w:sz w:val="16"/>
              </w:rPr>
              <w:t>FAERS (4-Fold LOO, N = 829)</w:t>
            </w:r>
          </w:p>
        </w:tc>
        <w:tc>
          <w:tcPr>
            <w:tcW w:type="dxa" w:w="2304"/>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Seed 123</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0.5652 ± 0.0509</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0.7402 ± 0.0293</w:t>
            </w:r>
          </w:p>
        </w:tc>
      </w:tr>
      <w:tr>
        <w:tc>
          <w:tcPr>
            <w:tcW w:type="dxa" w:w="3456"/>
            <w:shd w:fill="FFFFFF"/>
            <w:tcMar>
              <w:top w:w="60" w:type="dxa"/>
              <w:bottom w:w="60" w:type="dxa"/>
              <w:left w:w="90" w:type="dxa"/>
              <w:right w:w="90" w:type="dxa"/>
            </w:tcMar>
            <w:vAlign w:val="center"/>
          </w:tcPr>
          <w:p>
            <w:pPr>
              <w:spacing w:before="30" w:after="30"/>
              <w:jc w:val="left"/>
            </w:pPr>
            <w:r/>
            <w:r>
              <w:rPr>
                <w:rFonts w:ascii="Arial" w:hAnsi="Arial"/>
                <w:b/>
                <w:color w:val="222222"/>
                <w:sz w:val="16"/>
              </w:rPr>
              <w:t>FAERS (4-Fold LOO, N = 829)</w:t>
            </w:r>
          </w:p>
        </w:tc>
        <w:tc>
          <w:tcPr>
            <w:tcW w:type="dxa" w:w="2304"/>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Seed 456</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0.5783 ± 0.0697</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0.7586 ± 0.0355</w:t>
            </w:r>
          </w:p>
        </w:tc>
      </w:tr>
      <w:tr>
        <w:tc>
          <w:tcPr>
            <w:tcW w:type="dxa" w:w="3456"/>
            <w:shd w:fill="FBFBFB"/>
            <w:tcMar>
              <w:top w:w="60" w:type="dxa"/>
              <w:bottom w:w="60" w:type="dxa"/>
              <w:left w:w="90" w:type="dxa"/>
              <w:right w:w="90" w:type="dxa"/>
            </w:tcMar>
            <w:vAlign w:val="center"/>
          </w:tcPr>
          <w:p>
            <w:pPr>
              <w:spacing w:before="30" w:after="30"/>
              <w:jc w:val="left"/>
            </w:pPr>
            <w:r/>
            <w:r>
              <w:rPr>
                <w:rFonts w:ascii="Arial" w:hAnsi="Arial"/>
                <w:b/>
                <w:color w:val="222222"/>
                <w:sz w:val="16"/>
              </w:rPr>
              <w:t>FAERS (4-Fold LOO, N = 829)</w:t>
            </w:r>
          </w:p>
        </w:tc>
        <w:tc>
          <w:tcPr>
            <w:tcW w:type="dxa" w:w="2304"/>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Seed 789</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0.5662 ± 0.0476</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0.7413 ± 0.0324</w:t>
            </w:r>
          </w:p>
        </w:tc>
      </w:tr>
      <w:tr>
        <w:tc>
          <w:tcPr>
            <w:tcW w:type="dxa" w:w="3456"/>
            <w:shd w:fill="FFFFFF"/>
            <w:tcMar>
              <w:top w:w="60" w:type="dxa"/>
              <w:bottom w:w="60" w:type="dxa"/>
              <w:left w:w="90" w:type="dxa"/>
              <w:right w:w="90" w:type="dxa"/>
            </w:tcMar>
            <w:vAlign w:val="center"/>
          </w:tcPr>
          <w:p>
            <w:pPr>
              <w:spacing w:before="30" w:after="30"/>
              <w:jc w:val="left"/>
            </w:pPr>
            <w:r/>
            <w:r>
              <w:rPr>
                <w:rFonts w:ascii="Arial" w:hAnsi="Arial"/>
                <w:b/>
                <w:color w:val="222222"/>
                <w:sz w:val="16"/>
              </w:rPr>
              <w:t>FAERS (4-Fold LOO, N = 829)</w:t>
            </w:r>
          </w:p>
        </w:tc>
        <w:tc>
          <w:tcPr>
            <w:tcW w:type="dxa" w:w="2304"/>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Seed 1011</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0.5748 ± 0.0694</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0.7484 ± 0.0371</w:t>
            </w:r>
          </w:p>
        </w:tc>
      </w:tr>
      <w:tr>
        <w:tc>
          <w:tcPr>
            <w:tcW w:type="dxa" w:w="3456"/>
            <w:shd w:fill="FBFBFB"/>
            <w:tcMar>
              <w:top w:w="60" w:type="dxa"/>
              <w:bottom w:w="60" w:type="dxa"/>
              <w:left w:w="90" w:type="dxa"/>
              <w:right w:w="90" w:type="dxa"/>
            </w:tcMar>
            <w:vAlign w:val="center"/>
          </w:tcPr>
          <w:p>
            <w:pPr>
              <w:spacing w:before="30" w:after="30"/>
              <w:jc w:val="left"/>
            </w:pPr>
            <w:r/>
            <w:r>
              <w:rPr>
                <w:rFonts w:ascii="Arial" w:hAnsi="Arial"/>
                <w:b/>
                <w:color w:val="222222"/>
                <w:sz w:val="16"/>
              </w:rPr>
              <w:t>FAERS (4-Fold LOO, Pooled)</w:t>
            </w:r>
          </w:p>
        </w:tc>
        <w:tc>
          <w:tcPr>
            <w:tcW w:type="dxa" w:w="2304"/>
            <w:shd w:fill="FBFBFB"/>
            <w:tcMar>
              <w:top w:w="60" w:type="dxa"/>
              <w:bottom w:w="60" w:type="dxa"/>
              <w:left w:w="90" w:type="dxa"/>
              <w:right w:w="90" w:type="dxa"/>
            </w:tcMar>
            <w:vAlign w:val="center"/>
          </w:tcPr>
          <w:p>
            <w:pPr>
              <w:spacing w:before="30" w:after="30"/>
              <w:jc w:val="center"/>
            </w:pPr>
            <w:r/>
            <w:r>
              <w:rPr>
                <w:rFonts w:ascii="Arial" w:hAnsi="Arial"/>
                <w:b/>
                <w:color w:val="222222"/>
                <w:sz w:val="16"/>
              </w:rPr>
              <w:t>Mean ± SD (5 Seeds)</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0.5685 ± 0.0080</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0.7463 ± 0.0076</w:t>
            </w:r>
          </w:p>
        </w:tc>
      </w:tr>
      <w:tr>
        <w:tc>
          <w:tcPr>
            <w:tcW w:type="dxa" w:w="3456"/>
            <w:shd w:fill="FFFFFF"/>
            <w:tcMar>
              <w:top w:w="60" w:type="dxa"/>
              <w:bottom w:w="60" w:type="dxa"/>
              <w:left w:w="90" w:type="dxa"/>
              <w:right w:w="90" w:type="dxa"/>
            </w:tcMar>
            <w:vAlign w:val="center"/>
          </w:tcPr>
          <w:p>
            <w:pPr>
              <w:spacing w:before="30" w:after="30"/>
              <w:jc w:val="left"/>
            </w:pPr>
            <w:r/>
            <w:r>
              <w:rPr>
                <w:rFonts w:ascii="Arial" w:hAnsi="Arial"/>
                <w:b/>
                <w:color w:val="222222"/>
                <w:sz w:val="16"/>
              </w:rPr>
              <w:t>VAERS (10-Fold CV, N = 1,000)</w:t>
            </w:r>
          </w:p>
        </w:tc>
        <w:tc>
          <w:tcPr>
            <w:tcW w:type="dxa" w:w="2304"/>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Seed 42</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0.6594 ± 0.0196</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0.7848 ± 0.0127</w:t>
            </w:r>
          </w:p>
        </w:tc>
      </w:tr>
      <w:tr>
        <w:tc>
          <w:tcPr>
            <w:tcW w:type="dxa" w:w="3456"/>
            <w:shd w:fill="FBFBFB"/>
            <w:tcMar>
              <w:top w:w="60" w:type="dxa"/>
              <w:bottom w:w="60" w:type="dxa"/>
              <w:left w:w="90" w:type="dxa"/>
              <w:right w:w="90" w:type="dxa"/>
            </w:tcMar>
            <w:vAlign w:val="center"/>
          </w:tcPr>
          <w:p>
            <w:pPr>
              <w:spacing w:before="30" w:after="30"/>
              <w:jc w:val="left"/>
            </w:pPr>
            <w:r/>
            <w:r>
              <w:rPr>
                <w:rFonts w:ascii="Arial" w:hAnsi="Arial"/>
                <w:b/>
                <w:color w:val="222222"/>
                <w:sz w:val="16"/>
              </w:rPr>
              <w:t>VAERS (10-Fold CV, N = 1,000)</w:t>
            </w:r>
          </w:p>
        </w:tc>
        <w:tc>
          <w:tcPr>
            <w:tcW w:type="dxa" w:w="2304"/>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Seed 123</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0.6601 ± 0.0175</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0.7891 ± 0.0104</w:t>
            </w:r>
          </w:p>
        </w:tc>
      </w:tr>
      <w:tr>
        <w:tc>
          <w:tcPr>
            <w:tcW w:type="dxa" w:w="3456"/>
            <w:shd w:fill="FFFFFF"/>
            <w:tcMar>
              <w:top w:w="60" w:type="dxa"/>
              <w:bottom w:w="60" w:type="dxa"/>
              <w:left w:w="90" w:type="dxa"/>
              <w:right w:w="90" w:type="dxa"/>
            </w:tcMar>
            <w:vAlign w:val="center"/>
          </w:tcPr>
          <w:p>
            <w:pPr>
              <w:spacing w:before="30" w:after="30"/>
              <w:jc w:val="left"/>
            </w:pPr>
            <w:r/>
            <w:r>
              <w:rPr>
                <w:rFonts w:ascii="Arial" w:hAnsi="Arial"/>
                <w:b/>
                <w:color w:val="222222"/>
                <w:sz w:val="16"/>
              </w:rPr>
              <w:t>VAERS (10-Fold CV, N = 1,000)</w:t>
            </w:r>
          </w:p>
        </w:tc>
        <w:tc>
          <w:tcPr>
            <w:tcW w:type="dxa" w:w="2304"/>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Seed 456</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0.6593 ± 0.0218</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0.7883 ± 0.0138</w:t>
            </w:r>
          </w:p>
        </w:tc>
      </w:tr>
      <w:tr>
        <w:tc>
          <w:tcPr>
            <w:tcW w:type="dxa" w:w="3456"/>
            <w:shd w:fill="FBFBFB"/>
            <w:tcMar>
              <w:top w:w="60" w:type="dxa"/>
              <w:bottom w:w="60" w:type="dxa"/>
              <w:left w:w="90" w:type="dxa"/>
              <w:right w:w="90" w:type="dxa"/>
            </w:tcMar>
            <w:vAlign w:val="center"/>
          </w:tcPr>
          <w:p>
            <w:pPr>
              <w:spacing w:before="30" w:after="30"/>
              <w:jc w:val="left"/>
            </w:pPr>
            <w:r/>
            <w:r>
              <w:rPr>
                <w:rFonts w:ascii="Arial" w:hAnsi="Arial"/>
                <w:b/>
                <w:color w:val="222222"/>
                <w:sz w:val="16"/>
              </w:rPr>
              <w:t>VAERS (10-Fold CV, N = 1,000)</w:t>
            </w:r>
          </w:p>
        </w:tc>
        <w:tc>
          <w:tcPr>
            <w:tcW w:type="dxa" w:w="2304"/>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Seed 789</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0.6615 ± 0.0159</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0.7907 ± 0.0095</w:t>
            </w:r>
          </w:p>
        </w:tc>
      </w:tr>
      <w:tr>
        <w:tc>
          <w:tcPr>
            <w:tcW w:type="dxa" w:w="3456"/>
            <w:shd w:fill="FFFFFF"/>
            <w:tcMar>
              <w:top w:w="60" w:type="dxa"/>
              <w:bottom w:w="60" w:type="dxa"/>
              <w:left w:w="90" w:type="dxa"/>
              <w:right w:w="90" w:type="dxa"/>
            </w:tcMar>
            <w:vAlign w:val="center"/>
          </w:tcPr>
          <w:p>
            <w:pPr>
              <w:spacing w:before="30" w:after="30"/>
              <w:jc w:val="left"/>
            </w:pPr>
            <w:r/>
            <w:r>
              <w:rPr>
                <w:rFonts w:ascii="Arial" w:hAnsi="Arial"/>
                <w:b/>
                <w:color w:val="222222"/>
                <w:sz w:val="16"/>
              </w:rPr>
              <w:t>VAERS (10-Fold CV, N = 1,000)</w:t>
            </w:r>
          </w:p>
        </w:tc>
        <w:tc>
          <w:tcPr>
            <w:tcW w:type="dxa" w:w="2304"/>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Seed 1011</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0.6574 ± 0.0169</w:t>
            </w:r>
          </w:p>
        </w:tc>
        <w:tc>
          <w:tcPr>
            <w:tcW w:type="dxa" w:w="259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0.7879 ± 0.0106</w:t>
            </w:r>
          </w:p>
        </w:tc>
      </w:tr>
      <w:tr>
        <w:tc>
          <w:tcPr>
            <w:tcW w:type="dxa" w:w="3456"/>
            <w:shd w:fill="FBFBFB"/>
            <w:tcMar>
              <w:top w:w="60" w:type="dxa"/>
              <w:bottom w:w="60" w:type="dxa"/>
              <w:left w:w="90" w:type="dxa"/>
              <w:right w:w="90" w:type="dxa"/>
            </w:tcMar>
            <w:vAlign w:val="center"/>
          </w:tcPr>
          <w:p>
            <w:pPr>
              <w:spacing w:before="30" w:after="30"/>
              <w:jc w:val="left"/>
            </w:pPr>
            <w:r/>
            <w:r>
              <w:rPr>
                <w:rFonts w:ascii="Arial" w:hAnsi="Arial"/>
                <w:b/>
                <w:color w:val="222222"/>
                <w:sz w:val="16"/>
              </w:rPr>
              <w:t>VAERS (10-Fold CV, Pooled)</w:t>
            </w:r>
          </w:p>
        </w:tc>
        <w:tc>
          <w:tcPr>
            <w:tcW w:type="dxa" w:w="2304"/>
            <w:shd w:fill="FBFBFB"/>
            <w:tcMar>
              <w:top w:w="60" w:type="dxa"/>
              <w:bottom w:w="60" w:type="dxa"/>
              <w:left w:w="90" w:type="dxa"/>
              <w:right w:w="90" w:type="dxa"/>
            </w:tcMar>
            <w:vAlign w:val="center"/>
          </w:tcPr>
          <w:p>
            <w:pPr>
              <w:spacing w:before="30" w:after="30"/>
              <w:jc w:val="center"/>
            </w:pPr>
            <w:r/>
            <w:r>
              <w:rPr>
                <w:rFonts w:ascii="Arial" w:hAnsi="Arial"/>
                <w:b/>
                <w:color w:val="222222"/>
                <w:sz w:val="16"/>
              </w:rPr>
              <w:t>Mean ± SD (5 Seeds)</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0.6595 ± 0.0015</w:t>
            </w:r>
          </w:p>
        </w:tc>
        <w:tc>
          <w:tcPr>
            <w:tcW w:type="dxa" w:w="259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0.7882 ± 0.0022</w:t>
            </w:r>
          </w:p>
        </w:tc>
      </w:tr>
    </w:tbl>
    <w:p w14:paraId="5CA0D62B" w14:textId="77777777" w:rsidR="008A16A5" w:rsidRDefault="008A16A5" w:rsidP="00BE1A8A"/>
    <w:p w14:paraId="21451B98" w14:textId="77777777" w:rsidR="00BE1A8A" w:rsidRPr="00BE1A8A" w:rsidRDefault="008A16A5" w:rsidP="005064A1">
      <w:pPr>
        <w:pStyle w:val="Heading3"/>
      </w:pPr>
      <w:r>
        <w:t xml:space="preserve">LLM Output Format Impact </w:t>
      </w:r>
    </w:p>
    <w:p w14:paraId="7340663D" w14:textId="77777777" w:rsidR="00355FD6" w:rsidRDefault="008A16A5" w:rsidP="00413F31">
      <w:r>
        <w:t>We investigated whether the output representation paradigm impacts generative LLM extraction fidelity. We benchmarked two structured output paradigms on FAERS (Table 7): (1) Inline Tagged XML (P2_TAG), where the LLM embeds XML tags directly into the narrative text, versus (2) JSON Schema, where the LLM produces a structured JSON array of extracted entity spans and character offsets across the 17 clinical concept categories. The inline XML tagging approach achieved higher adapted ADE F1 (0.6249 vs. 0.5995) and higher recall (0.5796 vs. 0.5232) with a 100.0% boundary alignment reconstruction rate, whereas JSON generation suppressed non-overlapping spurious entities by 25.9% (yielding higher strict precision, 0.3785 vs. 0.3470) but suffered from a 6.6% misalignment rate due to character offset hallucination and coordinate drift over long narratives.</w:t>
      </w:r>
    </w:p>
    <w:p w14:paraId="089F3211" w14:textId="77777777" w:rsidR="00EF6AE3" w:rsidRPr="00C926B1" w:rsidRDefault="00EF6AE3" w:rsidP="00413F31">
      <w:pPr>
        <w:rPr>
          <w:sz w:val="20"/>
          <w:szCs w:val="20"/>
        </w:rPr>
      </w:pPr>
      <w:r>
        <w:t>Table 7. Impact of LLM Output Format Paradigm (Inline Tagged XML vs. Structured JSON Schema Offsets) on Entity Extraction and Offset Alignment.</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872"/>
        <w:gridCol w:w="1872"/>
        <w:gridCol w:w="1872"/>
        <w:gridCol w:w="1872"/>
        <w:gridCol w:w="1872"/>
      </w:tblGrid>
      <w:tr>
        <w:tc>
          <w:tcPr>
            <w:tcW w:type="dxa" w:w="2304"/>
            <w:shd w:fill="F2F4F8"/>
            <w:tcMar>
              <w:top w:w="60" w:type="dxa"/>
              <w:bottom w:w="60" w:type="dxa"/>
              <w:left w:w="90" w:type="dxa"/>
              <w:right w:w="90" w:type="dxa"/>
            </w:tcMar>
            <w:vAlign w:val="center"/>
          </w:tcPr>
          <w:p>
            <w:pPr>
              <w:spacing w:before="30" w:after="30"/>
              <w:jc w:val="center"/>
            </w:pPr>
            <w:r/>
            <w:r>
              <w:rPr>
                <w:rFonts w:ascii="Arial" w:hAnsi="Arial"/>
                <w:b/>
                <w:color w:val="111111"/>
                <w:sz w:val="16"/>
              </w:rPr>
              <w:t>Model</w:t>
            </w:r>
          </w:p>
        </w:tc>
        <w:tc>
          <w:tcPr>
            <w:tcW w:type="dxa" w:w="3312"/>
            <w:shd w:fill="F2F4F8"/>
            <w:tcMar>
              <w:top w:w="60" w:type="dxa"/>
              <w:bottom w:w="60" w:type="dxa"/>
              <w:left w:w="90" w:type="dxa"/>
              <w:right w:w="90" w:type="dxa"/>
            </w:tcMar>
            <w:vAlign w:val="center"/>
          </w:tcPr>
          <w:p>
            <w:pPr>
              <w:spacing w:before="30" w:after="30"/>
              <w:jc w:val="center"/>
            </w:pPr>
            <w:r/>
            <w:r>
              <w:rPr>
                <w:rFonts w:ascii="Arial" w:hAnsi="Arial"/>
                <w:b/>
                <w:color w:val="111111"/>
                <w:sz w:val="16"/>
              </w:rPr>
              <w:t>Prompt Strategy &amp; Output Paradigm</w:t>
            </w:r>
          </w:p>
        </w:tc>
        <w:tc>
          <w:tcPr>
            <w:tcW w:type="dxa" w:w="1728"/>
            <w:shd w:fill="F2F4F8"/>
            <w:tcMar>
              <w:top w:w="60" w:type="dxa"/>
              <w:bottom w:w="60" w:type="dxa"/>
              <w:left w:w="90" w:type="dxa"/>
              <w:right w:w="90" w:type="dxa"/>
            </w:tcMar>
            <w:vAlign w:val="center"/>
          </w:tcPr>
          <w:p>
            <w:pPr>
              <w:spacing w:before="30" w:after="30"/>
              <w:jc w:val="center"/>
            </w:pPr>
            <w:r/>
            <w:r>
              <w:rPr>
                <w:rFonts w:ascii="Arial" w:hAnsi="Arial"/>
                <w:b/>
                <w:color w:val="111111"/>
                <w:sz w:val="16"/>
              </w:rPr>
              <w:t>Strict Exact-Match F1</w:t>
            </w:r>
          </w:p>
        </w:tc>
        <w:tc>
          <w:tcPr>
            <w:tcW w:type="dxa" w:w="1728"/>
            <w:shd w:fill="F2F4F8"/>
            <w:tcMar>
              <w:top w:w="60" w:type="dxa"/>
              <w:bottom w:w="60" w:type="dxa"/>
              <w:left w:w="90" w:type="dxa"/>
              <w:right w:w="90" w:type="dxa"/>
            </w:tcMar>
            <w:vAlign w:val="center"/>
          </w:tcPr>
          <w:p>
            <w:pPr>
              <w:spacing w:before="30" w:after="30"/>
              <w:jc w:val="center"/>
            </w:pPr>
            <w:r/>
            <w:r>
              <w:rPr>
                <w:rFonts w:ascii="Arial" w:hAnsi="Arial"/>
                <w:b/>
                <w:color w:val="111111"/>
                <w:sz w:val="16"/>
              </w:rPr>
              <w:t>Adapted ADE-Eval F1</w:t>
            </w:r>
          </w:p>
        </w:tc>
        <w:tc>
          <w:tcPr>
            <w:tcW w:type="dxa" w:w="1728"/>
            <w:shd w:fill="F2F4F8"/>
            <w:tcMar>
              <w:top w:w="60" w:type="dxa"/>
              <w:bottom w:w="60" w:type="dxa"/>
              <w:left w:w="90" w:type="dxa"/>
              <w:right w:w="90" w:type="dxa"/>
            </w:tcMar>
            <w:vAlign w:val="center"/>
          </w:tcPr>
          <w:p>
            <w:pPr>
              <w:spacing w:before="30" w:after="30"/>
              <w:jc w:val="center"/>
            </w:pPr>
            <w:r/>
            <w:r>
              <w:rPr>
                <w:rFonts w:ascii="Arial" w:hAnsi="Arial"/>
                <w:b/>
                <w:color w:val="111111"/>
                <w:sz w:val="16"/>
              </w:rPr>
              <w:t>Boundary Alignment Success</w:t>
            </w:r>
          </w:p>
        </w:tc>
      </w:tr>
      <w:tr>
        <w:tc>
          <w:tcPr>
            <w:tcW w:type="dxa" w:w="2304"/>
            <w:shd w:fill="FFFFFF"/>
            <w:tcMar>
              <w:top w:w="60" w:type="dxa"/>
              <w:bottom w:w="60" w:type="dxa"/>
              <w:left w:w="90" w:type="dxa"/>
              <w:right w:w="90" w:type="dxa"/>
            </w:tcMar>
            <w:vAlign w:val="center"/>
          </w:tcPr>
          <w:p>
            <w:pPr>
              <w:spacing w:before="30" w:after="30"/>
              <w:jc w:val="left"/>
            </w:pPr>
            <w:r/>
            <w:r>
              <w:rPr>
                <w:rFonts w:ascii="Arial" w:hAnsi="Arial"/>
                <w:b/>
                <w:color w:val="222222"/>
                <w:sz w:val="16"/>
              </w:rPr>
              <w:t>LLaMA 4 (1-shot)</w:t>
            </w:r>
          </w:p>
        </w:tc>
        <w:tc>
          <w:tcPr>
            <w:tcW w:type="dxa" w:w="331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Inline Tagged XML (P2_TAG)</w:t>
            </w:r>
          </w:p>
        </w:tc>
        <w:tc>
          <w:tcPr>
            <w:tcW w:type="dxa" w:w="1728"/>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0.4043</w:t>
            </w:r>
          </w:p>
        </w:tc>
        <w:tc>
          <w:tcPr>
            <w:tcW w:type="dxa" w:w="1728"/>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0.6249</w:t>
            </w:r>
          </w:p>
        </w:tc>
        <w:tc>
          <w:tcPr>
            <w:tcW w:type="dxa" w:w="1728"/>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100.0%</w:t>
            </w:r>
          </w:p>
        </w:tc>
      </w:tr>
      <w:tr>
        <w:tc>
          <w:tcPr>
            <w:tcW w:type="dxa" w:w="2304"/>
            <w:shd w:fill="FBFBFB"/>
            <w:tcMar>
              <w:top w:w="60" w:type="dxa"/>
              <w:bottom w:w="60" w:type="dxa"/>
              <w:left w:w="90" w:type="dxa"/>
              <w:right w:w="90" w:type="dxa"/>
            </w:tcMar>
            <w:vAlign w:val="center"/>
          </w:tcPr>
          <w:p>
            <w:pPr>
              <w:spacing w:before="30" w:after="30"/>
              <w:jc w:val="left"/>
            </w:pPr>
            <w:r/>
            <w:r>
              <w:rPr>
                <w:rFonts w:ascii="Arial" w:hAnsi="Arial"/>
                <w:b/>
                <w:color w:val="222222"/>
                <w:sz w:val="16"/>
              </w:rPr>
              <w:t>LLaMA 4 (1-shot)</w:t>
            </w:r>
          </w:p>
        </w:tc>
        <w:tc>
          <w:tcPr>
            <w:tcW w:type="dxa" w:w="3312"/>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JSON Schema (Structured Span Offsets)</w:t>
            </w:r>
          </w:p>
        </w:tc>
        <w:tc>
          <w:tcPr>
            <w:tcW w:type="dxa" w:w="1728"/>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0.4071</w:t>
            </w:r>
          </w:p>
        </w:tc>
        <w:tc>
          <w:tcPr>
            <w:tcW w:type="dxa" w:w="1728"/>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0.5995</w:t>
            </w:r>
          </w:p>
        </w:tc>
        <w:tc>
          <w:tcPr>
            <w:tcW w:type="dxa" w:w="1728"/>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93.4%</w:t>
            </w:r>
          </w:p>
        </w:tc>
      </w:tr>
      <w:tr>
        <w:tc>
          <w:tcPr>
            <w:tcW w:type="dxa" w:w="2304"/>
            <w:shd w:fill="FFFFFF"/>
            <w:tcMar>
              <w:top w:w="60" w:type="dxa"/>
              <w:bottom w:w="60" w:type="dxa"/>
              <w:left w:w="90" w:type="dxa"/>
              <w:right w:w="90" w:type="dxa"/>
            </w:tcMar>
            <w:vAlign w:val="center"/>
          </w:tcPr>
          <w:p>
            <w:pPr>
              <w:spacing w:before="30" w:after="30"/>
              <w:jc w:val="left"/>
            </w:pPr>
            <w:r/>
            <w:r>
              <w:rPr>
                <w:rFonts w:ascii="Arial" w:hAnsi="Arial"/>
                <w:b/>
                <w:color w:val="222222"/>
                <w:sz w:val="16"/>
              </w:rPr>
              <w:t>Claude 4.6 Sonnet (1-shot)</w:t>
            </w:r>
          </w:p>
        </w:tc>
        <w:tc>
          <w:tcPr>
            <w:tcW w:type="dxa" w:w="3312"/>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Inline Tagged XML (P2_TAG)</w:t>
            </w:r>
          </w:p>
        </w:tc>
        <w:tc>
          <w:tcPr>
            <w:tcW w:type="dxa" w:w="1728"/>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0.4667</w:t>
            </w:r>
          </w:p>
        </w:tc>
        <w:tc>
          <w:tcPr>
            <w:tcW w:type="dxa" w:w="1728"/>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0.6443</w:t>
            </w:r>
          </w:p>
        </w:tc>
        <w:tc>
          <w:tcPr>
            <w:tcW w:type="dxa" w:w="1728"/>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100.0%</w:t>
            </w:r>
          </w:p>
        </w:tc>
      </w:tr>
    </w:tbl>
    <w:p w14:paraId="44230C29" w14:textId="77777777" w:rsidR="00C96FE9" w:rsidRDefault="00C96FE9" w:rsidP="00C96FE9">
      <w:pPr>
        <w:pStyle w:val="Heading3"/>
      </w:pPr>
    </w:p>
    <w:p w14:paraId="0F966706" w14:textId="77777777" w:rsidR="00C96FE9" w:rsidRDefault="00C96FE9" w:rsidP="00C96FE9">
      <w:pPr>
        <w:pStyle w:val="Heading3"/>
      </w:pPr>
      <w:r>
        <w:t>Pretrained Transformer Encoder Architecture Ablation</w:t>
      </w:r>
    </w:p>
    <w:p w14:paraId="17FB1AC3" w14:textId="77777777" w:rsidR="00C96FE9" w:rsidRDefault="00C96FE9" w:rsidP="00C96FE9">
      <w:pPr>
        <w:rPr>
          <w:lang w:eastAsia="zh-CN"/>
        </w:rPr>
      </w:pPr>
      <w:r>
        <w:t>To investigate the impact of underlying pretraining corpora on pharmacovigilance concept extraction, we conducted an ablation study comparing four transformer encoder architectures (BERT-Base, BioBERT, Bio_ClinicalBERT, and ClinicalBERT) on the VAERS dataset across 5 independent random initialization seeds (Table 8). BioBERT achieved the highest validation F1 (0.8471 ± 0.0058, Precision = 0.8666, Recall = 0.8285), confirming its selection as the primary encoder architecture. All four models demonstrated close performance with minimal variance across seeds (SD &lt; 0.009).</w:t>
      </w:r>
    </w:p>
    <w:p w14:paraId="173E6C8E" w14:textId="77777777" w:rsidR="00C96FE9" w:rsidRDefault="00C96FE9" w:rsidP="00C96FE9">
      <w:pPr>
        <w:spacing w:before="120" w:after="60"/>
      </w:pPr>
      <w:r>
        <w:t>Table 8. Pretrained Transformer Encoder Architecture Ablation on the VAERS Dataset Across Five Independent Random Initialization Seeds (N = 1,000 Reports).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872"/>
        <w:gridCol w:w="1872"/>
        <w:gridCol w:w="1872"/>
        <w:gridCol w:w="1872"/>
        <w:gridCol w:w="1872"/>
      </w:tblGrid>
      <w:tr>
        <w:tc>
          <w:tcPr>
            <w:tcW w:type="dxa" w:w="2592"/>
            <w:shd w:fill="F2F4F8"/>
            <w:tcMar>
              <w:top w:w="60" w:type="dxa"/>
              <w:bottom w:w="60" w:type="dxa"/>
              <w:left w:w="90" w:type="dxa"/>
              <w:right w:w="90" w:type="dxa"/>
            </w:tcMar>
            <w:vAlign w:val="center"/>
          </w:tcPr>
          <w:p>
            <w:pPr>
              <w:spacing w:before="30" w:after="30"/>
              <w:jc w:val="center"/>
            </w:pPr>
            <w:r/>
            <w:r>
              <w:rPr>
                <w:rFonts w:ascii="Arial" w:hAnsi="Arial"/>
                <w:b/>
                <w:color w:val="111111"/>
                <w:sz w:val="16"/>
              </w:rPr>
              <w:t>Model Architecture</w:t>
            </w:r>
          </w:p>
        </w:tc>
        <w:tc>
          <w:tcPr>
            <w:tcW w:type="dxa" w:w="2016"/>
            <w:shd w:fill="F2F4F8"/>
            <w:tcMar>
              <w:top w:w="60" w:type="dxa"/>
              <w:bottom w:w="60" w:type="dxa"/>
              <w:left w:w="90" w:type="dxa"/>
              <w:right w:w="90" w:type="dxa"/>
            </w:tcMar>
            <w:vAlign w:val="center"/>
          </w:tcPr>
          <w:p>
            <w:pPr>
              <w:spacing w:before="30" w:after="30"/>
              <w:jc w:val="center"/>
            </w:pPr>
            <w:r/>
            <w:r>
              <w:rPr>
                <w:rFonts w:ascii="Arial" w:hAnsi="Arial"/>
                <w:b/>
                <w:color w:val="111111"/>
                <w:sz w:val="16"/>
              </w:rPr>
              <w:t>Validation F1 (Mean ± SD)</w:t>
            </w:r>
          </w:p>
        </w:tc>
        <w:tc>
          <w:tcPr>
            <w:tcW w:type="dxa" w:w="2016"/>
            <w:shd w:fill="F2F4F8"/>
            <w:tcMar>
              <w:top w:w="60" w:type="dxa"/>
              <w:bottom w:w="60" w:type="dxa"/>
              <w:left w:w="90" w:type="dxa"/>
              <w:right w:w="90" w:type="dxa"/>
            </w:tcMar>
            <w:vAlign w:val="center"/>
          </w:tcPr>
          <w:p>
            <w:pPr>
              <w:spacing w:before="30" w:after="30"/>
              <w:jc w:val="center"/>
            </w:pPr>
            <w:r/>
            <w:r>
              <w:rPr>
                <w:rFonts w:ascii="Arial" w:hAnsi="Arial"/>
                <w:b/>
                <w:color w:val="111111"/>
                <w:sz w:val="16"/>
              </w:rPr>
              <w:t>Validation Precision</w:t>
            </w:r>
          </w:p>
        </w:tc>
        <w:tc>
          <w:tcPr>
            <w:tcW w:type="dxa" w:w="2016"/>
            <w:shd w:fill="F2F4F8"/>
            <w:tcMar>
              <w:top w:w="60" w:type="dxa"/>
              <w:bottom w:w="60" w:type="dxa"/>
              <w:left w:w="90" w:type="dxa"/>
              <w:right w:w="90" w:type="dxa"/>
            </w:tcMar>
            <w:vAlign w:val="center"/>
          </w:tcPr>
          <w:p>
            <w:pPr>
              <w:spacing w:before="30" w:after="30"/>
              <w:jc w:val="center"/>
            </w:pPr>
            <w:r/>
            <w:r>
              <w:rPr>
                <w:rFonts w:ascii="Arial" w:hAnsi="Arial"/>
                <w:b/>
                <w:color w:val="111111"/>
                <w:sz w:val="16"/>
              </w:rPr>
              <w:t>Validation Recall</w:t>
            </w:r>
          </w:p>
        </w:tc>
        <w:tc>
          <w:tcPr>
            <w:tcW w:type="dxa" w:w="1728"/>
            <w:shd w:fill="F2F4F8"/>
            <w:tcMar>
              <w:top w:w="60" w:type="dxa"/>
              <w:bottom w:w="60" w:type="dxa"/>
              <w:left w:w="90" w:type="dxa"/>
              <w:right w:w="90" w:type="dxa"/>
            </w:tcMar>
            <w:vAlign w:val="center"/>
          </w:tcPr>
          <w:p>
            <w:pPr>
              <w:spacing w:before="30" w:after="30"/>
              <w:jc w:val="center"/>
            </w:pPr>
            <w:r/>
            <w:r>
              <w:rPr>
                <w:rFonts w:ascii="Arial" w:hAnsi="Arial"/>
                <w:b/>
                <w:color w:val="111111"/>
                <w:sz w:val="16"/>
              </w:rPr>
              <w:t>Clinical Score</w:t>
            </w:r>
          </w:p>
        </w:tc>
      </w:tr>
      <w:tr>
        <w:tc>
          <w:tcPr>
            <w:tcW w:type="dxa" w:w="2592"/>
            <w:shd w:fill="FFFFFF"/>
            <w:tcMar>
              <w:top w:w="60" w:type="dxa"/>
              <w:bottom w:w="60" w:type="dxa"/>
              <w:left w:w="90" w:type="dxa"/>
              <w:right w:w="90" w:type="dxa"/>
            </w:tcMar>
            <w:vAlign w:val="center"/>
          </w:tcPr>
          <w:p>
            <w:pPr>
              <w:spacing w:before="30" w:after="30"/>
              <w:jc w:val="left"/>
            </w:pPr>
            <w:r/>
            <w:r>
              <w:rPr>
                <w:rFonts w:ascii="Arial" w:hAnsi="Arial"/>
                <w:b/>
                <w:color w:val="222222"/>
                <w:sz w:val="16"/>
              </w:rPr>
              <w:t>BioBERT v1.1</w:t>
            </w:r>
          </w:p>
        </w:tc>
        <w:tc>
          <w:tcPr>
            <w:tcW w:type="dxa" w:w="2016"/>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0.8471 ± 0.0058</w:t>
            </w:r>
          </w:p>
        </w:tc>
        <w:tc>
          <w:tcPr>
            <w:tcW w:type="dxa" w:w="2016"/>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0.8666 ± 0.0048</w:t>
            </w:r>
          </w:p>
        </w:tc>
        <w:tc>
          <w:tcPr>
            <w:tcW w:type="dxa" w:w="2016"/>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0.8285 ± 0.0089</w:t>
            </w:r>
          </w:p>
        </w:tc>
        <w:tc>
          <w:tcPr>
            <w:tcW w:type="dxa" w:w="1728"/>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0.8500 ± 0.0071</w:t>
            </w:r>
          </w:p>
        </w:tc>
      </w:tr>
      <w:tr>
        <w:tc>
          <w:tcPr>
            <w:tcW w:type="dxa" w:w="2592"/>
            <w:shd w:fill="FBFBFB"/>
            <w:tcMar>
              <w:top w:w="60" w:type="dxa"/>
              <w:bottom w:w="60" w:type="dxa"/>
              <w:left w:w="90" w:type="dxa"/>
              <w:right w:w="90" w:type="dxa"/>
            </w:tcMar>
            <w:vAlign w:val="center"/>
          </w:tcPr>
          <w:p>
            <w:pPr>
              <w:spacing w:before="30" w:after="30"/>
              <w:jc w:val="left"/>
            </w:pPr>
            <w:r/>
            <w:r>
              <w:rPr>
                <w:rFonts w:ascii="Arial" w:hAnsi="Arial"/>
                <w:b/>
                <w:color w:val="222222"/>
                <w:sz w:val="16"/>
              </w:rPr>
              <w:t>Bio_ClinicalBERT</w:t>
            </w:r>
          </w:p>
        </w:tc>
        <w:tc>
          <w:tcPr>
            <w:tcW w:type="dxa" w:w="2016"/>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0.8433 ± 0.0070</w:t>
            </w:r>
          </w:p>
        </w:tc>
        <w:tc>
          <w:tcPr>
            <w:tcW w:type="dxa" w:w="2016"/>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0.8610 ± 0.0078</w:t>
            </w:r>
          </w:p>
        </w:tc>
        <w:tc>
          <w:tcPr>
            <w:tcW w:type="dxa" w:w="2016"/>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0.8264 ± 0.0104</w:t>
            </w:r>
          </w:p>
        </w:tc>
        <w:tc>
          <w:tcPr>
            <w:tcW w:type="dxa" w:w="1728"/>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0.8440 ± 0.0055</w:t>
            </w:r>
          </w:p>
        </w:tc>
      </w:tr>
      <w:tr>
        <w:tc>
          <w:tcPr>
            <w:tcW w:type="dxa" w:w="2592"/>
            <w:shd w:fill="FFFFFF"/>
            <w:tcMar>
              <w:top w:w="60" w:type="dxa"/>
              <w:bottom w:w="60" w:type="dxa"/>
              <w:left w:w="90" w:type="dxa"/>
              <w:right w:w="90" w:type="dxa"/>
            </w:tcMar>
            <w:vAlign w:val="center"/>
          </w:tcPr>
          <w:p>
            <w:pPr>
              <w:spacing w:before="30" w:after="30"/>
              <w:jc w:val="left"/>
            </w:pPr>
            <w:r/>
            <w:r>
              <w:rPr>
                <w:rFonts w:ascii="Arial" w:hAnsi="Arial"/>
                <w:b/>
                <w:color w:val="222222"/>
                <w:sz w:val="16"/>
              </w:rPr>
              <w:t>BERT-Base</w:t>
            </w:r>
          </w:p>
        </w:tc>
        <w:tc>
          <w:tcPr>
            <w:tcW w:type="dxa" w:w="2016"/>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0.8382 ± 0.0047</w:t>
            </w:r>
          </w:p>
        </w:tc>
        <w:tc>
          <w:tcPr>
            <w:tcW w:type="dxa" w:w="2016"/>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0.8596 ± 0.0055</w:t>
            </w:r>
          </w:p>
        </w:tc>
        <w:tc>
          <w:tcPr>
            <w:tcW w:type="dxa" w:w="2016"/>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0.8179 ± 0.0061</w:t>
            </w:r>
          </w:p>
        </w:tc>
        <w:tc>
          <w:tcPr>
            <w:tcW w:type="dxa" w:w="1728"/>
            <w:shd w:fill="FFFFFF"/>
            <w:tcMar>
              <w:top w:w="60" w:type="dxa"/>
              <w:bottom w:w="60" w:type="dxa"/>
              <w:left w:w="90" w:type="dxa"/>
              <w:right w:w="90" w:type="dxa"/>
            </w:tcMar>
            <w:vAlign w:val="center"/>
          </w:tcPr>
          <w:p>
            <w:pPr>
              <w:spacing w:before="30" w:after="30"/>
              <w:jc w:val="center"/>
            </w:pPr>
            <w:r/>
            <w:r>
              <w:rPr>
                <w:rFonts w:ascii="Arial" w:hAnsi="Arial"/>
                <w:b w:val="0"/>
                <w:color w:val="222222"/>
                <w:sz w:val="16"/>
              </w:rPr>
              <w:t>0.8420 ± 0.0045</w:t>
            </w:r>
          </w:p>
        </w:tc>
      </w:tr>
      <w:tr>
        <w:tc>
          <w:tcPr>
            <w:tcW w:type="dxa" w:w="2592"/>
            <w:shd w:fill="FBFBFB"/>
            <w:tcMar>
              <w:top w:w="60" w:type="dxa"/>
              <w:bottom w:w="60" w:type="dxa"/>
              <w:left w:w="90" w:type="dxa"/>
              <w:right w:w="90" w:type="dxa"/>
            </w:tcMar>
            <w:vAlign w:val="center"/>
          </w:tcPr>
          <w:p>
            <w:pPr>
              <w:spacing w:before="30" w:after="30"/>
              <w:jc w:val="left"/>
            </w:pPr>
            <w:r/>
            <w:r>
              <w:rPr>
                <w:rFonts w:ascii="Arial" w:hAnsi="Arial"/>
                <w:b/>
                <w:color w:val="222222"/>
                <w:sz w:val="16"/>
              </w:rPr>
              <w:t>ClinicalBERT</w:t>
            </w:r>
          </w:p>
        </w:tc>
        <w:tc>
          <w:tcPr>
            <w:tcW w:type="dxa" w:w="2016"/>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0.8369 ± 0.0086</w:t>
            </w:r>
          </w:p>
        </w:tc>
        <w:tc>
          <w:tcPr>
            <w:tcW w:type="dxa" w:w="2016"/>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0.8615 ± 0.0106</w:t>
            </w:r>
          </w:p>
        </w:tc>
        <w:tc>
          <w:tcPr>
            <w:tcW w:type="dxa" w:w="2016"/>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0.8140 ± 0.0167</w:t>
            </w:r>
          </w:p>
        </w:tc>
        <w:tc>
          <w:tcPr>
            <w:tcW w:type="dxa" w:w="1728"/>
            <w:shd w:fill="FBFBFB"/>
            <w:tcMar>
              <w:top w:w="60" w:type="dxa"/>
              <w:bottom w:w="60" w:type="dxa"/>
              <w:left w:w="90" w:type="dxa"/>
              <w:right w:w="90" w:type="dxa"/>
            </w:tcMar>
            <w:vAlign w:val="center"/>
          </w:tcPr>
          <w:p>
            <w:pPr>
              <w:spacing w:before="30" w:after="30"/>
              <w:jc w:val="center"/>
            </w:pPr>
            <w:r/>
            <w:r>
              <w:rPr>
                <w:rFonts w:ascii="Arial" w:hAnsi="Arial"/>
                <w:b w:val="0"/>
                <w:color w:val="222222"/>
                <w:sz w:val="16"/>
              </w:rPr>
              <w:t>0.8400 ± 0.0071</w:t>
            </w:r>
          </w:p>
        </w:tc>
      </w:tr>
    </w:tbl>
    <w:p w14:paraId="1B11FF29" w14:textId="77777777" w:rsidR="00C96FE9" w:rsidRDefault="00C96FE9" w:rsidP="00C96FE9"/>
    <w:p w14:paraId="1C767F0B" w14:textId="77777777" w:rsidR="00C96FE9" w:rsidRDefault="00C96FE9" w:rsidP="007D319B">
      <w:pPr>
        <w:pStyle w:val="Heading1"/>
      </w:pPr>
    </w:p>
    <w:p w14:paraId="08F496DA" w14:textId="77777777" w:rsidR="007D319B" w:rsidRPr="008A6017" w:rsidRDefault="007D319B" w:rsidP="007D319B">
      <w:pPr>
        <w:pStyle w:val="Heading1"/>
        <w:rPr>
          <w:rFonts w:asciiTheme="minorHAnsi" w:eastAsiaTheme="minorHAnsi" w:hAnsiTheme="minorHAnsi" w:cstheme="minorBidi"/>
          <w:color w:val="auto"/>
          <w:sz w:val="24"/>
          <w:szCs w:val="24"/>
        </w:rPr>
      </w:pPr>
      <w:r>
        <w:t xml:space="preserve">4. </w:t>
      </w:r>
      <w:r w:rsidRPr="007D319B">
        <w:t>Discussion</w:t>
      </w:r>
    </w:p>
    <w:p w14:paraId="2A4BD21C" w14:textId="77777777" w:rsidR="00443EF3" w:rsidRPr="00443EF3" w:rsidRDefault="00443EF3" w:rsidP="00443EF3">
      <w:r w:rsidRPr="00443EF3">
        <w:t xml:space="preserve">This work provides a systematic comparison of </w:t>
      </w:r>
      <w:r w:rsidR="00A52498">
        <w:t>automated</w:t>
      </w:r>
      <w:r w:rsidRPr="00443EF3">
        <w:t xml:space="preserve"> </w:t>
      </w:r>
      <w:r w:rsidR="00A52498">
        <w:t>system</w:t>
      </w:r>
      <w:r w:rsidRPr="00443EF3">
        <w:t>s for extracting clinical concepts from regulatory safety narratives, grounded in newly developed FAERS annotations and an established VAERS benchmark. The</w:t>
      </w:r>
      <w:r w:rsidR="006349AE">
        <w:t xml:space="preserve"> </w:t>
      </w:r>
      <w:r w:rsidR="00CE5FA9">
        <w:t>annotated</w:t>
      </w:r>
      <w:r w:rsidRPr="00443EF3">
        <w:t xml:space="preserve"> dataset </w:t>
      </w:r>
      <w:r w:rsidR="009B6174" w:rsidRPr="00443EF3">
        <w:t>captures</w:t>
      </w:r>
      <w:r w:rsidRPr="00443EF3">
        <w:t xml:space="preserve"> the complexity of real-world pharmacovigilance narratives and </w:t>
      </w:r>
      <w:r w:rsidR="007B4D47">
        <w:t xml:space="preserve">can </w:t>
      </w:r>
      <w:r w:rsidRPr="00443EF3">
        <w:t xml:space="preserve">serve as benchmarks for future NER and related </w:t>
      </w:r>
      <w:r w:rsidR="006C3106">
        <w:t xml:space="preserve">regulatory </w:t>
      </w:r>
      <w:r w:rsidRPr="00443EF3">
        <w:t>tasks.</w:t>
      </w:r>
    </w:p>
    <w:p w14:paraId="39C83664" w14:textId="77777777" w:rsidR="00443EF3" w:rsidRPr="00443EF3" w:rsidRDefault="00EC3536" w:rsidP="00443EF3">
      <w:r>
        <w:t xml:space="preserve">In this study, </w:t>
      </w:r>
      <w:r w:rsidR="00443EF3" w:rsidRPr="00443EF3">
        <w:t xml:space="preserve">we </w:t>
      </w:r>
      <w:r w:rsidR="00D14FE6">
        <w:t>observed</w:t>
      </w:r>
      <w:r w:rsidR="00443EF3" w:rsidRPr="00443EF3">
        <w:t xml:space="preserve"> that a </w:t>
      </w:r>
      <w:r w:rsidR="0042579B">
        <w:t>few</w:t>
      </w:r>
      <w:r w:rsidR="00443EF3" w:rsidRPr="00443EF3">
        <w:t xml:space="preserve">-shot, instruction-tuned LLM markedly outperforms a legacy rule-based system (ETHER). This highlights the utility of LLMs as a flexible baseline when annotated data or rule development is limited. </w:t>
      </w:r>
      <w:r w:rsidR="00887A80">
        <w:t>On the other hand</w:t>
      </w:r>
      <w:r w:rsidR="00443EF3" w:rsidRPr="00443EF3">
        <w:t xml:space="preserve">, </w:t>
      </w:r>
      <w:r w:rsidR="00891396">
        <w:t xml:space="preserve">a </w:t>
      </w:r>
      <w:r w:rsidR="00443EF3" w:rsidRPr="00443EF3">
        <w:t xml:space="preserve">supervised BERT model trained on high-quality annotations achieved consistently higher overall performance across both FAERS and VAERS datasets, with especially large gains for context-dependent categories such as STATUS, HX, and laboratory and diagnostic entities. </w:t>
      </w:r>
      <w:r w:rsidR="00443EF3" w:rsidRPr="00443EF3">
        <w:lastRenderedPageBreak/>
        <w:t>These findings reinforce the value of domain-specific supervised models for structured extraction tasks.</w:t>
      </w:r>
    </w:p>
    <w:p w14:paraId="50DB7956" w14:textId="77777777" w:rsidR="6D769565" w:rsidRDefault="35D5FCA7">
      <w:r>
        <w:t>Taken together with the FAERS results, these VAERS findings demonstrate that BERT-based models trained on high-quality human annotations provide more robust and reliable performance across heterogeneous pharmacovigilance datasets. While LLM-derived annotations offer a convenient low-resource alternative, their direct use leads to substantially lower accuracy, particularly in semantically complex categories such as STATUS, LAB, and HX. These results underscore the continued importance of curated human-labeled data for medical NER and highlight the effectiveness of supervised transformer models for large-scale safety narrative processing in real-world biomedical applications.</w:t>
      </w:r>
    </w:p>
    <w:p w14:paraId="0ECABE5F" w14:textId="77777777" w:rsidR="00443EF3" w:rsidRPr="00443EF3" w:rsidRDefault="00443EF3" w:rsidP="00443EF3">
      <w:r w:rsidRPr="00443EF3">
        <w:t xml:space="preserve">The reported performance should be interpreted in the context of a </w:t>
      </w:r>
      <w:r w:rsidR="00D96560">
        <w:t>multi-class</w:t>
      </w:r>
      <w:r w:rsidR="006668C3">
        <w:t xml:space="preserve"> classification</w:t>
      </w:r>
      <w:r w:rsidR="00FD5B6E">
        <w:t xml:space="preserve"> task</w:t>
      </w:r>
      <w:r w:rsidR="006668C3">
        <w:t xml:space="preserve"> with </w:t>
      </w:r>
      <w:r w:rsidR="00FD5B6E">
        <w:t xml:space="preserve">a </w:t>
      </w:r>
      <w:r w:rsidRPr="00443EF3">
        <w:t>stringent evaluation framework. Because the metric requires exact agreement in both span boundaries and fine-grained labels, it penalizes minor boundary differences and ambiguities between closely related categories (e.g., AE vs. diagnosis vs. medical history). As a result, the observed F1-scores likely underestimate the models’ ability to identify clinically relevant concepts, and should be understood as reflecting task complexity and strict evaluation criteria rather than limited practical utility.</w:t>
      </w:r>
    </w:p>
    <w:p w14:paraId="12F60C18" w14:textId="77777777" w:rsidR="004700A2" w:rsidRPr="004700A2" w:rsidRDefault="004700A2" w:rsidP="004700A2">
      <w:r w:rsidRPr="004700A2">
        <w:t>Error analysis provides additional context for the observed performance under this strict evaluation framework. BERT produces more exact matches and fewer hallucinated spans, reflecting stronger adherence to annotation boundaries and label definitions, but tends to miss entities in more ambiguous contexts. In contrast, the LLM shows broader coverage but introduces more boundary inconsistencies and label confusion, particularly among closely related categories (e.g., diagnosis vs. medical history). These patterns suggest that a substantial portion of “errors” arise from boundary mismatch or label ambiguity rather than complete failure to identify relevant clinical concepts, contributing to the relatively low F1-scores under exact-match evaluation.</w:t>
      </w:r>
    </w:p>
    <w:p w14:paraId="043AB66F" w14:textId="77777777" w:rsidR="004700A2" w:rsidRPr="004700A2" w:rsidRDefault="004700A2" w:rsidP="004700A2">
      <w:r w:rsidRPr="004700A2">
        <w:t>From a practical perspective, these differences highlight complementary roles of the two approaches. BERT serves as a stable and efficient “workhorse” for large-scale deployment, offering consistent, schema-adherent outputs, while LLMs provide flexibility for tasks such as initial annotation, candidate identification, and guideline refinement. This complementary design supports a hybrid workflow in which structured models ensure reliability and scalability, and LLMs facilitate iterative improvement through human-in-the-loop processes.</w:t>
      </w:r>
    </w:p>
    <w:p w14:paraId="5B757F43" w14:textId="77777777" w:rsidR="00443EF3" w:rsidRPr="00443EF3" w:rsidRDefault="00443EF3" w:rsidP="00443EF3">
      <w:r w:rsidRPr="00443EF3">
        <w:lastRenderedPageBreak/>
        <w:t xml:space="preserve">Beyond model comparison, the annotated datasets themselves provide a valuable resource for future research. By spanning both drug and vaccine safety narratives and incorporating harmonized entity definitions, they enable studies on cross-domain generalization, transfer learning, and multi-task modeling. The detailed error characterizations also highlight areas </w:t>
      </w:r>
      <w:proofErr w:type="gramStart"/>
      <w:r w:rsidRPr="00443EF3">
        <w:t>where</w:t>
      </w:r>
      <w:proofErr w:type="gramEnd"/>
      <w:r w:rsidRPr="00443EF3">
        <w:t xml:space="preserve"> additional training data, refined guidelines, or specialized modeling approaches may further improve performance.</w:t>
      </w:r>
    </w:p>
    <w:p w14:paraId="45A01D5C" w14:textId="77777777" w:rsidR="00443EF3" w:rsidRPr="00443EF3" w:rsidRDefault="00443EF3" w:rsidP="00443EF3">
      <w:r w:rsidRPr="00443EF3">
        <w:t>This study has several limitations. The annotated datasets, while carefully constructed, represent a subset of possible reporting scenarios and may not fully generalize across all products</w:t>
      </w:r>
      <w:r w:rsidR="007B4D47">
        <w:t xml:space="preserve"> and</w:t>
      </w:r>
      <w:r w:rsidRPr="00443EF3">
        <w:t xml:space="preserve"> </w:t>
      </w:r>
      <w:r w:rsidR="007B4D47">
        <w:t>adverse events.</w:t>
      </w:r>
      <w:r w:rsidR="00540BBF">
        <w:t xml:space="preserve"> </w:t>
      </w:r>
      <w:r w:rsidR="00191F46" w:rsidRPr="00191F46">
        <w:t xml:space="preserve">The current annotation workflow was designed </w:t>
      </w:r>
      <w:r w:rsidR="00CD06EC" w:rsidRPr="00CD06EC">
        <w:t>as a linear process</w:t>
      </w:r>
      <w:r w:rsidR="0072050D">
        <w:t>, start</w:t>
      </w:r>
      <w:r w:rsidR="009F71A8">
        <w:t>ing</w:t>
      </w:r>
      <w:r w:rsidR="0072050D">
        <w:t xml:space="preserve"> with </w:t>
      </w:r>
      <w:r w:rsidR="00F15BDB">
        <w:t xml:space="preserve">a </w:t>
      </w:r>
      <w:r w:rsidR="00191F46" w:rsidRPr="00191F46">
        <w:t>single annotator, with future work planned to incorporate cross-annotator review and adjudication for additional validation and robustness.</w:t>
      </w:r>
      <w:r w:rsidR="00191F46">
        <w:t xml:space="preserve"> </w:t>
      </w:r>
      <w:r w:rsidRPr="00443EF3">
        <w:t>In addition, this work focuses on span-level NER and does not address downstream tasks such as relation extraction or causality assessment, which are critical for regulatory applications. Finally, due to data sensitivity constraints, we were unable to evaluate certain commercial LLMs, and future advances in model capabilities may shift the relative performance observed here.</w:t>
      </w:r>
    </w:p>
    <w:p w14:paraId="2A931B1B" w14:textId="77777777" w:rsidR="001A6151" w:rsidRPr="001A6151" w:rsidRDefault="00443EF3" w:rsidP="00E80B1B">
      <w:r w:rsidRPr="00443EF3">
        <w:t>In summary, BERT-based NER models demonstrate strong and reliable performance for pharmacovigilance concept extraction when trained on curated datasets. Rather than replacing such models, LLMs complement them by providing flexibility and supporting annotation and analysis workflows. Together, these approaches highlight the continued importance of high-quality annotated data in enabling accurate and scalable NLP solutions for regulatory safety applications.</w:t>
      </w:r>
      <w:r w:rsidR="00E96352">
        <w:t xml:space="preserve"> </w:t>
      </w:r>
    </w:p>
    <w:p w14:paraId="688395A0" w14:textId="77777777" w:rsidR="00A66DFF" w:rsidRPr="00C65167" w:rsidRDefault="00A66DFF" w:rsidP="00A66DFF">
      <w:pPr>
        <w:pStyle w:val="Heading1"/>
      </w:pPr>
      <w:r w:rsidRPr="00AB1D9A">
        <w:t>Acknowledgement</w:t>
      </w:r>
    </w:p>
    <w:p w14:paraId="1B100B85" w14:textId="77777777" w:rsidR="00A66DFF" w:rsidRPr="00806606" w:rsidRDefault="008E3D93" w:rsidP="00A66DFF">
      <w:r w:rsidRPr="000741D3">
        <w:t xml:space="preserve">Karen Long and </w:t>
      </w:r>
      <w:r w:rsidRPr="003A22C2">
        <w:t xml:space="preserve">Joseph Cusimano provided feedback on drafts of the clinical concept </w:t>
      </w:r>
      <w:r w:rsidRPr="000741D3">
        <w:t>categories and definitions for the annotation guidelines. WZ</w:t>
      </w:r>
      <w:r w:rsidRPr="00275905">
        <w:t xml:space="preserve"> </w:t>
      </w:r>
      <w:r>
        <w:t>and ML are</w:t>
      </w:r>
      <w:r w:rsidRPr="00275905">
        <w:t xml:space="preserve"> grateful for the support by an appointment to the Research Participation Program of the U.S. FDA through the Oak Ridge Institute for Science and Education (ORISE).</w:t>
      </w:r>
      <w:r>
        <w:t xml:space="preserve"> </w:t>
      </w:r>
    </w:p>
    <w:p w14:paraId="5196B279" w14:textId="77777777" w:rsidR="00A66DFF" w:rsidRPr="00C3523E" w:rsidRDefault="00A66DFF" w:rsidP="00A66DFF">
      <w:r w:rsidRPr="00C3523E">
        <w:rPr>
          <w:b/>
          <w:bCs/>
        </w:rPr>
        <w:t xml:space="preserve">Disclaimer: </w:t>
      </w:r>
      <w:r w:rsidRPr="00C3523E">
        <w:t>This manuscript reflects the views of the authors and does not necessarily reflect those of the Food and Drug Administration. Any mention of commercial products is for clarification only and is not intended as approval, endorsement, or recommendation.</w:t>
      </w:r>
    </w:p>
    <w:p w14:paraId="1D49BEE6" w14:textId="77777777" w:rsidR="00A66DFF" w:rsidRDefault="00A66DFF" w:rsidP="00A66DFF">
      <w:r w:rsidRPr="00644DF6">
        <w:t>This manuscript was created with the assistance of FDA’s Generative AI tool, Elsa. Elsa was used to help identify relevant references and improve clarity and grammar of text that was initially written by one of the authors. Authors have reviewed, verified, and edited the content for the final manuscript.</w:t>
      </w:r>
    </w:p>
    <w:p w14:paraId="312D4975" w14:textId="77777777" w:rsidR="00A66DFF" w:rsidRDefault="00A66DFF" w:rsidP="00A66DFF">
      <w:pPr>
        <w:pStyle w:val="Heading1"/>
      </w:pPr>
      <w:r w:rsidRPr="003548A8">
        <w:lastRenderedPageBreak/>
        <w:t>Declarations</w:t>
      </w:r>
    </w:p>
    <w:p w14:paraId="3167E76B" w14:textId="77777777" w:rsidR="00A66DFF" w:rsidRDefault="00A66DFF" w:rsidP="00A66DFF">
      <w:pPr>
        <w:pStyle w:val="Heading2"/>
        <w:rPr>
          <w:shd w:val="clear" w:color="auto" w:fill="FFFFFF"/>
        </w:rPr>
      </w:pPr>
      <w:r>
        <w:rPr>
          <w:shd w:val="clear" w:color="auto" w:fill="FFFFFF"/>
        </w:rPr>
        <w:t>Funding</w:t>
      </w:r>
    </w:p>
    <w:p w14:paraId="7A25CC82" w14:textId="77777777" w:rsidR="00A66DFF" w:rsidRDefault="00A66DFF" w:rsidP="00A66DFF">
      <w:pPr>
        <w:rPr>
          <w:shd w:val="clear" w:color="auto" w:fill="FFFFFF"/>
        </w:rPr>
      </w:pPr>
      <w:r w:rsidRPr="00296BF7">
        <w:t>This work was funded by the U.S. Food and Drug Administration</w:t>
      </w:r>
      <w:r>
        <w:t xml:space="preserve">. </w:t>
      </w:r>
    </w:p>
    <w:p w14:paraId="172392DC" w14:textId="77777777" w:rsidR="00A66DFF" w:rsidRDefault="00A66DFF" w:rsidP="00A66DFF">
      <w:pPr>
        <w:pStyle w:val="Heading2"/>
        <w:rPr>
          <w:shd w:val="clear" w:color="auto" w:fill="FFFFFF"/>
        </w:rPr>
      </w:pPr>
      <w:r>
        <w:rPr>
          <w:shd w:val="clear" w:color="auto" w:fill="FFFFFF"/>
        </w:rPr>
        <w:t xml:space="preserve">Conflicts of </w:t>
      </w:r>
      <w:r w:rsidRPr="000A60C4">
        <w:t>interest</w:t>
      </w:r>
    </w:p>
    <w:p w14:paraId="4AC5D0AC" w14:textId="77777777" w:rsidR="00A66DFF" w:rsidRDefault="00A66DFF" w:rsidP="00A66DFF">
      <w:r w:rsidRPr="00D11112">
        <w:t>The authors declare that the research was conducted in the absence of any commercial or financial relationships that could be construed as potential conflicts of interest.</w:t>
      </w:r>
    </w:p>
    <w:p w14:paraId="21E32CA7" w14:textId="77777777" w:rsidR="00A66DFF" w:rsidRDefault="00A66DFF" w:rsidP="00A66DFF">
      <w:pPr>
        <w:pStyle w:val="Heading2"/>
        <w:rPr>
          <w:shd w:val="clear" w:color="auto" w:fill="FFFFFF"/>
        </w:rPr>
      </w:pPr>
      <w:r>
        <w:rPr>
          <w:shd w:val="clear" w:color="auto" w:fill="FFFFFF"/>
        </w:rPr>
        <w:t>Ethics approval</w:t>
      </w:r>
    </w:p>
    <w:p w14:paraId="2334D82A" w14:textId="77777777" w:rsidR="00A66DFF" w:rsidRDefault="00A66DFF" w:rsidP="00A66DFF">
      <w:pPr>
        <w:rPr>
          <w:shd w:val="clear" w:color="auto" w:fill="FFFFFF"/>
        </w:rPr>
      </w:pPr>
      <w:r>
        <w:rPr>
          <w:shd w:val="clear" w:color="auto" w:fill="FFFFFF"/>
        </w:rPr>
        <w:t>Not Applicable</w:t>
      </w:r>
    </w:p>
    <w:p w14:paraId="3D558066" w14:textId="77777777" w:rsidR="00A66DFF" w:rsidRDefault="00A66DFF" w:rsidP="00A66DFF">
      <w:pPr>
        <w:pStyle w:val="Heading2"/>
        <w:rPr>
          <w:shd w:val="clear" w:color="auto" w:fill="FFFFFF"/>
        </w:rPr>
      </w:pPr>
      <w:r>
        <w:rPr>
          <w:shd w:val="clear" w:color="auto" w:fill="FFFFFF"/>
        </w:rPr>
        <w:t>Consent to participate</w:t>
      </w:r>
    </w:p>
    <w:p w14:paraId="142BAB4A" w14:textId="77777777" w:rsidR="00A66DFF" w:rsidRPr="000532EA" w:rsidRDefault="00A66DFF" w:rsidP="00A66DFF">
      <w:pPr>
        <w:rPr>
          <w:shd w:val="clear" w:color="auto" w:fill="FFFFFF"/>
        </w:rPr>
      </w:pPr>
      <w:r>
        <w:t xml:space="preserve">Not </w:t>
      </w:r>
      <w:r>
        <w:rPr>
          <w:shd w:val="clear" w:color="auto" w:fill="FFFFFF"/>
        </w:rPr>
        <w:t>Applicable.</w:t>
      </w:r>
    </w:p>
    <w:p w14:paraId="6A56EE60" w14:textId="77777777" w:rsidR="00A66DFF" w:rsidRDefault="00A66DFF" w:rsidP="00A66DFF">
      <w:pPr>
        <w:pStyle w:val="Heading2"/>
        <w:rPr>
          <w:shd w:val="clear" w:color="auto" w:fill="FFFFFF"/>
        </w:rPr>
      </w:pPr>
      <w:r>
        <w:rPr>
          <w:shd w:val="clear" w:color="auto" w:fill="FFFFFF"/>
        </w:rPr>
        <w:t>Consent for publication</w:t>
      </w:r>
    </w:p>
    <w:p w14:paraId="2403D76E" w14:textId="77777777" w:rsidR="00A66DFF" w:rsidRPr="000532EA" w:rsidRDefault="00A66DFF" w:rsidP="00A66DFF">
      <w:pPr>
        <w:rPr>
          <w:shd w:val="clear" w:color="auto" w:fill="FFFFFF"/>
        </w:rPr>
      </w:pPr>
      <w:r>
        <w:rPr>
          <w:shd w:val="clear" w:color="auto" w:fill="FFFFFF"/>
        </w:rPr>
        <w:t>Not Applicable.</w:t>
      </w:r>
    </w:p>
    <w:p w14:paraId="426C68C8" w14:textId="77777777" w:rsidR="00A66DFF" w:rsidRDefault="00A66DFF" w:rsidP="00A66DFF">
      <w:pPr>
        <w:pStyle w:val="Heading2"/>
        <w:rPr>
          <w:shd w:val="clear" w:color="auto" w:fill="FFFFFF"/>
        </w:rPr>
      </w:pPr>
      <w:r>
        <w:rPr>
          <w:shd w:val="clear" w:color="auto" w:fill="FFFFFF"/>
        </w:rPr>
        <w:t>Availability of data and materials</w:t>
      </w:r>
    </w:p>
    <w:p w14:paraId="53FCA7FB" w14:textId="77777777" w:rsidR="00A66DFF" w:rsidRDefault="00554743" w:rsidP="00A66DFF">
      <w:pPr>
        <w:rPr>
          <w:shd w:val="clear" w:color="auto" w:fill="FFFFFF"/>
        </w:rPr>
      </w:pPr>
      <w:r w:rsidRPr="00554743">
        <w:rPr>
          <w:shd w:val="clear" w:color="auto" w:fill="FFFFFF"/>
        </w:rPr>
        <w:t>The FAERS reports analyzed in this study were obtained from the U.S. Food and Drug Administration Adverse Event Reporting System (FAERS). The expert annotations generated for this study are not publicly available because they constitute a research dataset developed by the authors and are subject to institutional and regulatory restrictions. The VAERS benchmark dataset used in this study is available from its original publication. Additional information regarding the datasets may be available from the corresponding authors upon reasonable request and subject to applicable restrictions.</w:t>
      </w:r>
    </w:p>
    <w:p w14:paraId="1EC53488" w14:textId="77777777" w:rsidR="00A66DFF" w:rsidRDefault="00A66DFF" w:rsidP="00A66DFF">
      <w:pPr>
        <w:pStyle w:val="Heading2"/>
        <w:rPr>
          <w:shd w:val="clear" w:color="auto" w:fill="FFFFFF"/>
        </w:rPr>
      </w:pPr>
      <w:r>
        <w:rPr>
          <w:shd w:val="clear" w:color="auto" w:fill="FFFFFF"/>
        </w:rPr>
        <w:t>Code availability</w:t>
      </w:r>
    </w:p>
    <w:p w14:paraId="0E7D11E9" w14:textId="77777777" w:rsidR="00A66DFF" w:rsidRDefault="008657C6" w:rsidP="00A66DFF">
      <w:pPr>
        <w:rPr>
          <w:shd w:val="clear" w:color="auto" w:fill="FFFFFF"/>
        </w:rPr>
      </w:pPr>
      <w:r w:rsidRPr="008657C6">
        <w:rPr>
          <w:shd w:val="clear" w:color="auto" w:fill="FFFFFF"/>
        </w:rPr>
        <w:t xml:space="preserve">The annotation prompt and source code for the annotation platform are available at: </w:t>
      </w:r>
      <w:hyperlink r:id="rId16" w:history="1">
        <w:r w:rsidRPr="008657C6">
          <w:rPr>
            <w:rStyle w:val="Hyperlink"/>
            <w:shd w:val="clear" w:color="auto" w:fill="FFFFFF"/>
          </w:rPr>
          <w:t>https://github.com/seldas/LLM4AE</w:t>
        </w:r>
      </w:hyperlink>
      <w:r w:rsidRPr="008657C6">
        <w:rPr>
          <w:shd w:val="clear" w:color="auto" w:fill="FFFFFF"/>
        </w:rPr>
        <w:t>.</w:t>
      </w:r>
      <w:r w:rsidR="00A66DFF">
        <w:rPr>
          <w:shd w:val="clear" w:color="auto" w:fill="FFFFFF"/>
        </w:rPr>
        <w:t xml:space="preserve"> </w:t>
      </w:r>
    </w:p>
    <w:p w14:paraId="6F24DC93" w14:textId="77777777" w:rsidR="00A66DFF" w:rsidRDefault="00A66DFF" w:rsidP="00A66DFF">
      <w:pPr>
        <w:pStyle w:val="Heading2"/>
        <w:rPr>
          <w:shd w:val="clear" w:color="auto" w:fill="FFFFFF"/>
        </w:rPr>
      </w:pPr>
      <w:r>
        <w:rPr>
          <w:shd w:val="clear" w:color="auto" w:fill="FFFFFF"/>
        </w:rPr>
        <w:t>Author contributions</w:t>
      </w:r>
    </w:p>
    <w:p w14:paraId="742EF7CC" w14:textId="77777777" w:rsidR="00A66DFF" w:rsidRPr="000741D3" w:rsidRDefault="00A66DFF" w:rsidP="00A66DFF">
      <w:r w:rsidRPr="000741D3">
        <w:t>LW, OD, JX </w:t>
      </w:r>
      <w:r w:rsidRPr="00813F6F">
        <w:t xml:space="preserve">conceptualized </w:t>
      </w:r>
      <w:r w:rsidRPr="000741D3">
        <w:t xml:space="preserve">the </w:t>
      </w:r>
      <w:r>
        <w:t>study</w:t>
      </w:r>
      <w:r w:rsidRPr="000741D3">
        <w:t>, ML did the data curation and annotation and OD oversaw the annotation process to provide guidance and address inquiries as needed. WZ, ML, LW did the modeling and data analyses. LW, JX, OD wrote the manuscript. All authors agreed with the final version. </w:t>
      </w:r>
    </w:p>
    <w:p w14:paraId="48E54BD0" w14:textId="77777777" w:rsidR="00A66DFF" w:rsidRPr="00D11112" w:rsidRDefault="00A66DFF" w:rsidP="00A66DFF"/>
    <w:p w14:paraId="1F9A4A66" w14:textId="77777777" w:rsidR="00A66DFF" w:rsidRDefault="00A66DFF" w:rsidP="00A66DFF">
      <w:pPr>
        <w:spacing w:line="259" w:lineRule="auto"/>
        <w:rPr>
          <w:rFonts w:asciiTheme="majorHAnsi" w:eastAsiaTheme="majorEastAsia" w:hAnsiTheme="majorHAnsi" w:cstheme="majorBidi"/>
          <w:color w:val="0F4761" w:themeColor="accent1" w:themeShade="BF"/>
          <w:sz w:val="32"/>
          <w:szCs w:val="32"/>
        </w:rPr>
      </w:pPr>
      <w:r>
        <w:br w:type="page"/>
      </w:r>
    </w:p>
    <w:p w14:paraId="7D24EABE" w14:textId="77777777" w:rsidR="007D319B" w:rsidRDefault="007D319B" w:rsidP="007D319B"/>
    <w:p w14:paraId="0C4E6400" w14:textId="77777777" w:rsidR="00936F00" w:rsidRDefault="00936F00" w:rsidP="00936F00">
      <w:pPr>
        <w:pStyle w:val="Heading1"/>
      </w:pPr>
      <w:r>
        <w:t>Reference</w:t>
      </w:r>
    </w:p>
    <w:p w14:paraId="365F19E9" w14:textId="77777777" w:rsidR="00C04CE9" w:rsidRPr="00C04CE9" w:rsidRDefault="006434F9" w:rsidP="00C04CE9">
      <w:pPr>
        <w:pStyle w:val="EndNoteBibliography"/>
        <w:spacing w:after="0"/>
        <w:ind w:left="720" w:hanging="720"/>
      </w:pPr>
      <w:r>
        <w:fldChar w:fldCharType="begin"/>
      </w:r>
      <w:r>
        <w:instrText xml:space="preserve"> ADDIN EN.REFLIST </w:instrText>
      </w:r>
      <w:r>
        <w:fldChar w:fldCharType="separate"/>
      </w:r>
      <w:r w:rsidR="00C04CE9" w:rsidRPr="00C04CE9">
        <w:t>1.</w:t>
      </w:r>
      <w:r w:rsidR="00C04CE9" w:rsidRPr="00C04CE9">
        <w:tab/>
        <w:t xml:space="preserve">FDA. </w:t>
      </w:r>
      <w:r w:rsidR="00C04CE9" w:rsidRPr="00C04CE9">
        <w:rPr>
          <w:i/>
        </w:rPr>
        <w:t>FDA's Adverse Event Reporting System (FAERS)</w:t>
      </w:r>
      <w:r w:rsidR="00C04CE9" w:rsidRPr="00C04CE9">
        <w:t xml:space="preserve">. 2025  [cited 2025 11/24]; Available from: </w:t>
      </w:r>
      <w:hyperlink r:id="rId17" w:history="1">
        <w:r w:rsidR="00C04CE9" w:rsidRPr="00C04CE9">
          <w:rPr>
            <w:rStyle w:val="Hyperlink"/>
          </w:rPr>
          <w:t>https://www.fda.gov/drugs/surveillance/fdas-adverse-event-reporting-system-faers</w:t>
        </w:r>
      </w:hyperlink>
      <w:r w:rsidR="00C04CE9" w:rsidRPr="00C04CE9">
        <w:t>.</w:t>
      </w:r>
    </w:p>
    <w:p w14:paraId="7971C52D" w14:textId="77777777" w:rsidR="00C04CE9" w:rsidRPr="00C04CE9" w:rsidRDefault="00C04CE9" w:rsidP="00C04CE9">
      <w:pPr>
        <w:pStyle w:val="EndNoteBibliography"/>
        <w:spacing w:after="0"/>
        <w:ind w:left="720" w:hanging="720"/>
      </w:pPr>
      <w:r w:rsidRPr="00C04CE9">
        <w:t>2.</w:t>
      </w:r>
      <w:r w:rsidRPr="00C04CE9">
        <w:tab/>
        <w:t xml:space="preserve">HHS, </w:t>
      </w:r>
      <w:r w:rsidRPr="00C04CE9">
        <w:rPr>
          <w:i/>
        </w:rPr>
        <w:t>the Vaccine Adverse Event Reporting System.</w:t>
      </w:r>
      <w:r w:rsidRPr="00C04CE9">
        <w:t xml:space="preserve"> 2025.</w:t>
      </w:r>
    </w:p>
    <w:p w14:paraId="1CA63EC5" w14:textId="77777777" w:rsidR="00C04CE9" w:rsidRPr="00C04CE9" w:rsidRDefault="00C04CE9" w:rsidP="00C04CE9">
      <w:pPr>
        <w:pStyle w:val="EndNoteBibliography"/>
        <w:spacing w:after="0"/>
        <w:ind w:left="720" w:hanging="720"/>
      </w:pPr>
      <w:r w:rsidRPr="00C04CE9">
        <w:t>3.</w:t>
      </w:r>
      <w:r w:rsidRPr="00C04CE9">
        <w:tab/>
        <w:t xml:space="preserve">Fu, S., et al., </w:t>
      </w:r>
      <w:r w:rsidRPr="00C04CE9">
        <w:rPr>
          <w:i/>
        </w:rPr>
        <w:t>Clinical concept extraction: a methodology review.</w:t>
      </w:r>
      <w:r w:rsidRPr="00C04CE9">
        <w:t xml:space="preserve"> Journal of biomedical informatics, 2020. </w:t>
      </w:r>
      <w:r w:rsidRPr="00C04CE9">
        <w:rPr>
          <w:b/>
        </w:rPr>
        <w:t>109</w:t>
      </w:r>
      <w:r w:rsidRPr="00C04CE9">
        <w:t>: p. 103526.</w:t>
      </w:r>
    </w:p>
    <w:p w14:paraId="30C2C2F1" w14:textId="77777777" w:rsidR="00C04CE9" w:rsidRPr="00C04CE9" w:rsidRDefault="00C04CE9" w:rsidP="00C04CE9">
      <w:pPr>
        <w:pStyle w:val="EndNoteBibliography"/>
        <w:spacing w:after="0"/>
        <w:ind w:left="720" w:hanging="720"/>
      </w:pPr>
      <w:r w:rsidRPr="00C04CE9">
        <w:t>4.</w:t>
      </w:r>
      <w:r w:rsidRPr="00C04CE9">
        <w:tab/>
        <w:t xml:space="preserve">Peng, C., et al., </w:t>
      </w:r>
      <w:r w:rsidRPr="00C04CE9">
        <w:rPr>
          <w:i/>
        </w:rPr>
        <w:t>Clinical concept and relation extraction using prompt-based machine reading comprehension.</w:t>
      </w:r>
      <w:r w:rsidRPr="00C04CE9">
        <w:t xml:space="preserve"> Journal of the American Medical Informatics Association, 2023. </w:t>
      </w:r>
      <w:r w:rsidRPr="00C04CE9">
        <w:rPr>
          <w:b/>
        </w:rPr>
        <w:t>30</w:t>
      </w:r>
      <w:r w:rsidRPr="00C04CE9">
        <w:t>(9): p. 1486-1493.</w:t>
      </w:r>
    </w:p>
    <w:p w14:paraId="3ABD53F2" w14:textId="77777777" w:rsidR="00C04CE9" w:rsidRPr="00C04CE9" w:rsidRDefault="00C04CE9" w:rsidP="00C04CE9">
      <w:pPr>
        <w:pStyle w:val="EndNoteBibliography"/>
        <w:spacing w:after="0"/>
        <w:ind w:left="720" w:hanging="720"/>
      </w:pPr>
      <w:r w:rsidRPr="00C04CE9">
        <w:t>5.</w:t>
      </w:r>
      <w:r w:rsidRPr="00C04CE9">
        <w:tab/>
        <w:t xml:space="preserve">Norén, G.N., </w:t>
      </w:r>
      <w:r w:rsidRPr="00C04CE9">
        <w:rPr>
          <w:i/>
        </w:rPr>
        <w:t>The power of the case narrative-can it be brought to bear on duplicate detection?</w:t>
      </w:r>
      <w:r w:rsidRPr="00C04CE9">
        <w:t xml:space="preserve"> Drug Safety, 2017. </w:t>
      </w:r>
      <w:r w:rsidRPr="00C04CE9">
        <w:rPr>
          <w:b/>
        </w:rPr>
        <w:t>40</w:t>
      </w:r>
      <w:r w:rsidRPr="00C04CE9">
        <w:t>(7): p. 543-546.</w:t>
      </w:r>
    </w:p>
    <w:p w14:paraId="0C4A2DD4" w14:textId="77777777" w:rsidR="00C04CE9" w:rsidRPr="00C04CE9" w:rsidRDefault="00C04CE9" w:rsidP="00C04CE9">
      <w:pPr>
        <w:pStyle w:val="EndNoteBibliography"/>
        <w:spacing w:after="0"/>
        <w:ind w:left="720" w:hanging="720"/>
      </w:pPr>
      <w:r w:rsidRPr="00C04CE9">
        <w:t>6.</w:t>
      </w:r>
      <w:r w:rsidRPr="00C04CE9">
        <w:tab/>
        <w:t xml:space="preserve">Kreimeyer, K., et al., </w:t>
      </w:r>
      <w:r w:rsidRPr="00C04CE9">
        <w:rPr>
          <w:i/>
        </w:rPr>
        <w:t>Using probabilistic record linkage of structured and unstructured data to identify duplicate cases in spontaneous adverse event reporting systems.</w:t>
      </w:r>
      <w:r w:rsidRPr="00C04CE9">
        <w:t xml:space="preserve"> Drug Safety, 2017. </w:t>
      </w:r>
      <w:r w:rsidRPr="00C04CE9">
        <w:rPr>
          <w:b/>
        </w:rPr>
        <w:t>40</w:t>
      </w:r>
      <w:r w:rsidRPr="00C04CE9">
        <w:t>(7): p. 571-582.</w:t>
      </w:r>
    </w:p>
    <w:p w14:paraId="14CCD95D" w14:textId="77777777" w:rsidR="00C04CE9" w:rsidRPr="00C04CE9" w:rsidRDefault="00C04CE9" w:rsidP="00C04CE9">
      <w:pPr>
        <w:pStyle w:val="EndNoteBibliography"/>
        <w:spacing w:after="0"/>
        <w:ind w:left="720" w:hanging="720"/>
      </w:pPr>
      <w:r w:rsidRPr="00C04CE9">
        <w:t>7.</w:t>
      </w:r>
      <w:r w:rsidRPr="00C04CE9">
        <w:tab/>
        <w:t xml:space="preserve">Pilipiec, P., M. Liwicki, and A. Bota, </w:t>
      </w:r>
      <w:r w:rsidRPr="00C04CE9">
        <w:rPr>
          <w:i/>
        </w:rPr>
        <w:t>Using Machine Learning for Pharmacovigilance: A Systematic Review.</w:t>
      </w:r>
      <w:r w:rsidRPr="00C04CE9">
        <w:t xml:space="preserve"> Pharmaceutics, 2022. </w:t>
      </w:r>
      <w:r w:rsidRPr="00C04CE9">
        <w:rPr>
          <w:b/>
        </w:rPr>
        <w:t>14</w:t>
      </w:r>
      <w:r w:rsidRPr="00C04CE9">
        <w:t>(2).</w:t>
      </w:r>
    </w:p>
    <w:p w14:paraId="11BB72DF" w14:textId="77777777" w:rsidR="00C04CE9" w:rsidRPr="00C04CE9" w:rsidRDefault="00C04CE9" w:rsidP="00C04CE9">
      <w:pPr>
        <w:pStyle w:val="EndNoteBibliography"/>
        <w:spacing w:after="0"/>
        <w:ind w:left="720" w:hanging="720"/>
      </w:pPr>
      <w:r w:rsidRPr="00C04CE9">
        <w:t>8.</w:t>
      </w:r>
      <w:r w:rsidRPr="00C04CE9">
        <w:tab/>
        <w:t xml:space="preserve">Pandey, A., et al., </w:t>
      </w:r>
      <w:r w:rsidRPr="00C04CE9">
        <w:rPr>
          <w:i/>
        </w:rPr>
        <w:t>Adverse event extraction from structured product labels using the event-based text-mining of health electronic records (ETHER) system.</w:t>
      </w:r>
      <w:r w:rsidRPr="00C04CE9">
        <w:t xml:space="preserve"> Health informatics journal, 2019. </w:t>
      </w:r>
      <w:r w:rsidRPr="00C04CE9">
        <w:rPr>
          <w:b/>
        </w:rPr>
        <w:t>25</w:t>
      </w:r>
      <w:r w:rsidRPr="00C04CE9">
        <w:t>(4): p. 1232-1243.</w:t>
      </w:r>
    </w:p>
    <w:p w14:paraId="5F327D52" w14:textId="77777777" w:rsidR="00C04CE9" w:rsidRPr="00C04CE9" w:rsidRDefault="00C04CE9" w:rsidP="00C04CE9">
      <w:pPr>
        <w:pStyle w:val="EndNoteBibliography"/>
        <w:spacing w:after="0"/>
        <w:ind w:left="720" w:hanging="720"/>
      </w:pPr>
      <w:r w:rsidRPr="00C04CE9">
        <w:t>9.</w:t>
      </w:r>
      <w:r w:rsidRPr="00C04CE9">
        <w:tab/>
        <w:t xml:space="preserve">Bergman, E., et al., </w:t>
      </w:r>
      <w:r w:rsidRPr="00C04CE9">
        <w:rPr>
          <w:i/>
        </w:rPr>
        <w:t>BERT based natural language processing for triage of adverse drug reaction reports shows close to human-level performance.</w:t>
      </w:r>
      <w:r w:rsidRPr="00C04CE9">
        <w:t xml:space="preserve"> PLOS Digital Health, 2023. </w:t>
      </w:r>
      <w:r w:rsidRPr="00C04CE9">
        <w:rPr>
          <w:b/>
        </w:rPr>
        <w:t>2</w:t>
      </w:r>
      <w:r w:rsidRPr="00C04CE9">
        <w:t>(12): p. e0000409.</w:t>
      </w:r>
    </w:p>
    <w:p w14:paraId="2EFEA85A" w14:textId="77777777" w:rsidR="00C04CE9" w:rsidRPr="00C04CE9" w:rsidRDefault="00C04CE9" w:rsidP="00C04CE9">
      <w:pPr>
        <w:pStyle w:val="EndNoteBibliography"/>
        <w:spacing w:after="0"/>
        <w:ind w:left="720" w:hanging="720"/>
      </w:pPr>
      <w:r w:rsidRPr="00C04CE9">
        <w:t>10.</w:t>
      </w:r>
      <w:r w:rsidRPr="00C04CE9">
        <w:tab/>
        <w:t xml:space="preserve">Ball, R. and G. Dal Pan, </w:t>
      </w:r>
      <w:r w:rsidRPr="00C04CE9">
        <w:rPr>
          <w:i/>
        </w:rPr>
        <w:t>“Artificial intelligence” for pharmacovigilance: ready for prime time?</w:t>
      </w:r>
      <w:r w:rsidRPr="00C04CE9">
        <w:t xml:space="preserve"> Drug safety, 2022. </w:t>
      </w:r>
      <w:r w:rsidRPr="00C04CE9">
        <w:rPr>
          <w:b/>
        </w:rPr>
        <w:t>45</w:t>
      </w:r>
      <w:r w:rsidRPr="00C04CE9">
        <w:t>(5): p. 429-438.</w:t>
      </w:r>
    </w:p>
    <w:p w14:paraId="7A8D5E4E" w14:textId="77777777" w:rsidR="00C04CE9" w:rsidRPr="00C04CE9" w:rsidRDefault="00C04CE9" w:rsidP="00C04CE9">
      <w:pPr>
        <w:pStyle w:val="EndNoteBibliography"/>
        <w:spacing w:after="0"/>
        <w:ind w:left="720" w:hanging="720"/>
      </w:pPr>
      <w:r w:rsidRPr="00C04CE9">
        <w:t>11.</w:t>
      </w:r>
      <w:r w:rsidRPr="00C04CE9">
        <w:tab/>
        <w:t xml:space="preserve">Kreimeyer, K., et al., </w:t>
      </w:r>
      <w:r w:rsidRPr="00C04CE9">
        <w:rPr>
          <w:i/>
        </w:rPr>
        <w:t>Increased confidence in deduplication of drug safety reports with natural language processing of narratives at the us food and drug administration.</w:t>
      </w:r>
      <w:r w:rsidRPr="00C04CE9">
        <w:t xml:space="preserve"> Frontiers in Drug Safety and Regulation, 2022. </w:t>
      </w:r>
      <w:r w:rsidRPr="00C04CE9">
        <w:rPr>
          <w:b/>
        </w:rPr>
        <w:t>2</w:t>
      </w:r>
      <w:r w:rsidRPr="00C04CE9">
        <w:t>: p. 918897.</w:t>
      </w:r>
    </w:p>
    <w:p w14:paraId="1C67DFD5" w14:textId="77777777" w:rsidR="00C04CE9" w:rsidRPr="00C04CE9" w:rsidRDefault="00C04CE9" w:rsidP="00C04CE9">
      <w:pPr>
        <w:pStyle w:val="EndNoteBibliography"/>
        <w:spacing w:after="0"/>
        <w:ind w:left="720" w:hanging="720"/>
      </w:pPr>
      <w:r w:rsidRPr="00C04CE9">
        <w:t>12.</w:t>
      </w:r>
      <w:r w:rsidRPr="00C04CE9">
        <w:tab/>
        <w:t xml:space="preserve">Foster, M., et al., </w:t>
      </w:r>
      <w:r w:rsidRPr="00C04CE9">
        <w:rPr>
          <w:i/>
        </w:rPr>
        <w:t>Generation of an annotated reference standard for vaccine adverse event reports.</w:t>
      </w:r>
      <w:r w:rsidRPr="00C04CE9">
        <w:t xml:space="preserve"> Vaccine, 2018. </w:t>
      </w:r>
      <w:r w:rsidRPr="00C04CE9">
        <w:rPr>
          <w:b/>
        </w:rPr>
        <w:t>36</w:t>
      </w:r>
      <w:r w:rsidRPr="00C04CE9">
        <w:t>(29): p. 4325-4330.</w:t>
      </w:r>
    </w:p>
    <w:p w14:paraId="5802ADD8" w14:textId="77777777" w:rsidR="00C04CE9" w:rsidRPr="00C04CE9" w:rsidRDefault="00C04CE9" w:rsidP="00C04CE9">
      <w:pPr>
        <w:pStyle w:val="EndNoteBibliography"/>
        <w:spacing w:after="0"/>
        <w:ind w:left="720" w:hanging="720"/>
      </w:pPr>
      <w:r w:rsidRPr="00C04CE9">
        <w:t>13.</w:t>
      </w:r>
      <w:r w:rsidRPr="00C04CE9">
        <w:tab/>
        <w:t xml:space="preserve">Devlin, J., et al. </w:t>
      </w:r>
      <w:r w:rsidRPr="00C04CE9">
        <w:rPr>
          <w:i/>
        </w:rPr>
        <w:t>Bert: Pre-training of deep bidirectional transformers for language understanding</w:t>
      </w:r>
      <w:r w:rsidRPr="00C04CE9">
        <w:t xml:space="preserve">. in </w:t>
      </w:r>
      <w:r w:rsidRPr="00C04CE9">
        <w:rPr>
          <w:i/>
        </w:rPr>
        <w:t>Proceedings of the 2019 conference of the North American chapter of the association for computational linguistics: human language technologies, volume 1 (long and short papers)</w:t>
      </w:r>
      <w:r w:rsidRPr="00C04CE9">
        <w:t>. 2019.</w:t>
      </w:r>
    </w:p>
    <w:p w14:paraId="79D40B89" w14:textId="77777777" w:rsidR="00C04CE9" w:rsidRPr="00C04CE9" w:rsidRDefault="00C04CE9" w:rsidP="00C04CE9">
      <w:pPr>
        <w:pStyle w:val="EndNoteBibliography"/>
        <w:spacing w:after="0"/>
        <w:ind w:left="720" w:hanging="720"/>
      </w:pPr>
      <w:r w:rsidRPr="00C04CE9">
        <w:t>14.</w:t>
      </w:r>
      <w:r w:rsidRPr="00C04CE9">
        <w:tab/>
        <w:t xml:space="preserve">Lee, J., et al., </w:t>
      </w:r>
      <w:r w:rsidRPr="00C04CE9">
        <w:rPr>
          <w:i/>
        </w:rPr>
        <w:t>BioBERT: a pre-trained biomedical language representation model for biomedical text mining.</w:t>
      </w:r>
      <w:r w:rsidRPr="00C04CE9">
        <w:t xml:space="preserve"> Bioinformatics, 2020. </w:t>
      </w:r>
      <w:r w:rsidRPr="00C04CE9">
        <w:rPr>
          <w:b/>
        </w:rPr>
        <w:t>36</w:t>
      </w:r>
      <w:r w:rsidRPr="00C04CE9">
        <w:t>(4): p. 1234-1240.</w:t>
      </w:r>
    </w:p>
    <w:p w14:paraId="56CB7F54" w14:textId="77777777" w:rsidR="00C04CE9" w:rsidRPr="00C04CE9" w:rsidRDefault="00C04CE9" w:rsidP="00C04CE9">
      <w:pPr>
        <w:pStyle w:val="EndNoteBibliography"/>
        <w:spacing w:after="0"/>
        <w:ind w:left="720" w:hanging="720"/>
      </w:pPr>
      <w:r w:rsidRPr="00C04CE9">
        <w:t>15.</w:t>
      </w:r>
      <w:r w:rsidRPr="00C04CE9">
        <w:tab/>
        <w:t xml:space="preserve">Huang, K., J. Altosaar, and R. Ranganath, </w:t>
      </w:r>
      <w:r w:rsidRPr="00C04CE9">
        <w:rPr>
          <w:i/>
        </w:rPr>
        <w:t>Clinicalbert: Modeling clinical notes and predicting hospital readmission.</w:t>
      </w:r>
      <w:r w:rsidRPr="00C04CE9">
        <w:t xml:space="preserve"> arXiv preprint arXiv:1904.05342, 2019.</w:t>
      </w:r>
    </w:p>
    <w:p w14:paraId="57E09D65" w14:textId="77777777" w:rsidR="00C04CE9" w:rsidRPr="00C04CE9" w:rsidRDefault="00C04CE9" w:rsidP="00C04CE9">
      <w:pPr>
        <w:pStyle w:val="EndNoteBibliography"/>
        <w:spacing w:after="0"/>
        <w:ind w:left="720" w:hanging="720"/>
      </w:pPr>
      <w:r w:rsidRPr="00C04CE9">
        <w:t>16.</w:t>
      </w:r>
      <w:r w:rsidRPr="00C04CE9">
        <w:tab/>
        <w:t xml:space="preserve">Lee, S.A., A. Wu, and J.N. Chiang, </w:t>
      </w:r>
      <w:r w:rsidRPr="00C04CE9">
        <w:rPr>
          <w:i/>
        </w:rPr>
        <w:t>Clinical modernbert: An efficient and long context encoder for biomedical text.</w:t>
      </w:r>
      <w:r w:rsidRPr="00C04CE9">
        <w:t xml:space="preserve"> arXiv preprint arXiv:2504.03964, 2025.</w:t>
      </w:r>
    </w:p>
    <w:p w14:paraId="5F030A66" w14:textId="77777777" w:rsidR="00C04CE9" w:rsidRPr="00C04CE9" w:rsidRDefault="00C04CE9" w:rsidP="00C04CE9">
      <w:pPr>
        <w:pStyle w:val="EndNoteBibliography"/>
        <w:ind w:left="720" w:hanging="720"/>
      </w:pPr>
      <w:r w:rsidRPr="00C04CE9">
        <w:lastRenderedPageBreak/>
        <w:t>17.</w:t>
      </w:r>
      <w:r w:rsidRPr="00C04CE9">
        <w:tab/>
        <w:t xml:space="preserve">Bayer, S., et al., </w:t>
      </w:r>
      <w:r w:rsidRPr="00C04CE9">
        <w:rPr>
          <w:i/>
        </w:rPr>
        <w:t>ADE Eval: An Evaluation of Text Processing Systems for Adverse Event Extraction from Drug Labels for Pharmacovigilance.</w:t>
      </w:r>
      <w:r w:rsidRPr="00C04CE9">
        <w:t xml:space="preserve"> Drug Saf, 2021. </w:t>
      </w:r>
      <w:r w:rsidRPr="00C04CE9">
        <w:rPr>
          <w:b/>
        </w:rPr>
        <w:t>44</w:t>
      </w:r>
      <w:r w:rsidRPr="00C04CE9">
        <w:t>(1): p. 83-94.</w:t>
      </w:r>
    </w:p>
    <w:p w14:paraId="12B2DBAD" w14:textId="77777777" w:rsidR="000079B2" w:rsidRDefault="006434F9" w:rsidP="00623D6A">
      <w:r>
        <w:fldChar w:fldCharType="end"/>
      </w:r>
    </w:p>
    <w:p w14:paraId="72A22F8C" w14:textId="77777777" w:rsidR="00644DF6" w:rsidRDefault="00644DF6" w:rsidP="00623D6A"/>
    <w:p w14:paraId="5306F46F" w14:textId="77777777" w:rsidR="00F70846" w:rsidRDefault="00F70846" w:rsidP="00FF70DA"/>
    <w:sectPr w:rsidR="00F70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182908"/>
    <w:multiLevelType w:val="multilevel"/>
    <w:tmpl w:val="8CB0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B3B81"/>
    <w:multiLevelType w:val="multilevel"/>
    <w:tmpl w:val="F350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0FE3"/>
    <w:multiLevelType w:val="multilevel"/>
    <w:tmpl w:val="5E5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B42F0"/>
    <w:multiLevelType w:val="hybridMultilevel"/>
    <w:tmpl w:val="8A24E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B4404"/>
    <w:multiLevelType w:val="multilevel"/>
    <w:tmpl w:val="3C08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761AB"/>
    <w:multiLevelType w:val="hybridMultilevel"/>
    <w:tmpl w:val="6CD23B54"/>
    <w:lvl w:ilvl="0" w:tplc="6C3C9302">
      <w:start w:val="1"/>
      <w:numFmt w:val="bullet"/>
      <w:lvlText w:val=""/>
      <w:lvlPicBulletId w:val="0"/>
      <w:lvlJc w:val="left"/>
      <w:pPr>
        <w:tabs>
          <w:tab w:val="num" w:pos="720"/>
        </w:tabs>
        <w:ind w:left="720" w:hanging="360"/>
      </w:pPr>
      <w:rPr>
        <w:rFonts w:ascii="Symbol" w:hAnsi="Symbol" w:hint="default"/>
      </w:rPr>
    </w:lvl>
    <w:lvl w:ilvl="1" w:tplc="29700EAC" w:tentative="1">
      <w:start w:val="1"/>
      <w:numFmt w:val="bullet"/>
      <w:lvlText w:val=""/>
      <w:lvlJc w:val="left"/>
      <w:pPr>
        <w:tabs>
          <w:tab w:val="num" w:pos="1440"/>
        </w:tabs>
        <w:ind w:left="1440" w:hanging="360"/>
      </w:pPr>
      <w:rPr>
        <w:rFonts w:ascii="Symbol" w:hAnsi="Symbol" w:hint="default"/>
      </w:rPr>
    </w:lvl>
    <w:lvl w:ilvl="2" w:tplc="2368CF4C" w:tentative="1">
      <w:start w:val="1"/>
      <w:numFmt w:val="bullet"/>
      <w:lvlText w:val=""/>
      <w:lvlJc w:val="left"/>
      <w:pPr>
        <w:tabs>
          <w:tab w:val="num" w:pos="2160"/>
        </w:tabs>
        <w:ind w:left="2160" w:hanging="360"/>
      </w:pPr>
      <w:rPr>
        <w:rFonts w:ascii="Symbol" w:hAnsi="Symbol" w:hint="default"/>
      </w:rPr>
    </w:lvl>
    <w:lvl w:ilvl="3" w:tplc="28D622B6" w:tentative="1">
      <w:start w:val="1"/>
      <w:numFmt w:val="bullet"/>
      <w:lvlText w:val=""/>
      <w:lvlJc w:val="left"/>
      <w:pPr>
        <w:tabs>
          <w:tab w:val="num" w:pos="2880"/>
        </w:tabs>
        <w:ind w:left="2880" w:hanging="360"/>
      </w:pPr>
      <w:rPr>
        <w:rFonts w:ascii="Symbol" w:hAnsi="Symbol" w:hint="default"/>
      </w:rPr>
    </w:lvl>
    <w:lvl w:ilvl="4" w:tplc="1E18E3E4" w:tentative="1">
      <w:start w:val="1"/>
      <w:numFmt w:val="bullet"/>
      <w:lvlText w:val=""/>
      <w:lvlJc w:val="left"/>
      <w:pPr>
        <w:tabs>
          <w:tab w:val="num" w:pos="3600"/>
        </w:tabs>
        <w:ind w:left="3600" w:hanging="360"/>
      </w:pPr>
      <w:rPr>
        <w:rFonts w:ascii="Symbol" w:hAnsi="Symbol" w:hint="default"/>
      </w:rPr>
    </w:lvl>
    <w:lvl w:ilvl="5" w:tplc="3984C9BE" w:tentative="1">
      <w:start w:val="1"/>
      <w:numFmt w:val="bullet"/>
      <w:lvlText w:val=""/>
      <w:lvlJc w:val="left"/>
      <w:pPr>
        <w:tabs>
          <w:tab w:val="num" w:pos="4320"/>
        </w:tabs>
        <w:ind w:left="4320" w:hanging="360"/>
      </w:pPr>
      <w:rPr>
        <w:rFonts w:ascii="Symbol" w:hAnsi="Symbol" w:hint="default"/>
      </w:rPr>
    </w:lvl>
    <w:lvl w:ilvl="6" w:tplc="196EF0C0" w:tentative="1">
      <w:start w:val="1"/>
      <w:numFmt w:val="bullet"/>
      <w:lvlText w:val=""/>
      <w:lvlJc w:val="left"/>
      <w:pPr>
        <w:tabs>
          <w:tab w:val="num" w:pos="5040"/>
        </w:tabs>
        <w:ind w:left="5040" w:hanging="360"/>
      </w:pPr>
      <w:rPr>
        <w:rFonts w:ascii="Symbol" w:hAnsi="Symbol" w:hint="default"/>
      </w:rPr>
    </w:lvl>
    <w:lvl w:ilvl="7" w:tplc="B760525C" w:tentative="1">
      <w:start w:val="1"/>
      <w:numFmt w:val="bullet"/>
      <w:lvlText w:val=""/>
      <w:lvlJc w:val="left"/>
      <w:pPr>
        <w:tabs>
          <w:tab w:val="num" w:pos="5760"/>
        </w:tabs>
        <w:ind w:left="5760" w:hanging="360"/>
      </w:pPr>
      <w:rPr>
        <w:rFonts w:ascii="Symbol" w:hAnsi="Symbol" w:hint="default"/>
      </w:rPr>
    </w:lvl>
    <w:lvl w:ilvl="8" w:tplc="F27E7E0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E1A2D69"/>
    <w:multiLevelType w:val="multilevel"/>
    <w:tmpl w:val="8332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C0D8A"/>
    <w:multiLevelType w:val="multilevel"/>
    <w:tmpl w:val="159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8407C"/>
    <w:multiLevelType w:val="multilevel"/>
    <w:tmpl w:val="261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553C6"/>
    <w:multiLevelType w:val="multilevel"/>
    <w:tmpl w:val="29A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515E1"/>
    <w:multiLevelType w:val="multilevel"/>
    <w:tmpl w:val="2AAC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40B33"/>
    <w:multiLevelType w:val="multilevel"/>
    <w:tmpl w:val="5F001A34"/>
    <w:lvl w:ilvl="0">
      <w:start w:val="3"/>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196D0F4D"/>
    <w:multiLevelType w:val="multilevel"/>
    <w:tmpl w:val="628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93619"/>
    <w:multiLevelType w:val="multilevel"/>
    <w:tmpl w:val="142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27AED"/>
    <w:multiLevelType w:val="multilevel"/>
    <w:tmpl w:val="46E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11280"/>
    <w:multiLevelType w:val="multilevel"/>
    <w:tmpl w:val="BA7C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5C73C8"/>
    <w:multiLevelType w:val="multilevel"/>
    <w:tmpl w:val="315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F4861"/>
    <w:multiLevelType w:val="multilevel"/>
    <w:tmpl w:val="E474E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780DED"/>
    <w:multiLevelType w:val="multilevel"/>
    <w:tmpl w:val="E248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B49A4"/>
    <w:multiLevelType w:val="multilevel"/>
    <w:tmpl w:val="DCE4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0F39F9"/>
    <w:multiLevelType w:val="multilevel"/>
    <w:tmpl w:val="ACD8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F3516"/>
    <w:multiLevelType w:val="multilevel"/>
    <w:tmpl w:val="A88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E7E31"/>
    <w:multiLevelType w:val="multilevel"/>
    <w:tmpl w:val="F0D8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C5068"/>
    <w:multiLevelType w:val="multilevel"/>
    <w:tmpl w:val="F68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31A6C"/>
    <w:multiLevelType w:val="multilevel"/>
    <w:tmpl w:val="B2DE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E6417"/>
    <w:multiLevelType w:val="multilevel"/>
    <w:tmpl w:val="2D242D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8827A2"/>
    <w:multiLevelType w:val="multilevel"/>
    <w:tmpl w:val="67B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41F36"/>
    <w:multiLevelType w:val="multilevel"/>
    <w:tmpl w:val="07B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1141C"/>
    <w:multiLevelType w:val="multilevel"/>
    <w:tmpl w:val="36A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346B3"/>
    <w:multiLevelType w:val="multilevel"/>
    <w:tmpl w:val="2D2E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1459A"/>
    <w:multiLevelType w:val="multilevel"/>
    <w:tmpl w:val="D31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D51DF"/>
    <w:multiLevelType w:val="multilevel"/>
    <w:tmpl w:val="4E2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D0F11"/>
    <w:multiLevelType w:val="multilevel"/>
    <w:tmpl w:val="83F264CC"/>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A063071"/>
    <w:multiLevelType w:val="hybridMultilevel"/>
    <w:tmpl w:val="4590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190848"/>
    <w:multiLevelType w:val="multilevel"/>
    <w:tmpl w:val="D802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67281"/>
    <w:multiLevelType w:val="multilevel"/>
    <w:tmpl w:val="098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611AB"/>
    <w:multiLevelType w:val="multilevel"/>
    <w:tmpl w:val="FC8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D2832"/>
    <w:multiLevelType w:val="multilevel"/>
    <w:tmpl w:val="A22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299961">
    <w:abstractNumId w:val="20"/>
  </w:num>
  <w:num w:numId="2" w16cid:durableId="1298994283">
    <w:abstractNumId w:val="22"/>
  </w:num>
  <w:num w:numId="3" w16cid:durableId="1002321791">
    <w:abstractNumId w:val="6"/>
  </w:num>
  <w:num w:numId="4" w16cid:durableId="885603662">
    <w:abstractNumId w:val="21"/>
  </w:num>
  <w:num w:numId="5" w16cid:durableId="1468008761">
    <w:abstractNumId w:val="8"/>
  </w:num>
  <w:num w:numId="6" w16cid:durableId="90593419">
    <w:abstractNumId w:val="35"/>
  </w:num>
  <w:num w:numId="7" w16cid:durableId="1681158594">
    <w:abstractNumId w:val="2"/>
  </w:num>
  <w:num w:numId="8" w16cid:durableId="1618486891">
    <w:abstractNumId w:val="36"/>
  </w:num>
  <w:num w:numId="9" w16cid:durableId="1588802830">
    <w:abstractNumId w:val="0"/>
  </w:num>
  <w:num w:numId="10" w16cid:durableId="420103873">
    <w:abstractNumId w:val="31"/>
  </w:num>
  <w:num w:numId="11" w16cid:durableId="141119166">
    <w:abstractNumId w:val="14"/>
  </w:num>
  <w:num w:numId="12" w16cid:durableId="9837749">
    <w:abstractNumId w:val="7"/>
  </w:num>
  <w:num w:numId="13" w16cid:durableId="1063724663">
    <w:abstractNumId w:val="9"/>
  </w:num>
  <w:num w:numId="14" w16cid:durableId="1856191653">
    <w:abstractNumId w:val="34"/>
  </w:num>
  <w:num w:numId="15" w16cid:durableId="667631920">
    <w:abstractNumId w:val="26"/>
  </w:num>
  <w:num w:numId="16" w16cid:durableId="1436251507">
    <w:abstractNumId w:val="1"/>
  </w:num>
  <w:num w:numId="17" w16cid:durableId="7564476">
    <w:abstractNumId w:val="13"/>
  </w:num>
  <w:num w:numId="18" w16cid:durableId="78330840">
    <w:abstractNumId w:val="23"/>
  </w:num>
  <w:num w:numId="19" w16cid:durableId="797456005">
    <w:abstractNumId w:val="4"/>
  </w:num>
  <w:num w:numId="20" w16cid:durableId="354885101">
    <w:abstractNumId w:val="28"/>
  </w:num>
  <w:num w:numId="21" w16cid:durableId="1413117743">
    <w:abstractNumId w:val="18"/>
  </w:num>
  <w:num w:numId="22" w16cid:durableId="204875555">
    <w:abstractNumId w:val="12"/>
  </w:num>
  <w:num w:numId="23" w16cid:durableId="723914116">
    <w:abstractNumId w:val="10"/>
  </w:num>
  <w:num w:numId="24" w16cid:durableId="397871776">
    <w:abstractNumId w:val="16"/>
  </w:num>
  <w:num w:numId="25" w16cid:durableId="1427841728">
    <w:abstractNumId w:val="29"/>
  </w:num>
  <w:num w:numId="26" w16cid:durableId="723482574">
    <w:abstractNumId w:val="30"/>
  </w:num>
  <w:num w:numId="27" w16cid:durableId="738554826">
    <w:abstractNumId w:val="24"/>
  </w:num>
  <w:num w:numId="28" w16cid:durableId="496726064">
    <w:abstractNumId w:val="15"/>
  </w:num>
  <w:num w:numId="29" w16cid:durableId="1130393154">
    <w:abstractNumId w:val="19"/>
  </w:num>
  <w:num w:numId="30" w16cid:durableId="741877983">
    <w:abstractNumId w:val="37"/>
  </w:num>
  <w:num w:numId="31" w16cid:durableId="1661154163">
    <w:abstractNumId w:val="17"/>
  </w:num>
  <w:num w:numId="32" w16cid:durableId="1863743975">
    <w:abstractNumId w:val="11"/>
  </w:num>
  <w:num w:numId="33" w16cid:durableId="945037848">
    <w:abstractNumId w:val="32"/>
  </w:num>
  <w:num w:numId="34" w16cid:durableId="1890729475">
    <w:abstractNumId w:val="5"/>
  </w:num>
  <w:num w:numId="35" w16cid:durableId="1105727694">
    <w:abstractNumId w:val="25"/>
  </w:num>
  <w:num w:numId="36" w16cid:durableId="764611285">
    <w:abstractNumId w:val="27"/>
  </w:num>
  <w:num w:numId="37" w16cid:durableId="65036340">
    <w:abstractNumId w:val="3"/>
  </w:num>
  <w:num w:numId="38" w16cid:durableId="29295435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wazf5f082zrfieazeax5tf4wvxz9x59ts99&quot;&gt;full_proposal_refs&lt;record-ids&gt;&lt;item&gt;2&lt;/item&gt;&lt;item&gt;9&lt;/item&gt;&lt;item&gt;12&lt;/item&gt;&lt;item&gt;13&lt;/item&gt;&lt;item&gt;14&lt;/item&gt;&lt;item&gt;15&lt;/item&gt;&lt;item&gt;17&lt;/item&gt;&lt;item&gt;18&lt;/item&gt;&lt;item&gt;19&lt;/item&gt;&lt;item&gt;21&lt;/item&gt;&lt;item&gt;23&lt;/item&gt;&lt;item&gt;24&lt;/item&gt;&lt;item&gt;25&lt;/item&gt;&lt;item&gt;26&lt;/item&gt;&lt;item&gt;27&lt;/item&gt;&lt;/record-ids&gt;&lt;/item&gt;&lt;/Libraries&gt;"/>
  </w:docVars>
  <w:rsids>
    <w:rsidRoot w:val="00FD596F"/>
    <w:rsid w:val="00000239"/>
    <w:rsid w:val="00000398"/>
    <w:rsid w:val="00000862"/>
    <w:rsid w:val="00000E95"/>
    <w:rsid w:val="0000294F"/>
    <w:rsid w:val="00002BB6"/>
    <w:rsid w:val="00006B31"/>
    <w:rsid w:val="000079B2"/>
    <w:rsid w:val="00010B27"/>
    <w:rsid w:val="000127EE"/>
    <w:rsid w:val="00013268"/>
    <w:rsid w:val="00015270"/>
    <w:rsid w:val="00017E72"/>
    <w:rsid w:val="00027B1A"/>
    <w:rsid w:val="00033C7C"/>
    <w:rsid w:val="0003674B"/>
    <w:rsid w:val="000408B9"/>
    <w:rsid w:val="00040AE9"/>
    <w:rsid w:val="0004157E"/>
    <w:rsid w:val="00042525"/>
    <w:rsid w:val="00045C0D"/>
    <w:rsid w:val="0004671B"/>
    <w:rsid w:val="00052875"/>
    <w:rsid w:val="0005410A"/>
    <w:rsid w:val="00054FF6"/>
    <w:rsid w:val="00055EF0"/>
    <w:rsid w:val="00057442"/>
    <w:rsid w:val="00057DA9"/>
    <w:rsid w:val="0006157F"/>
    <w:rsid w:val="00061AA6"/>
    <w:rsid w:val="00063D5B"/>
    <w:rsid w:val="00064A58"/>
    <w:rsid w:val="0006503D"/>
    <w:rsid w:val="00066C42"/>
    <w:rsid w:val="000741D3"/>
    <w:rsid w:val="000744F9"/>
    <w:rsid w:val="00076B02"/>
    <w:rsid w:val="000805F6"/>
    <w:rsid w:val="000810BA"/>
    <w:rsid w:val="00083AE7"/>
    <w:rsid w:val="0008434F"/>
    <w:rsid w:val="00085DF8"/>
    <w:rsid w:val="00086FAD"/>
    <w:rsid w:val="0008720F"/>
    <w:rsid w:val="00090ED0"/>
    <w:rsid w:val="0009328A"/>
    <w:rsid w:val="00093485"/>
    <w:rsid w:val="000934EB"/>
    <w:rsid w:val="00094725"/>
    <w:rsid w:val="0009490B"/>
    <w:rsid w:val="00096D1F"/>
    <w:rsid w:val="000A022B"/>
    <w:rsid w:val="000A1F01"/>
    <w:rsid w:val="000A5073"/>
    <w:rsid w:val="000A53DD"/>
    <w:rsid w:val="000A5D18"/>
    <w:rsid w:val="000A5E0D"/>
    <w:rsid w:val="000A7043"/>
    <w:rsid w:val="000A73D2"/>
    <w:rsid w:val="000A7577"/>
    <w:rsid w:val="000A7C7C"/>
    <w:rsid w:val="000B0947"/>
    <w:rsid w:val="000B189C"/>
    <w:rsid w:val="000B744E"/>
    <w:rsid w:val="000C4986"/>
    <w:rsid w:val="000C5FA5"/>
    <w:rsid w:val="000C7C3D"/>
    <w:rsid w:val="000D03A5"/>
    <w:rsid w:val="000D0ACB"/>
    <w:rsid w:val="000D466C"/>
    <w:rsid w:val="000E0548"/>
    <w:rsid w:val="000E18B0"/>
    <w:rsid w:val="000E376A"/>
    <w:rsid w:val="000E6BE6"/>
    <w:rsid w:val="000F1436"/>
    <w:rsid w:val="000F1715"/>
    <w:rsid w:val="000F397F"/>
    <w:rsid w:val="00100D2E"/>
    <w:rsid w:val="0010101F"/>
    <w:rsid w:val="0010317B"/>
    <w:rsid w:val="00110983"/>
    <w:rsid w:val="00110C67"/>
    <w:rsid w:val="001146B0"/>
    <w:rsid w:val="00114CAB"/>
    <w:rsid w:val="001215F1"/>
    <w:rsid w:val="00121B55"/>
    <w:rsid w:val="00123486"/>
    <w:rsid w:val="00124AFE"/>
    <w:rsid w:val="00124CCA"/>
    <w:rsid w:val="001271C6"/>
    <w:rsid w:val="00131379"/>
    <w:rsid w:val="001318D5"/>
    <w:rsid w:val="00136170"/>
    <w:rsid w:val="00140033"/>
    <w:rsid w:val="00141F65"/>
    <w:rsid w:val="00143282"/>
    <w:rsid w:val="0014363C"/>
    <w:rsid w:val="00145270"/>
    <w:rsid w:val="00146210"/>
    <w:rsid w:val="00146DF6"/>
    <w:rsid w:val="00147084"/>
    <w:rsid w:val="001471C0"/>
    <w:rsid w:val="00147738"/>
    <w:rsid w:val="00147947"/>
    <w:rsid w:val="0015085A"/>
    <w:rsid w:val="00151E99"/>
    <w:rsid w:val="00153150"/>
    <w:rsid w:val="001544E5"/>
    <w:rsid w:val="0015458F"/>
    <w:rsid w:val="001545EB"/>
    <w:rsid w:val="00154D97"/>
    <w:rsid w:val="00155734"/>
    <w:rsid w:val="00155B9B"/>
    <w:rsid w:val="00162FD6"/>
    <w:rsid w:val="00163272"/>
    <w:rsid w:val="001656FD"/>
    <w:rsid w:val="00166564"/>
    <w:rsid w:val="00166D66"/>
    <w:rsid w:val="00170282"/>
    <w:rsid w:val="00171BE6"/>
    <w:rsid w:val="00171D8D"/>
    <w:rsid w:val="001723F3"/>
    <w:rsid w:val="00173186"/>
    <w:rsid w:val="00173F54"/>
    <w:rsid w:val="0017679F"/>
    <w:rsid w:val="0018020E"/>
    <w:rsid w:val="0018289A"/>
    <w:rsid w:val="00182ADC"/>
    <w:rsid w:val="00183AE8"/>
    <w:rsid w:val="00183B09"/>
    <w:rsid w:val="001871F0"/>
    <w:rsid w:val="00187451"/>
    <w:rsid w:val="001902FD"/>
    <w:rsid w:val="00191C4E"/>
    <w:rsid w:val="00191F46"/>
    <w:rsid w:val="00197260"/>
    <w:rsid w:val="001A1E2A"/>
    <w:rsid w:val="001A2BE4"/>
    <w:rsid w:val="001A3C60"/>
    <w:rsid w:val="001A4FB8"/>
    <w:rsid w:val="001A60A2"/>
    <w:rsid w:val="001A6151"/>
    <w:rsid w:val="001A6215"/>
    <w:rsid w:val="001A6E86"/>
    <w:rsid w:val="001B05FD"/>
    <w:rsid w:val="001B362C"/>
    <w:rsid w:val="001B36FA"/>
    <w:rsid w:val="001B457B"/>
    <w:rsid w:val="001B4742"/>
    <w:rsid w:val="001B5DED"/>
    <w:rsid w:val="001B692F"/>
    <w:rsid w:val="001C1FA2"/>
    <w:rsid w:val="001C1FC5"/>
    <w:rsid w:val="001C2C23"/>
    <w:rsid w:val="001C3A74"/>
    <w:rsid w:val="001C79D3"/>
    <w:rsid w:val="001D445C"/>
    <w:rsid w:val="001D673C"/>
    <w:rsid w:val="001D71D2"/>
    <w:rsid w:val="001E2424"/>
    <w:rsid w:val="001E24C1"/>
    <w:rsid w:val="001E299D"/>
    <w:rsid w:val="001E54EC"/>
    <w:rsid w:val="001E55A0"/>
    <w:rsid w:val="001F0ABF"/>
    <w:rsid w:val="001F0D03"/>
    <w:rsid w:val="001F2997"/>
    <w:rsid w:val="001F543E"/>
    <w:rsid w:val="001F64C4"/>
    <w:rsid w:val="001F668E"/>
    <w:rsid w:val="001F738F"/>
    <w:rsid w:val="001F7770"/>
    <w:rsid w:val="00201270"/>
    <w:rsid w:val="00204492"/>
    <w:rsid w:val="00204C50"/>
    <w:rsid w:val="002059EE"/>
    <w:rsid w:val="00205DC4"/>
    <w:rsid w:val="00207C5A"/>
    <w:rsid w:val="00210C91"/>
    <w:rsid w:val="00214C87"/>
    <w:rsid w:val="0021536C"/>
    <w:rsid w:val="00216995"/>
    <w:rsid w:val="002274AF"/>
    <w:rsid w:val="00233D71"/>
    <w:rsid w:val="00234F35"/>
    <w:rsid w:val="002427ED"/>
    <w:rsid w:val="0024489B"/>
    <w:rsid w:val="002448B4"/>
    <w:rsid w:val="0024723B"/>
    <w:rsid w:val="002511B0"/>
    <w:rsid w:val="0025580A"/>
    <w:rsid w:val="002559AB"/>
    <w:rsid w:val="0025657C"/>
    <w:rsid w:val="002567EE"/>
    <w:rsid w:val="00256A3E"/>
    <w:rsid w:val="002619C1"/>
    <w:rsid w:val="0026304E"/>
    <w:rsid w:val="00263D1C"/>
    <w:rsid w:val="0026543B"/>
    <w:rsid w:val="002708C4"/>
    <w:rsid w:val="00270AB8"/>
    <w:rsid w:val="00275081"/>
    <w:rsid w:val="0027585A"/>
    <w:rsid w:val="00275905"/>
    <w:rsid w:val="00280E6A"/>
    <w:rsid w:val="00281986"/>
    <w:rsid w:val="0028389B"/>
    <w:rsid w:val="00283DAC"/>
    <w:rsid w:val="00283EDA"/>
    <w:rsid w:val="002841AC"/>
    <w:rsid w:val="00285E1F"/>
    <w:rsid w:val="00287705"/>
    <w:rsid w:val="00290263"/>
    <w:rsid w:val="002903CA"/>
    <w:rsid w:val="0029142F"/>
    <w:rsid w:val="00291541"/>
    <w:rsid w:val="002919A9"/>
    <w:rsid w:val="00291DA9"/>
    <w:rsid w:val="00293510"/>
    <w:rsid w:val="00294335"/>
    <w:rsid w:val="002968EB"/>
    <w:rsid w:val="00297C71"/>
    <w:rsid w:val="002A347D"/>
    <w:rsid w:val="002A3DA8"/>
    <w:rsid w:val="002A686F"/>
    <w:rsid w:val="002A7197"/>
    <w:rsid w:val="002B13E1"/>
    <w:rsid w:val="002B3062"/>
    <w:rsid w:val="002B3AEE"/>
    <w:rsid w:val="002B3B10"/>
    <w:rsid w:val="002B4623"/>
    <w:rsid w:val="002B4AA0"/>
    <w:rsid w:val="002B5F79"/>
    <w:rsid w:val="002B7357"/>
    <w:rsid w:val="002B7E72"/>
    <w:rsid w:val="002C121C"/>
    <w:rsid w:val="002C128C"/>
    <w:rsid w:val="002C6301"/>
    <w:rsid w:val="002C6F7D"/>
    <w:rsid w:val="002C76F7"/>
    <w:rsid w:val="002D218E"/>
    <w:rsid w:val="002D3FF4"/>
    <w:rsid w:val="002D71C6"/>
    <w:rsid w:val="002E2163"/>
    <w:rsid w:val="002E2AB9"/>
    <w:rsid w:val="002E2EA5"/>
    <w:rsid w:val="002E2FF1"/>
    <w:rsid w:val="002E34BE"/>
    <w:rsid w:val="002E3C2C"/>
    <w:rsid w:val="002E6DF0"/>
    <w:rsid w:val="002E70EF"/>
    <w:rsid w:val="002E7300"/>
    <w:rsid w:val="002E7C52"/>
    <w:rsid w:val="002E7D0D"/>
    <w:rsid w:val="002F2545"/>
    <w:rsid w:val="002F3436"/>
    <w:rsid w:val="002F4B09"/>
    <w:rsid w:val="002F6718"/>
    <w:rsid w:val="002F7410"/>
    <w:rsid w:val="00300A06"/>
    <w:rsid w:val="00301848"/>
    <w:rsid w:val="00301D42"/>
    <w:rsid w:val="00303366"/>
    <w:rsid w:val="003038A2"/>
    <w:rsid w:val="003039A7"/>
    <w:rsid w:val="00303BAD"/>
    <w:rsid w:val="00304222"/>
    <w:rsid w:val="00304873"/>
    <w:rsid w:val="00305957"/>
    <w:rsid w:val="00305CC6"/>
    <w:rsid w:val="00306AA9"/>
    <w:rsid w:val="00306D43"/>
    <w:rsid w:val="0031132B"/>
    <w:rsid w:val="003122A5"/>
    <w:rsid w:val="00313F76"/>
    <w:rsid w:val="003144FF"/>
    <w:rsid w:val="0032239E"/>
    <w:rsid w:val="003250B5"/>
    <w:rsid w:val="00325804"/>
    <w:rsid w:val="00326ABB"/>
    <w:rsid w:val="003275E6"/>
    <w:rsid w:val="003279DF"/>
    <w:rsid w:val="003300F2"/>
    <w:rsid w:val="00331622"/>
    <w:rsid w:val="003327DF"/>
    <w:rsid w:val="0033590B"/>
    <w:rsid w:val="00335D3C"/>
    <w:rsid w:val="00340600"/>
    <w:rsid w:val="0034182A"/>
    <w:rsid w:val="00341D2D"/>
    <w:rsid w:val="00342097"/>
    <w:rsid w:val="0034223B"/>
    <w:rsid w:val="00342FDA"/>
    <w:rsid w:val="00345728"/>
    <w:rsid w:val="00350003"/>
    <w:rsid w:val="00352B24"/>
    <w:rsid w:val="00353FAE"/>
    <w:rsid w:val="00355779"/>
    <w:rsid w:val="00355FD6"/>
    <w:rsid w:val="0035718A"/>
    <w:rsid w:val="00357AD6"/>
    <w:rsid w:val="00357D49"/>
    <w:rsid w:val="00360D68"/>
    <w:rsid w:val="00363D32"/>
    <w:rsid w:val="003705C2"/>
    <w:rsid w:val="003737AD"/>
    <w:rsid w:val="0037517F"/>
    <w:rsid w:val="00375858"/>
    <w:rsid w:val="00377547"/>
    <w:rsid w:val="003806D8"/>
    <w:rsid w:val="00380B65"/>
    <w:rsid w:val="0038289A"/>
    <w:rsid w:val="00384920"/>
    <w:rsid w:val="00386FC3"/>
    <w:rsid w:val="003911BF"/>
    <w:rsid w:val="00392439"/>
    <w:rsid w:val="00394FC9"/>
    <w:rsid w:val="00396B16"/>
    <w:rsid w:val="00397019"/>
    <w:rsid w:val="00397EF3"/>
    <w:rsid w:val="003A0A39"/>
    <w:rsid w:val="003A22C2"/>
    <w:rsid w:val="003A2F55"/>
    <w:rsid w:val="003A34B1"/>
    <w:rsid w:val="003A4ED6"/>
    <w:rsid w:val="003A5846"/>
    <w:rsid w:val="003A5C54"/>
    <w:rsid w:val="003B39A2"/>
    <w:rsid w:val="003B3AC7"/>
    <w:rsid w:val="003B425E"/>
    <w:rsid w:val="003B7426"/>
    <w:rsid w:val="003C21A6"/>
    <w:rsid w:val="003C2DC8"/>
    <w:rsid w:val="003C3351"/>
    <w:rsid w:val="003C4963"/>
    <w:rsid w:val="003C4EB5"/>
    <w:rsid w:val="003C55D0"/>
    <w:rsid w:val="003C585A"/>
    <w:rsid w:val="003C65A4"/>
    <w:rsid w:val="003C6F37"/>
    <w:rsid w:val="003C70DB"/>
    <w:rsid w:val="003C76A3"/>
    <w:rsid w:val="003D12FA"/>
    <w:rsid w:val="003D27CA"/>
    <w:rsid w:val="003D3825"/>
    <w:rsid w:val="003D3B82"/>
    <w:rsid w:val="003D3E6C"/>
    <w:rsid w:val="003D422D"/>
    <w:rsid w:val="003D5261"/>
    <w:rsid w:val="003D5965"/>
    <w:rsid w:val="003D70AD"/>
    <w:rsid w:val="003E0748"/>
    <w:rsid w:val="003E0825"/>
    <w:rsid w:val="003E4233"/>
    <w:rsid w:val="003E5075"/>
    <w:rsid w:val="003E5282"/>
    <w:rsid w:val="003E5E33"/>
    <w:rsid w:val="003E6792"/>
    <w:rsid w:val="003E6D2D"/>
    <w:rsid w:val="003F1A7F"/>
    <w:rsid w:val="003F2698"/>
    <w:rsid w:val="003F552A"/>
    <w:rsid w:val="003F6809"/>
    <w:rsid w:val="003F717F"/>
    <w:rsid w:val="003F7A73"/>
    <w:rsid w:val="00401143"/>
    <w:rsid w:val="004021C8"/>
    <w:rsid w:val="00403CE6"/>
    <w:rsid w:val="00404B56"/>
    <w:rsid w:val="00413042"/>
    <w:rsid w:val="00413ABA"/>
    <w:rsid w:val="00413F31"/>
    <w:rsid w:val="00415620"/>
    <w:rsid w:val="00416187"/>
    <w:rsid w:val="00416F6F"/>
    <w:rsid w:val="004201B1"/>
    <w:rsid w:val="004217BF"/>
    <w:rsid w:val="004223EF"/>
    <w:rsid w:val="00422BD9"/>
    <w:rsid w:val="00423FAA"/>
    <w:rsid w:val="0042560A"/>
    <w:rsid w:val="0042579B"/>
    <w:rsid w:val="00426F20"/>
    <w:rsid w:val="0043085E"/>
    <w:rsid w:val="00432731"/>
    <w:rsid w:val="004328F1"/>
    <w:rsid w:val="00435030"/>
    <w:rsid w:val="004360EF"/>
    <w:rsid w:val="00436147"/>
    <w:rsid w:val="004405EC"/>
    <w:rsid w:val="00443EF3"/>
    <w:rsid w:val="004448C9"/>
    <w:rsid w:val="0044507A"/>
    <w:rsid w:val="0044556F"/>
    <w:rsid w:val="00446088"/>
    <w:rsid w:val="00446306"/>
    <w:rsid w:val="00447914"/>
    <w:rsid w:val="00447BFD"/>
    <w:rsid w:val="00450170"/>
    <w:rsid w:val="004501D7"/>
    <w:rsid w:val="00450F41"/>
    <w:rsid w:val="0045115B"/>
    <w:rsid w:val="00452AA6"/>
    <w:rsid w:val="0045314C"/>
    <w:rsid w:val="00453317"/>
    <w:rsid w:val="00453E15"/>
    <w:rsid w:val="00453EFE"/>
    <w:rsid w:val="00454AE5"/>
    <w:rsid w:val="0045664E"/>
    <w:rsid w:val="00460459"/>
    <w:rsid w:val="00461026"/>
    <w:rsid w:val="00461BC4"/>
    <w:rsid w:val="004627C4"/>
    <w:rsid w:val="00464E7D"/>
    <w:rsid w:val="0046527A"/>
    <w:rsid w:val="00466CC6"/>
    <w:rsid w:val="004672DD"/>
    <w:rsid w:val="004700A2"/>
    <w:rsid w:val="004700BE"/>
    <w:rsid w:val="0047215C"/>
    <w:rsid w:val="00472A41"/>
    <w:rsid w:val="004730DA"/>
    <w:rsid w:val="004736F3"/>
    <w:rsid w:val="004742F4"/>
    <w:rsid w:val="004756EE"/>
    <w:rsid w:val="004815A7"/>
    <w:rsid w:val="00481C86"/>
    <w:rsid w:val="00482A01"/>
    <w:rsid w:val="0048577A"/>
    <w:rsid w:val="00491279"/>
    <w:rsid w:val="00491E68"/>
    <w:rsid w:val="00493934"/>
    <w:rsid w:val="0049466E"/>
    <w:rsid w:val="00495103"/>
    <w:rsid w:val="00495564"/>
    <w:rsid w:val="0049556D"/>
    <w:rsid w:val="004964E4"/>
    <w:rsid w:val="00496BC1"/>
    <w:rsid w:val="004A1EE8"/>
    <w:rsid w:val="004A2A0D"/>
    <w:rsid w:val="004A2E96"/>
    <w:rsid w:val="004B0189"/>
    <w:rsid w:val="004B03A5"/>
    <w:rsid w:val="004B14AF"/>
    <w:rsid w:val="004B5476"/>
    <w:rsid w:val="004B7634"/>
    <w:rsid w:val="004C08B3"/>
    <w:rsid w:val="004C0AF5"/>
    <w:rsid w:val="004C663B"/>
    <w:rsid w:val="004D3ADB"/>
    <w:rsid w:val="004D62E2"/>
    <w:rsid w:val="004D6D2F"/>
    <w:rsid w:val="004E2702"/>
    <w:rsid w:val="004E3F2E"/>
    <w:rsid w:val="004E5E27"/>
    <w:rsid w:val="004F006A"/>
    <w:rsid w:val="004F25A2"/>
    <w:rsid w:val="004F304B"/>
    <w:rsid w:val="004F3ADE"/>
    <w:rsid w:val="004F536D"/>
    <w:rsid w:val="004F5F08"/>
    <w:rsid w:val="00502972"/>
    <w:rsid w:val="0050465D"/>
    <w:rsid w:val="00505D10"/>
    <w:rsid w:val="005064A1"/>
    <w:rsid w:val="00506CD4"/>
    <w:rsid w:val="00506EBA"/>
    <w:rsid w:val="005070D0"/>
    <w:rsid w:val="00513D28"/>
    <w:rsid w:val="00514A36"/>
    <w:rsid w:val="00514D02"/>
    <w:rsid w:val="00516AB7"/>
    <w:rsid w:val="005212E5"/>
    <w:rsid w:val="00523D4F"/>
    <w:rsid w:val="00524418"/>
    <w:rsid w:val="00526498"/>
    <w:rsid w:val="005276C8"/>
    <w:rsid w:val="005332D8"/>
    <w:rsid w:val="00533A3F"/>
    <w:rsid w:val="00533B1D"/>
    <w:rsid w:val="0053586A"/>
    <w:rsid w:val="00536DAE"/>
    <w:rsid w:val="005402FF"/>
    <w:rsid w:val="005405BE"/>
    <w:rsid w:val="00540BBF"/>
    <w:rsid w:val="00541E83"/>
    <w:rsid w:val="00543437"/>
    <w:rsid w:val="005437FA"/>
    <w:rsid w:val="00543F33"/>
    <w:rsid w:val="0054638E"/>
    <w:rsid w:val="00546EFB"/>
    <w:rsid w:val="0054790E"/>
    <w:rsid w:val="005535C4"/>
    <w:rsid w:val="00553984"/>
    <w:rsid w:val="00554743"/>
    <w:rsid w:val="005550DE"/>
    <w:rsid w:val="00555459"/>
    <w:rsid w:val="0055624D"/>
    <w:rsid w:val="00557788"/>
    <w:rsid w:val="005610E9"/>
    <w:rsid w:val="00563D00"/>
    <w:rsid w:val="005653D2"/>
    <w:rsid w:val="00565D44"/>
    <w:rsid w:val="005701F0"/>
    <w:rsid w:val="00571211"/>
    <w:rsid w:val="00571579"/>
    <w:rsid w:val="005721BB"/>
    <w:rsid w:val="00573CA5"/>
    <w:rsid w:val="00574FDE"/>
    <w:rsid w:val="00577354"/>
    <w:rsid w:val="005808E7"/>
    <w:rsid w:val="0058118B"/>
    <w:rsid w:val="005852FF"/>
    <w:rsid w:val="00587C00"/>
    <w:rsid w:val="00590DD0"/>
    <w:rsid w:val="00592C43"/>
    <w:rsid w:val="005944DA"/>
    <w:rsid w:val="00594F72"/>
    <w:rsid w:val="0059584F"/>
    <w:rsid w:val="00595C3A"/>
    <w:rsid w:val="0059664C"/>
    <w:rsid w:val="005A1202"/>
    <w:rsid w:val="005A12BB"/>
    <w:rsid w:val="005A3A86"/>
    <w:rsid w:val="005A6418"/>
    <w:rsid w:val="005A67B0"/>
    <w:rsid w:val="005A6A57"/>
    <w:rsid w:val="005A711E"/>
    <w:rsid w:val="005B25F5"/>
    <w:rsid w:val="005B2B1B"/>
    <w:rsid w:val="005B2DBA"/>
    <w:rsid w:val="005B437A"/>
    <w:rsid w:val="005B53AB"/>
    <w:rsid w:val="005B64F5"/>
    <w:rsid w:val="005C3794"/>
    <w:rsid w:val="005C4CA9"/>
    <w:rsid w:val="005D036A"/>
    <w:rsid w:val="005D05E0"/>
    <w:rsid w:val="005D1815"/>
    <w:rsid w:val="005D506B"/>
    <w:rsid w:val="005D6C61"/>
    <w:rsid w:val="005D7D7B"/>
    <w:rsid w:val="005E1F60"/>
    <w:rsid w:val="005E26F0"/>
    <w:rsid w:val="005E297D"/>
    <w:rsid w:val="005E3787"/>
    <w:rsid w:val="005E44DD"/>
    <w:rsid w:val="005E4E72"/>
    <w:rsid w:val="005E70CE"/>
    <w:rsid w:val="005E7895"/>
    <w:rsid w:val="005E7BC1"/>
    <w:rsid w:val="005F3814"/>
    <w:rsid w:val="005F3970"/>
    <w:rsid w:val="00600416"/>
    <w:rsid w:val="006007CF"/>
    <w:rsid w:val="00600CBF"/>
    <w:rsid w:val="00602F69"/>
    <w:rsid w:val="0060376E"/>
    <w:rsid w:val="00603F11"/>
    <w:rsid w:val="00611331"/>
    <w:rsid w:val="00611870"/>
    <w:rsid w:val="00611A30"/>
    <w:rsid w:val="00612D64"/>
    <w:rsid w:val="006141E3"/>
    <w:rsid w:val="006219EF"/>
    <w:rsid w:val="00621B1A"/>
    <w:rsid w:val="00623D6A"/>
    <w:rsid w:val="006250BA"/>
    <w:rsid w:val="00625D39"/>
    <w:rsid w:val="006262B2"/>
    <w:rsid w:val="0062750A"/>
    <w:rsid w:val="00627C99"/>
    <w:rsid w:val="00627E86"/>
    <w:rsid w:val="006325EA"/>
    <w:rsid w:val="00632D82"/>
    <w:rsid w:val="006341D8"/>
    <w:rsid w:val="006349AE"/>
    <w:rsid w:val="0064029B"/>
    <w:rsid w:val="006434F9"/>
    <w:rsid w:val="00644DF6"/>
    <w:rsid w:val="00645EBB"/>
    <w:rsid w:val="0064673F"/>
    <w:rsid w:val="00647035"/>
    <w:rsid w:val="0065092F"/>
    <w:rsid w:val="00652B22"/>
    <w:rsid w:val="00653164"/>
    <w:rsid w:val="00656029"/>
    <w:rsid w:val="00656E89"/>
    <w:rsid w:val="00660C8F"/>
    <w:rsid w:val="00662A91"/>
    <w:rsid w:val="006643C2"/>
    <w:rsid w:val="006644F7"/>
    <w:rsid w:val="00665112"/>
    <w:rsid w:val="0066575E"/>
    <w:rsid w:val="00665D67"/>
    <w:rsid w:val="00666858"/>
    <w:rsid w:val="006668C3"/>
    <w:rsid w:val="0067144B"/>
    <w:rsid w:val="006725BD"/>
    <w:rsid w:val="00672FD0"/>
    <w:rsid w:val="0067321C"/>
    <w:rsid w:val="0067630B"/>
    <w:rsid w:val="00677DAA"/>
    <w:rsid w:val="0068114E"/>
    <w:rsid w:val="00681C4D"/>
    <w:rsid w:val="00682F0B"/>
    <w:rsid w:val="006839FB"/>
    <w:rsid w:val="00685100"/>
    <w:rsid w:val="0068575F"/>
    <w:rsid w:val="006926F1"/>
    <w:rsid w:val="006936AA"/>
    <w:rsid w:val="006972E8"/>
    <w:rsid w:val="006A0DC6"/>
    <w:rsid w:val="006A29A7"/>
    <w:rsid w:val="006A2D2C"/>
    <w:rsid w:val="006A3E38"/>
    <w:rsid w:val="006A4A75"/>
    <w:rsid w:val="006A7617"/>
    <w:rsid w:val="006A7874"/>
    <w:rsid w:val="006B33D3"/>
    <w:rsid w:val="006B74B5"/>
    <w:rsid w:val="006C0B31"/>
    <w:rsid w:val="006C143C"/>
    <w:rsid w:val="006C1DFF"/>
    <w:rsid w:val="006C3106"/>
    <w:rsid w:val="006D04FF"/>
    <w:rsid w:val="006D50E5"/>
    <w:rsid w:val="006D6472"/>
    <w:rsid w:val="006D75BD"/>
    <w:rsid w:val="006E22F5"/>
    <w:rsid w:val="006E43E4"/>
    <w:rsid w:val="006E5B78"/>
    <w:rsid w:val="006E6763"/>
    <w:rsid w:val="006E6B07"/>
    <w:rsid w:val="006E7C3A"/>
    <w:rsid w:val="006F2811"/>
    <w:rsid w:val="006F321B"/>
    <w:rsid w:val="00702164"/>
    <w:rsid w:val="0070508E"/>
    <w:rsid w:val="0070762A"/>
    <w:rsid w:val="00707646"/>
    <w:rsid w:val="007141DB"/>
    <w:rsid w:val="00716267"/>
    <w:rsid w:val="00717B82"/>
    <w:rsid w:val="00717DED"/>
    <w:rsid w:val="00717E0D"/>
    <w:rsid w:val="0072050D"/>
    <w:rsid w:val="007210D6"/>
    <w:rsid w:val="00722EAA"/>
    <w:rsid w:val="00723359"/>
    <w:rsid w:val="00723704"/>
    <w:rsid w:val="007247DA"/>
    <w:rsid w:val="0072508A"/>
    <w:rsid w:val="007278C6"/>
    <w:rsid w:val="00732614"/>
    <w:rsid w:val="0073558C"/>
    <w:rsid w:val="0073635B"/>
    <w:rsid w:val="00736E23"/>
    <w:rsid w:val="00736F27"/>
    <w:rsid w:val="00737565"/>
    <w:rsid w:val="007441BD"/>
    <w:rsid w:val="00744428"/>
    <w:rsid w:val="0074537C"/>
    <w:rsid w:val="00750398"/>
    <w:rsid w:val="0075247E"/>
    <w:rsid w:val="00754623"/>
    <w:rsid w:val="00754828"/>
    <w:rsid w:val="00755639"/>
    <w:rsid w:val="00760EEA"/>
    <w:rsid w:val="007614FC"/>
    <w:rsid w:val="007623BE"/>
    <w:rsid w:val="00764B90"/>
    <w:rsid w:val="00764FA4"/>
    <w:rsid w:val="00766689"/>
    <w:rsid w:val="00770B76"/>
    <w:rsid w:val="00771202"/>
    <w:rsid w:val="00771AFA"/>
    <w:rsid w:val="00773746"/>
    <w:rsid w:val="00775283"/>
    <w:rsid w:val="00776A40"/>
    <w:rsid w:val="00780615"/>
    <w:rsid w:val="007821BE"/>
    <w:rsid w:val="0078228C"/>
    <w:rsid w:val="00783817"/>
    <w:rsid w:val="00785864"/>
    <w:rsid w:val="00787130"/>
    <w:rsid w:val="00787C6E"/>
    <w:rsid w:val="0079162F"/>
    <w:rsid w:val="00791825"/>
    <w:rsid w:val="00794B8C"/>
    <w:rsid w:val="00794F32"/>
    <w:rsid w:val="0079545C"/>
    <w:rsid w:val="007958B5"/>
    <w:rsid w:val="0079669D"/>
    <w:rsid w:val="007A153D"/>
    <w:rsid w:val="007A1713"/>
    <w:rsid w:val="007A3549"/>
    <w:rsid w:val="007A3D4C"/>
    <w:rsid w:val="007A4072"/>
    <w:rsid w:val="007A4515"/>
    <w:rsid w:val="007A4A4D"/>
    <w:rsid w:val="007A4DB7"/>
    <w:rsid w:val="007A5299"/>
    <w:rsid w:val="007A52D2"/>
    <w:rsid w:val="007B01C6"/>
    <w:rsid w:val="007B141C"/>
    <w:rsid w:val="007B374C"/>
    <w:rsid w:val="007B4D47"/>
    <w:rsid w:val="007B5162"/>
    <w:rsid w:val="007B677B"/>
    <w:rsid w:val="007B7450"/>
    <w:rsid w:val="007B757F"/>
    <w:rsid w:val="007B771F"/>
    <w:rsid w:val="007C18AB"/>
    <w:rsid w:val="007C1BB9"/>
    <w:rsid w:val="007C3476"/>
    <w:rsid w:val="007C730E"/>
    <w:rsid w:val="007D0D1C"/>
    <w:rsid w:val="007D319B"/>
    <w:rsid w:val="007D4FC9"/>
    <w:rsid w:val="007D5693"/>
    <w:rsid w:val="007D7591"/>
    <w:rsid w:val="007E09FD"/>
    <w:rsid w:val="007E4E7B"/>
    <w:rsid w:val="007E5762"/>
    <w:rsid w:val="007E7C8D"/>
    <w:rsid w:val="007F1978"/>
    <w:rsid w:val="007F3EFB"/>
    <w:rsid w:val="007F439A"/>
    <w:rsid w:val="007F5621"/>
    <w:rsid w:val="007F7D02"/>
    <w:rsid w:val="008011B4"/>
    <w:rsid w:val="00802A4B"/>
    <w:rsid w:val="0080492C"/>
    <w:rsid w:val="008059C5"/>
    <w:rsid w:val="00806606"/>
    <w:rsid w:val="00807104"/>
    <w:rsid w:val="00811D2F"/>
    <w:rsid w:val="00811FCC"/>
    <w:rsid w:val="00812F02"/>
    <w:rsid w:val="0081318F"/>
    <w:rsid w:val="0081329E"/>
    <w:rsid w:val="00813F6F"/>
    <w:rsid w:val="00814A20"/>
    <w:rsid w:val="00815FCB"/>
    <w:rsid w:val="008210EB"/>
    <w:rsid w:val="008220EF"/>
    <w:rsid w:val="00823B01"/>
    <w:rsid w:val="00825B64"/>
    <w:rsid w:val="00827CB2"/>
    <w:rsid w:val="00830D9B"/>
    <w:rsid w:val="00831330"/>
    <w:rsid w:val="008317F5"/>
    <w:rsid w:val="0083594F"/>
    <w:rsid w:val="00835EDD"/>
    <w:rsid w:val="008406B8"/>
    <w:rsid w:val="00840C76"/>
    <w:rsid w:val="00840E06"/>
    <w:rsid w:val="00844E19"/>
    <w:rsid w:val="00851140"/>
    <w:rsid w:val="00852689"/>
    <w:rsid w:val="008526EF"/>
    <w:rsid w:val="00853085"/>
    <w:rsid w:val="00853583"/>
    <w:rsid w:val="00853CDD"/>
    <w:rsid w:val="00855EFB"/>
    <w:rsid w:val="008626DC"/>
    <w:rsid w:val="00864C57"/>
    <w:rsid w:val="00864D20"/>
    <w:rsid w:val="008657C6"/>
    <w:rsid w:val="00865EFB"/>
    <w:rsid w:val="00866931"/>
    <w:rsid w:val="00867504"/>
    <w:rsid w:val="00867512"/>
    <w:rsid w:val="00871950"/>
    <w:rsid w:val="0087239E"/>
    <w:rsid w:val="00873164"/>
    <w:rsid w:val="00873A36"/>
    <w:rsid w:val="00876BEA"/>
    <w:rsid w:val="0087719C"/>
    <w:rsid w:val="00877315"/>
    <w:rsid w:val="008775F6"/>
    <w:rsid w:val="00880294"/>
    <w:rsid w:val="008809FB"/>
    <w:rsid w:val="008820B3"/>
    <w:rsid w:val="00886AAE"/>
    <w:rsid w:val="00886C19"/>
    <w:rsid w:val="00887A80"/>
    <w:rsid w:val="00890D58"/>
    <w:rsid w:val="00891396"/>
    <w:rsid w:val="00894481"/>
    <w:rsid w:val="00894A8B"/>
    <w:rsid w:val="008957E6"/>
    <w:rsid w:val="00896CC9"/>
    <w:rsid w:val="008971C7"/>
    <w:rsid w:val="008A096E"/>
    <w:rsid w:val="008A16A5"/>
    <w:rsid w:val="008A2141"/>
    <w:rsid w:val="008A2820"/>
    <w:rsid w:val="008A33D0"/>
    <w:rsid w:val="008A6017"/>
    <w:rsid w:val="008A621E"/>
    <w:rsid w:val="008B253F"/>
    <w:rsid w:val="008B3CB6"/>
    <w:rsid w:val="008B5759"/>
    <w:rsid w:val="008B6073"/>
    <w:rsid w:val="008B76E5"/>
    <w:rsid w:val="008C1331"/>
    <w:rsid w:val="008C15CD"/>
    <w:rsid w:val="008C16A5"/>
    <w:rsid w:val="008C2D08"/>
    <w:rsid w:val="008C5DAD"/>
    <w:rsid w:val="008C7919"/>
    <w:rsid w:val="008D0C52"/>
    <w:rsid w:val="008D1DBD"/>
    <w:rsid w:val="008D4423"/>
    <w:rsid w:val="008D472B"/>
    <w:rsid w:val="008D4FBC"/>
    <w:rsid w:val="008D5EAC"/>
    <w:rsid w:val="008E12FD"/>
    <w:rsid w:val="008E2EA4"/>
    <w:rsid w:val="008E31B8"/>
    <w:rsid w:val="008E3D93"/>
    <w:rsid w:val="008E3F57"/>
    <w:rsid w:val="008E521A"/>
    <w:rsid w:val="008E6435"/>
    <w:rsid w:val="008F521A"/>
    <w:rsid w:val="008F5687"/>
    <w:rsid w:val="008F68A5"/>
    <w:rsid w:val="008F6D81"/>
    <w:rsid w:val="0090082E"/>
    <w:rsid w:val="009022A6"/>
    <w:rsid w:val="00902525"/>
    <w:rsid w:val="009049BF"/>
    <w:rsid w:val="009051E5"/>
    <w:rsid w:val="009057CE"/>
    <w:rsid w:val="00907954"/>
    <w:rsid w:val="009102DE"/>
    <w:rsid w:val="009103D5"/>
    <w:rsid w:val="009129A4"/>
    <w:rsid w:val="00912F58"/>
    <w:rsid w:val="009133C8"/>
    <w:rsid w:val="00921748"/>
    <w:rsid w:val="0092295B"/>
    <w:rsid w:val="009235EE"/>
    <w:rsid w:val="009242FD"/>
    <w:rsid w:val="00924F71"/>
    <w:rsid w:val="0092557B"/>
    <w:rsid w:val="0093171C"/>
    <w:rsid w:val="00931FE9"/>
    <w:rsid w:val="00933543"/>
    <w:rsid w:val="0093424F"/>
    <w:rsid w:val="00935143"/>
    <w:rsid w:val="009353BE"/>
    <w:rsid w:val="009357B7"/>
    <w:rsid w:val="00936A82"/>
    <w:rsid w:val="00936F00"/>
    <w:rsid w:val="00936F38"/>
    <w:rsid w:val="009377D9"/>
    <w:rsid w:val="00937C38"/>
    <w:rsid w:val="009427AB"/>
    <w:rsid w:val="00942D82"/>
    <w:rsid w:val="009433EC"/>
    <w:rsid w:val="009438BD"/>
    <w:rsid w:val="009445BD"/>
    <w:rsid w:val="00944784"/>
    <w:rsid w:val="00944B33"/>
    <w:rsid w:val="009455C7"/>
    <w:rsid w:val="0094701D"/>
    <w:rsid w:val="009476B6"/>
    <w:rsid w:val="009507DD"/>
    <w:rsid w:val="009511FF"/>
    <w:rsid w:val="0095253D"/>
    <w:rsid w:val="00953D93"/>
    <w:rsid w:val="00954FD7"/>
    <w:rsid w:val="00955686"/>
    <w:rsid w:val="00957053"/>
    <w:rsid w:val="00957FA9"/>
    <w:rsid w:val="00960837"/>
    <w:rsid w:val="00962A8D"/>
    <w:rsid w:val="009637C0"/>
    <w:rsid w:val="009664C8"/>
    <w:rsid w:val="009667DA"/>
    <w:rsid w:val="0096706E"/>
    <w:rsid w:val="00967929"/>
    <w:rsid w:val="00967C76"/>
    <w:rsid w:val="00970A18"/>
    <w:rsid w:val="00972C69"/>
    <w:rsid w:val="00975340"/>
    <w:rsid w:val="0097712A"/>
    <w:rsid w:val="00977ABD"/>
    <w:rsid w:val="00980D10"/>
    <w:rsid w:val="00981F4D"/>
    <w:rsid w:val="00983A39"/>
    <w:rsid w:val="00986FE7"/>
    <w:rsid w:val="00987572"/>
    <w:rsid w:val="00990632"/>
    <w:rsid w:val="009906C6"/>
    <w:rsid w:val="00991104"/>
    <w:rsid w:val="0099482A"/>
    <w:rsid w:val="00994F83"/>
    <w:rsid w:val="009960A2"/>
    <w:rsid w:val="00996155"/>
    <w:rsid w:val="009A27FB"/>
    <w:rsid w:val="009A440F"/>
    <w:rsid w:val="009A6AE6"/>
    <w:rsid w:val="009B3CF2"/>
    <w:rsid w:val="009B6174"/>
    <w:rsid w:val="009B68CA"/>
    <w:rsid w:val="009C09DC"/>
    <w:rsid w:val="009C1895"/>
    <w:rsid w:val="009C1AEA"/>
    <w:rsid w:val="009C3822"/>
    <w:rsid w:val="009C38C9"/>
    <w:rsid w:val="009C39AB"/>
    <w:rsid w:val="009C51A0"/>
    <w:rsid w:val="009C5438"/>
    <w:rsid w:val="009C607B"/>
    <w:rsid w:val="009C77D0"/>
    <w:rsid w:val="009D01E9"/>
    <w:rsid w:val="009D0F8E"/>
    <w:rsid w:val="009D20BE"/>
    <w:rsid w:val="009D2F27"/>
    <w:rsid w:val="009D30CA"/>
    <w:rsid w:val="009D4EA7"/>
    <w:rsid w:val="009D574D"/>
    <w:rsid w:val="009D6055"/>
    <w:rsid w:val="009E009E"/>
    <w:rsid w:val="009E09BC"/>
    <w:rsid w:val="009E0CB1"/>
    <w:rsid w:val="009E1DE2"/>
    <w:rsid w:val="009E3FAD"/>
    <w:rsid w:val="009E4503"/>
    <w:rsid w:val="009E4974"/>
    <w:rsid w:val="009F00E8"/>
    <w:rsid w:val="009F03E7"/>
    <w:rsid w:val="009F28E6"/>
    <w:rsid w:val="009F32D6"/>
    <w:rsid w:val="009F4BC1"/>
    <w:rsid w:val="009F540F"/>
    <w:rsid w:val="009F5678"/>
    <w:rsid w:val="009F71A8"/>
    <w:rsid w:val="009F7ECC"/>
    <w:rsid w:val="00A013FB"/>
    <w:rsid w:val="00A025A2"/>
    <w:rsid w:val="00A078CA"/>
    <w:rsid w:val="00A109E0"/>
    <w:rsid w:val="00A11248"/>
    <w:rsid w:val="00A119DC"/>
    <w:rsid w:val="00A141C3"/>
    <w:rsid w:val="00A14D94"/>
    <w:rsid w:val="00A15A62"/>
    <w:rsid w:val="00A161CF"/>
    <w:rsid w:val="00A22F60"/>
    <w:rsid w:val="00A2349B"/>
    <w:rsid w:val="00A244B7"/>
    <w:rsid w:val="00A25A22"/>
    <w:rsid w:val="00A25D7F"/>
    <w:rsid w:val="00A31CB8"/>
    <w:rsid w:val="00A3282A"/>
    <w:rsid w:val="00A33B51"/>
    <w:rsid w:val="00A344F6"/>
    <w:rsid w:val="00A35D1A"/>
    <w:rsid w:val="00A36625"/>
    <w:rsid w:val="00A36C5B"/>
    <w:rsid w:val="00A36E69"/>
    <w:rsid w:val="00A4341E"/>
    <w:rsid w:val="00A44370"/>
    <w:rsid w:val="00A44D6F"/>
    <w:rsid w:val="00A47AD0"/>
    <w:rsid w:val="00A504EF"/>
    <w:rsid w:val="00A51C1A"/>
    <w:rsid w:val="00A52498"/>
    <w:rsid w:val="00A52A78"/>
    <w:rsid w:val="00A53185"/>
    <w:rsid w:val="00A53D7A"/>
    <w:rsid w:val="00A55700"/>
    <w:rsid w:val="00A55FD4"/>
    <w:rsid w:val="00A56322"/>
    <w:rsid w:val="00A57EF6"/>
    <w:rsid w:val="00A6186E"/>
    <w:rsid w:val="00A64732"/>
    <w:rsid w:val="00A650AC"/>
    <w:rsid w:val="00A655F9"/>
    <w:rsid w:val="00A66DFF"/>
    <w:rsid w:val="00A67BEF"/>
    <w:rsid w:val="00A70787"/>
    <w:rsid w:val="00A709C3"/>
    <w:rsid w:val="00A72A0F"/>
    <w:rsid w:val="00A7420B"/>
    <w:rsid w:val="00A74415"/>
    <w:rsid w:val="00A81E1E"/>
    <w:rsid w:val="00A8375B"/>
    <w:rsid w:val="00A85A6A"/>
    <w:rsid w:val="00A85CDD"/>
    <w:rsid w:val="00A862BB"/>
    <w:rsid w:val="00A8DED1"/>
    <w:rsid w:val="00A90AB4"/>
    <w:rsid w:val="00A91814"/>
    <w:rsid w:val="00A92008"/>
    <w:rsid w:val="00A93E9F"/>
    <w:rsid w:val="00A94FCD"/>
    <w:rsid w:val="00A96011"/>
    <w:rsid w:val="00A96FBD"/>
    <w:rsid w:val="00AA0747"/>
    <w:rsid w:val="00AA0C1E"/>
    <w:rsid w:val="00AA0D47"/>
    <w:rsid w:val="00AA1376"/>
    <w:rsid w:val="00AA2185"/>
    <w:rsid w:val="00AA371E"/>
    <w:rsid w:val="00AA53A2"/>
    <w:rsid w:val="00AA5AAA"/>
    <w:rsid w:val="00AA6396"/>
    <w:rsid w:val="00AA6C62"/>
    <w:rsid w:val="00AB1E10"/>
    <w:rsid w:val="00AB213C"/>
    <w:rsid w:val="00AB2E03"/>
    <w:rsid w:val="00AB45AA"/>
    <w:rsid w:val="00AB49C0"/>
    <w:rsid w:val="00AB63A2"/>
    <w:rsid w:val="00AC2E39"/>
    <w:rsid w:val="00AC3335"/>
    <w:rsid w:val="00AC6CE3"/>
    <w:rsid w:val="00AC7106"/>
    <w:rsid w:val="00AC727E"/>
    <w:rsid w:val="00AD09E4"/>
    <w:rsid w:val="00AD0B8F"/>
    <w:rsid w:val="00AD0C4A"/>
    <w:rsid w:val="00AD2CE2"/>
    <w:rsid w:val="00AD3426"/>
    <w:rsid w:val="00AD4F39"/>
    <w:rsid w:val="00AD5A63"/>
    <w:rsid w:val="00AD63F0"/>
    <w:rsid w:val="00AD64CB"/>
    <w:rsid w:val="00AD69A5"/>
    <w:rsid w:val="00AE0A0B"/>
    <w:rsid w:val="00AE21CF"/>
    <w:rsid w:val="00AE3F05"/>
    <w:rsid w:val="00AE4DC0"/>
    <w:rsid w:val="00AE543A"/>
    <w:rsid w:val="00AE74A2"/>
    <w:rsid w:val="00AF10D1"/>
    <w:rsid w:val="00AF2FD9"/>
    <w:rsid w:val="00AF5233"/>
    <w:rsid w:val="00AF5C88"/>
    <w:rsid w:val="00AF75D9"/>
    <w:rsid w:val="00AF7F35"/>
    <w:rsid w:val="00B019D5"/>
    <w:rsid w:val="00B03D89"/>
    <w:rsid w:val="00B0420E"/>
    <w:rsid w:val="00B05594"/>
    <w:rsid w:val="00B05B4A"/>
    <w:rsid w:val="00B06358"/>
    <w:rsid w:val="00B06A8A"/>
    <w:rsid w:val="00B070AE"/>
    <w:rsid w:val="00B073E8"/>
    <w:rsid w:val="00B0791E"/>
    <w:rsid w:val="00B07BC3"/>
    <w:rsid w:val="00B112F7"/>
    <w:rsid w:val="00B12BAF"/>
    <w:rsid w:val="00B14579"/>
    <w:rsid w:val="00B14D3F"/>
    <w:rsid w:val="00B16126"/>
    <w:rsid w:val="00B17669"/>
    <w:rsid w:val="00B17FA0"/>
    <w:rsid w:val="00B2143B"/>
    <w:rsid w:val="00B229A5"/>
    <w:rsid w:val="00B24CE7"/>
    <w:rsid w:val="00B24D9C"/>
    <w:rsid w:val="00B25B30"/>
    <w:rsid w:val="00B27D77"/>
    <w:rsid w:val="00B307D1"/>
    <w:rsid w:val="00B3092F"/>
    <w:rsid w:val="00B33297"/>
    <w:rsid w:val="00B33967"/>
    <w:rsid w:val="00B33A66"/>
    <w:rsid w:val="00B36F3C"/>
    <w:rsid w:val="00B37503"/>
    <w:rsid w:val="00B421D8"/>
    <w:rsid w:val="00B45FB6"/>
    <w:rsid w:val="00B463E1"/>
    <w:rsid w:val="00B46E4A"/>
    <w:rsid w:val="00B473D8"/>
    <w:rsid w:val="00B5010E"/>
    <w:rsid w:val="00B501D8"/>
    <w:rsid w:val="00B51093"/>
    <w:rsid w:val="00B51D4F"/>
    <w:rsid w:val="00B6487E"/>
    <w:rsid w:val="00B653F0"/>
    <w:rsid w:val="00B654FB"/>
    <w:rsid w:val="00B662B8"/>
    <w:rsid w:val="00B663E9"/>
    <w:rsid w:val="00B664A6"/>
    <w:rsid w:val="00B673FC"/>
    <w:rsid w:val="00B71250"/>
    <w:rsid w:val="00B72582"/>
    <w:rsid w:val="00B728DD"/>
    <w:rsid w:val="00B73B5B"/>
    <w:rsid w:val="00B83CD6"/>
    <w:rsid w:val="00B8461F"/>
    <w:rsid w:val="00B86992"/>
    <w:rsid w:val="00B913F7"/>
    <w:rsid w:val="00BA0BEE"/>
    <w:rsid w:val="00BA1317"/>
    <w:rsid w:val="00BA5B82"/>
    <w:rsid w:val="00BA7E0A"/>
    <w:rsid w:val="00BB028A"/>
    <w:rsid w:val="00BB60B3"/>
    <w:rsid w:val="00BB791D"/>
    <w:rsid w:val="00BB7D33"/>
    <w:rsid w:val="00BC163A"/>
    <w:rsid w:val="00BC1D99"/>
    <w:rsid w:val="00BC323F"/>
    <w:rsid w:val="00BC39E5"/>
    <w:rsid w:val="00BD1456"/>
    <w:rsid w:val="00BD4BEE"/>
    <w:rsid w:val="00BD585F"/>
    <w:rsid w:val="00BE0AD8"/>
    <w:rsid w:val="00BE0CCF"/>
    <w:rsid w:val="00BE13EE"/>
    <w:rsid w:val="00BE1A8A"/>
    <w:rsid w:val="00BE4668"/>
    <w:rsid w:val="00BE4B5B"/>
    <w:rsid w:val="00BE4CE4"/>
    <w:rsid w:val="00BE5166"/>
    <w:rsid w:val="00BE6D64"/>
    <w:rsid w:val="00BE75A9"/>
    <w:rsid w:val="00BF0207"/>
    <w:rsid w:val="00BF0279"/>
    <w:rsid w:val="00BF147A"/>
    <w:rsid w:val="00BF4671"/>
    <w:rsid w:val="00C007C2"/>
    <w:rsid w:val="00C00AAF"/>
    <w:rsid w:val="00C01C54"/>
    <w:rsid w:val="00C01E36"/>
    <w:rsid w:val="00C02601"/>
    <w:rsid w:val="00C026D8"/>
    <w:rsid w:val="00C02A60"/>
    <w:rsid w:val="00C02CA1"/>
    <w:rsid w:val="00C04CE9"/>
    <w:rsid w:val="00C04D3E"/>
    <w:rsid w:val="00C05C07"/>
    <w:rsid w:val="00C07753"/>
    <w:rsid w:val="00C10C08"/>
    <w:rsid w:val="00C117D5"/>
    <w:rsid w:val="00C12024"/>
    <w:rsid w:val="00C1414F"/>
    <w:rsid w:val="00C142B5"/>
    <w:rsid w:val="00C14434"/>
    <w:rsid w:val="00C20936"/>
    <w:rsid w:val="00C211A9"/>
    <w:rsid w:val="00C26F4E"/>
    <w:rsid w:val="00C27DD3"/>
    <w:rsid w:val="00C31354"/>
    <w:rsid w:val="00C32E96"/>
    <w:rsid w:val="00C33738"/>
    <w:rsid w:val="00C33770"/>
    <w:rsid w:val="00C33DA3"/>
    <w:rsid w:val="00C34673"/>
    <w:rsid w:val="00C3523E"/>
    <w:rsid w:val="00C35AB4"/>
    <w:rsid w:val="00C35C76"/>
    <w:rsid w:val="00C36426"/>
    <w:rsid w:val="00C36FEF"/>
    <w:rsid w:val="00C3EFBA"/>
    <w:rsid w:val="00C40D90"/>
    <w:rsid w:val="00C43059"/>
    <w:rsid w:val="00C4354E"/>
    <w:rsid w:val="00C45823"/>
    <w:rsid w:val="00C4699F"/>
    <w:rsid w:val="00C47724"/>
    <w:rsid w:val="00C47E8B"/>
    <w:rsid w:val="00C52C4C"/>
    <w:rsid w:val="00C54A25"/>
    <w:rsid w:val="00C57619"/>
    <w:rsid w:val="00C5777C"/>
    <w:rsid w:val="00C60FFC"/>
    <w:rsid w:val="00C628C5"/>
    <w:rsid w:val="00C62914"/>
    <w:rsid w:val="00C640B5"/>
    <w:rsid w:val="00C65BB9"/>
    <w:rsid w:val="00C70781"/>
    <w:rsid w:val="00C71BE5"/>
    <w:rsid w:val="00C7317C"/>
    <w:rsid w:val="00C73CD7"/>
    <w:rsid w:val="00C75612"/>
    <w:rsid w:val="00C75F64"/>
    <w:rsid w:val="00C76D5A"/>
    <w:rsid w:val="00C76FAF"/>
    <w:rsid w:val="00C775AC"/>
    <w:rsid w:val="00C776F1"/>
    <w:rsid w:val="00C77958"/>
    <w:rsid w:val="00C80F30"/>
    <w:rsid w:val="00C819BF"/>
    <w:rsid w:val="00C82672"/>
    <w:rsid w:val="00C848A4"/>
    <w:rsid w:val="00C84C7C"/>
    <w:rsid w:val="00C859B3"/>
    <w:rsid w:val="00C90C70"/>
    <w:rsid w:val="00C926B1"/>
    <w:rsid w:val="00C92A4B"/>
    <w:rsid w:val="00C96FE9"/>
    <w:rsid w:val="00C97446"/>
    <w:rsid w:val="00C97867"/>
    <w:rsid w:val="00CA0929"/>
    <w:rsid w:val="00CA0E01"/>
    <w:rsid w:val="00CA262B"/>
    <w:rsid w:val="00CA2BB4"/>
    <w:rsid w:val="00CA3427"/>
    <w:rsid w:val="00CA4727"/>
    <w:rsid w:val="00CA519B"/>
    <w:rsid w:val="00CA5594"/>
    <w:rsid w:val="00CA617A"/>
    <w:rsid w:val="00CA63BA"/>
    <w:rsid w:val="00CB013D"/>
    <w:rsid w:val="00CB130B"/>
    <w:rsid w:val="00CB20F0"/>
    <w:rsid w:val="00CB22DA"/>
    <w:rsid w:val="00CB4997"/>
    <w:rsid w:val="00CB723C"/>
    <w:rsid w:val="00CC1581"/>
    <w:rsid w:val="00CC2879"/>
    <w:rsid w:val="00CC2BA7"/>
    <w:rsid w:val="00CC4DBB"/>
    <w:rsid w:val="00CD06EC"/>
    <w:rsid w:val="00CD0715"/>
    <w:rsid w:val="00CD12A5"/>
    <w:rsid w:val="00CD2F50"/>
    <w:rsid w:val="00CD3EFF"/>
    <w:rsid w:val="00CD4A9A"/>
    <w:rsid w:val="00CD6C34"/>
    <w:rsid w:val="00CD7B71"/>
    <w:rsid w:val="00CE0368"/>
    <w:rsid w:val="00CE0AC4"/>
    <w:rsid w:val="00CE0F11"/>
    <w:rsid w:val="00CE151E"/>
    <w:rsid w:val="00CE170C"/>
    <w:rsid w:val="00CE402D"/>
    <w:rsid w:val="00CE43D1"/>
    <w:rsid w:val="00CE4BC3"/>
    <w:rsid w:val="00CE5956"/>
    <w:rsid w:val="00CE5FA9"/>
    <w:rsid w:val="00CE6AA5"/>
    <w:rsid w:val="00CF0455"/>
    <w:rsid w:val="00CF0DF1"/>
    <w:rsid w:val="00CF0F21"/>
    <w:rsid w:val="00CF22AC"/>
    <w:rsid w:val="00CF24FD"/>
    <w:rsid w:val="00CF3251"/>
    <w:rsid w:val="00CF4EAD"/>
    <w:rsid w:val="00CF7549"/>
    <w:rsid w:val="00CF7BE8"/>
    <w:rsid w:val="00D00673"/>
    <w:rsid w:val="00D017D0"/>
    <w:rsid w:val="00D02538"/>
    <w:rsid w:val="00D02547"/>
    <w:rsid w:val="00D0256D"/>
    <w:rsid w:val="00D02F9C"/>
    <w:rsid w:val="00D03848"/>
    <w:rsid w:val="00D03AB7"/>
    <w:rsid w:val="00D04125"/>
    <w:rsid w:val="00D045C2"/>
    <w:rsid w:val="00D04A20"/>
    <w:rsid w:val="00D07919"/>
    <w:rsid w:val="00D1091A"/>
    <w:rsid w:val="00D11FC8"/>
    <w:rsid w:val="00D12072"/>
    <w:rsid w:val="00D13299"/>
    <w:rsid w:val="00D14FE6"/>
    <w:rsid w:val="00D1553F"/>
    <w:rsid w:val="00D17DE5"/>
    <w:rsid w:val="00D24E7F"/>
    <w:rsid w:val="00D251DB"/>
    <w:rsid w:val="00D269CC"/>
    <w:rsid w:val="00D26D59"/>
    <w:rsid w:val="00D26DC6"/>
    <w:rsid w:val="00D300D6"/>
    <w:rsid w:val="00D30E6D"/>
    <w:rsid w:val="00D33BA7"/>
    <w:rsid w:val="00D353B2"/>
    <w:rsid w:val="00D371CA"/>
    <w:rsid w:val="00D43646"/>
    <w:rsid w:val="00D47DA5"/>
    <w:rsid w:val="00D5546C"/>
    <w:rsid w:val="00D55EA3"/>
    <w:rsid w:val="00D55F3A"/>
    <w:rsid w:val="00D5630F"/>
    <w:rsid w:val="00D573E0"/>
    <w:rsid w:val="00D609B6"/>
    <w:rsid w:val="00D60A91"/>
    <w:rsid w:val="00D635D9"/>
    <w:rsid w:val="00D6541A"/>
    <w:rsid w:val="00D7237B"/>
    <w:rsid w:val="00D72B2A"/>
    <w:rsid w:val="00D749F9"/>
    <w:rsid w:val="00D7634E"/>
    <w:rsid w:val="00D76622"/>
    <w:rsid w:val="00D777E2"/>
    <w:rsid w:val="00D77B08"/>
    <w:rsid w:val="00D80C3A"/>
    <w:rsid w:val="00D82C7F"/>
    <w:rsid w:val="00D8438B"/>
    <w:rsid w:val="00D85225"/>
    <w:rsid w:val="00D864EF"/>
    <w:rsid w:val="00D8739B"/>
    <w:rsid w:val="00D87E23"/>
    <w:rsid w:val="00D91267"/>
    <w:rsid w:val="00D91389"/>
    <w:rsid w:val="00D91B22"/>
    <w:rsid w:val="00D92AF9"/>
    <w:rsid w:val="00D95EF2"/>
    <w:rsid w:val="00D96296"/>
    <w:rsid w:val="00D96560"/>
    <w:rsid w:val="00D9711F"/>
    <w:rsid w:val="00DA1446"/>
    <w:rsid w:val="00DA35CB"/>
    <w:rsid w:val="00DA38DD"/>
    <w:rsid w:val="00DA422B"/>
    <w:rsid w:val="00DA4F30"/>
    <w:rsid w:val="00DA4F3E"/>
    <w:rsid w:val="00DA591F"/>
    <w:rsid w:val="00DA7D3F"/>
    <w:rsid w:val="00DB01CE"/>
    <w:rsid w:val="00DB098F"/>
    <w:rsid w:val="00DB2F2C"/>
    <w:rsid w:val="00DB352C"/>
    <w:rsid w:val="00DB38DD"/>
    <w:rsid w:val="00DB4F70"/>
    <w:rsid w:val="00DB5F0E"/>
    <w:rsid w:val="00DB6031"/>
    <w:rsid w:val="00DC118C"/>
    <w:rsid w:val="00DC1AA8"/>
    <w:rsid w:val="00DC3751"/>
    <w:rsid w:val="00DC3F36"/>
    <w:rsid w:val="00DC55BF"/>
    <w:rsid w:val="00DC5AF7"/>
    <w:rsid w:val="00DC776D"/>
    <w:rsid w:val="00DC7883"/>
    <w:rsid w:val="00DD0E6C"/>
    <w:rsid w:val="00DD345F"/>
    <w:rsid w:val="00DD4A2D"/>
    <w:rsid w:val="00DD689A"/>
    <w:rsid w:val="00DD6EB4"/>
    <w:rsid w:val="00DD7F1F"/>
    <w:rsid w:val="00DE1B06"/>
    <w:rsid w:val="00DE37FF"/>
    <w:rsid w:val="00DE644B"/>
    <w:rsid w:val="00DE7634"/>
    <w:rsid w:val="00DF2076"/>
    <w:rsid w:val="00DF302E"/>
    <w:rsid w:val="00DF3E77"/>
    <w:rsid w:val="00DF5609"/>
    <w:rsid w:val="00DF5DD7"/>
    <w:rsid w:val="00E017EE"/>
    <w:rsid w:val="00E04912"/>
    <w:rsid w:val="00E05C14"/>
    <w:rsid w:val="00E062C3"/>
    <w:rsid w:val="00E068E4"/>
    <w:rsid w:val="00E06D64"/>
    <w:rsid w:val="00E07285"/>
    <w:rsid w:val="00E07D8E"/>
    <w:rsid w:val="00E11747"/>
    <w:rsid w:val="00E1328B"/>
    <w:rsid w:val="00E155D5"/>
    <w:rsid w:val="00E23C60"/>
    <w:rsid w:val="00E23CC4"/>
    <w:rsid w:val="00E2674A"/>
    <w:rsid w:val="00E2678E"/>
    <w:rsid w:val="00E2773F"/>
    <w:rsid w:val="00E278B2"/>
    <w:rsid w:val="00E31F87"/>
    <w:rsid w:val="00E32654"/>
    <w:rsid w:val="00E32857"/>
    <w:rsid w:val="00E35AC8"/>
    <w:rsid w:val="00E35CA2"/>
    <w:rsid w:val="00E360B0"/>
    <w:rsid w:val="00E36A28"/>
    <w:rsid w:val="00E37EC8"/>
    <w:rsid w:val="00E41590"/>
    <w:rsid w:val="00E44B97"/>
    <w:rsid w:val="00E45105"/>
    <w:rsid w:val="00E47590"/>
    <w:rsid w:val="00E50399"/>
    <w:rsid w:val="00E504F2"/>
    <w:rsid w:val="00E509C4"/>
    <w:rsid w:val="00E5101A"/>
    <w:rsid w:val="00E52EFA"/>
    <w:rsid w:val="00E5629F"/>
    <w:rsid w:val="00E56F12"/>
    <w:rsid w:val="00E60D03"/>
    <w:rsid w:val="00E62B1B"/>
    <w:rsid w:val="00E64647"/>
    <w:rsid w:val="00E646F8"/>
    <w:rsid w:val="00E6546E"/>
    <w:rsid w:val="00E70484"/>
    <w:rsid w:val="00E70585"/>
    <w:rsid w:val="00E706B4"/>
    <w:rsid w:val="00E7527C"/>
    <w:rsid w:val="00E76004"/>
    <w:rsid w:val="00E76101"/>
    <w:rsid w:val="00E80B1B"/>
    <w:rsid w:val="00E82EC3"/>
    <w:rsid w:val="00E83422"/>
    <w:rsid w:val="00E859D2"/>
    <w:rsid w:val="00E928CC"/>
    <w:rsid w:val="00E929B9"/>
    <w:rsid w:val="00E92C16"/>
    <w:rsid w:val="00E93768"/>
    <w:rsid w:val="00E96352"/>
    <w:rsid w:val="00E97017"/>
    <w:rsid w:val="00EA0ED3"/>
    <w:rsid w:val="00EA2EEF"/>
    <w:rsid w:val="00EA3281"/>
    <w:rsid w:val="00EA4168"/>
    <w:rsid w:val="00EB1258"/>
    <w:rsid w:val="00EB5006"/>
    <w:rsid w:val="00EB59BA"/>
    <w:rsid w:val="00EC0CBC"/>
    <w:rsid w:val="00EC0D10"/>
    <w:rsid w:val="00EC2569"/>
    <w:rsid w:val="00EC3536"/>
    <w:rsid w:val="00EC4E8F"/>
    <w:rsid w:val="00EC543D"/>
    <w:rsid w:val="00EC564F"/>
    <w:rsid w:val="00EC62AA"/>
    <w:rsid w:val="00EC6F1E"/>
    <w:rsid w:val="00ED1417"/>
    <w:rsid w:val="00ED2EE2"/>
    <w:rsid w:val="00ED2FB0"/>
    <w:rsid w:val="00ED3CE9"/>
    <w:rsid w:val="00EE0310"/>
    <w:rsid w:val="00EE1787"/>
    <w:rsid w:val="00EE21E8"/>
    <w:rsid w:val="00EE22E5"/>
    <w:rsid w:val="00EE3273"/>
    <w:rsid w:val="00EF4BD6"/>
    <w:rsid w:val="00EF4E30"/>
    <w:rsid w:val="00EF4E51"/>
    <w:rsid w:val="00EF5966"/>
    <w:rsid w:val="00EF5C7F"/>
    <w:rsid w:val="00EF6048"/>
    <w:rsid w:val="00EF6319"/>
    <w:rsid w:val="00EF63A1"/>
    <w:rsid w:val="00EF6AE3"/>
    <w:rsid w:val="00F02033"/>
    <w:rsid w:val="00F02A52"/>
    <w:rsid w:val="00F05829"/>
    <w:rsid w:val="00F06D96"/>
    <w:rsid w:val="00F072FF"/>
    <w:rsid w:val="00F11CE4"/>
    <w:rsid w:val="00F14618"/>
    <w:rsid w:val="00F15862"/>
    <w:rsid w:val="00F15BDB"/>
    <w:rsid w:val="00F165F9"/>
    <w:rsid w:val="00F167D2"/>
    <w:rsid w:val="00F16CD2"/>
    <w:rsid w:val="00F217F8"/>
    <w:rsid w:val="00F21832"/>
    <w:rsid w:val="00F230EE"/>
    <w:rsid w:val="00F2340A"/>
    <w:rsid w:val="00F24467"/>
    <w:rsid w:val="00F264BF"/>
    <w:rsid w:val="00F316F8"/>
    <w:rsid w:val="00F37A56"/>
    <w:rsid w:val="00F40D30"/>
    <w:rsid w:val="00F4100A"/>
    <w:rsid w:val="00F438A8"/>
    <w:rsid w:val="00F45022"/>
    <w:rsid w:val="00F45A0C"/>
    <w:rsid w:val="00F50184"/>
    <w:rsid w:val="00F52C58"/>
    <w:rsid w:val="00F52ED3"/>
    <w:rsid w:val="00F53C37"/>
    <w:rsid w:val="00F542BE"/>
    <w:rsid w:val="00F55986"/>
    <w:rsid w:val="00F60F88"/>
    <w:rsid w:val="00F61662"/>
    <w:rsid w:val="00F62E41"/>
    <w:rsid w:val="00F640F2"/>
    <w:rsid w:val="00F70846"/>
    <w:rsid w:val="00F71552"/>
    <w:rsid w:val="00F71BA5"/>
    <w:rsid w:val="00F71EA9"/>
    <w:rsid w:val="00F72661"/>
    <w:rsid w:val="00F743BE"/>
    <w:rsid w:val="00F7587B"/>
    <w:rsid w:val="00F77371"/>
    <w:rsid w:val="00F802A6"/>
    <w:rsid w:val="00F81AD3"/>
    <w:rsid w:val="00F84CF9"/>
    <w:rsid w:val="00F8514F"/>
    <w:rsid w:val="00F87291"/>
    <w:rsid w:val="00F9042B"/>
    <w:rsid w:val="00F90D9C"/>
    <w:rsid w:val="00F9642E"/>
    <w:rsid w:val="00F97A31"/>
    <w:rsid w:val="00FA0FCE"/>
    <w:rsid w:val="00FA41AA"/>
    <w:rsid w:val="00FA560C"/>
    <w:rsid w:val="00FB0018"/>
    <w:rsid w:val="00FB0470"/>
    <w:rsid w:val="00FB14A8"/>
    <w:rsid w:val="00FB3AE1"/>
    <w:rsid w:val="00FB509E"/>
    <w:rsid w:val="00FB547D"/>
    <w:rsid w:val="00FB74C0"/>
    <w:rsid w:val="00FC0890"/>
    <w:rsid w:val="00FC123B"/>
    <w:rsid w:val="00FC1B37"/>
    <w:rsid w:val="00FC2638"/>
    <w:rsid w:val="00FC2DF7"/>
    <w:rsid w:val="00FC33F6"/>
    <w:rsid w:val="00FC4104"/>
    <w:rsid w:val="00FC5989"/>
    <w:rsid w:val="00FC5DD6"/>
    <w:rsid w:val="00FC742C"/>
    <w:rsid w:val="00FC7AE4"/>
    <w:rsid w:val="00FD1DB3"/>
    <w:rsid w:val="00FD596F"/>
    <w:rsid w:val="00FD5B6E"/>
    <w:rsid w:val="00FD60AA"/>
    <w:rsid w:val="00FE06B6"/>
    <w:rsid w:val="00FE0F1A"/>
    <w:rsid w:val="00FE2720"/>
    <w:rsid w:val="00FE3DC2"/>
    <w:rsid w:val="00FE3F08"/>
    <w:rsid w:val="00FE423C"/>
    <w:rsid w:val="00FE68E5"/>
    <w:rsid w:val="00FE7FF2"/>
    <w:rsid w:val="00FF02C7"/>
    <w:rsid w:val="00FF0611"/>
    <w:rsid w:val="00FF0D52"/>
    <w:rsid w:val="00FF366C"/>
    <w:rsid w:val="00FF3E95"/>
    <w:rsid w:val="00FF3EDF"/>
    <w:rsid w:val="00FF42A7"/>
    <w:rsid w:val="00FF70DA"/>
    <w:rsid w:val="01098B40"/>
    <w:rsid w:val="0258625F"/>
    <w:rsid w:val="0355752D"/>
    <w:rsid w:val="03912F02"/>
    <w:rsid w:val="05DFC3E0"/>
    <w:rsid w:val="0725D439"/>
    <w:rsid w:val="09ABBC06"/>
    <w:rsid w:val="0BB14F2A"/>
    <w:rsid w:val="0CB3354C"/>
    <w:rsid w:val="0D232A60"/>
    <w:rsid w:val="0EADB6CB"/>
    <w:rsid w:val="0EB21B08"/>
    <w:rsid w:val="0FB7DA88"/>
    <w:rsid w:val="1299415C"/>
    <w:rsid w:val="13D05492"/>
    <w:rsid w:val="147CEA42"/>
    <w:rsid w:val="1552D439"/>
    <w:rsid w:val="15ED5E65"/>
    <w:rsid w:val="16803937"/>
    <w:rsid w:val="16A80FBA"/>
    <w:rsid w:val="1BBBF85D"/>
    <w:rsid w:val="1C29741B"/>
    <w:rsid w:val="1EA1351B"/>
    <w:rsid w:val="1EF33F97"/>
    <w:rsid w:val="1F710B97"/>
    <w:rsid w:val="21FFB1E8"/>
    <w:rsid w:val="25AEEFD6"/>
    <w:rsid w:val="25EB585B"/>
    <w:rsid w:val="2649BA73"/>
    <w:rsid w:val="26FC4DB9"/>
    <w:rsid w:val="27839D8E"/>
    <w:rsid w:val="27EC0656"/>
    <w:rsid w:val="332F0160"/>
    <w:rsid w:val="34114C6D"/>
    <w:rsid w:val="35D5FCA7"/>
    <w:rsid w:val="3612A4A9"/>
    <w:rsid w:val="36292810"/>
    <w:rsid w:val="365E8842"/>
    <w:rsid w:val="36CBA68B"/>
    <w:rsid w:val="3738F2D4"/>
    <w:rsid w:val="375B13F2"/>
    <w:rsid w:val="382D070E"/>
    <w:rsid w:val="39C6B57A"/>
    <w:rsid w:val="3BD18AFB"/>
    <w:rsid w:val="3CC764CB"/>
    <w:rsid w:val="4449B517"/>
    <w:rsid w:val="462DDB4E"/>
    <w:rsid w:val="4760C3E8"/>
    <w:rsid w:val="4AD88ACB"/>
    <w:rsid w:val="4CBA7578"/>
    <w:rsid w:val="50B5001B"/>
    <w:rsid w:val="50CD4DCA"/>
    <w:rsid w:val="520D4AC6"/>
    <w:rsid w:val="56C82CFA"/>
    <w:rsid w:val="5C572BFA"/>
    <w:rsid w:val="65C5F3B5"/>
    <w:rsid w:val="689D8D83"/>
    <w:rsid w:val="6B73C28E"/>
    <w:rsid w:val="6D769565"/>
    <w:rsid w:val="6FBC9A39"/>
    <w:rsid w:val="71F17D38"/>
    <w:rsid w:val="72FE3B2B"/>
    <w:rsid w:val="75965F1B"/>
    <w:rsid w:val="76D05C7F"/>
    <w:rsid w:val="78981024"/>
    <w:rsid w:val="79990C4D"/>
    <w:rsid w:val="7A42343D"/>
    <w:rsid w:val="7B646B81"/>
    <w:rsid w:val="7BCD1734"/>
    <w:rsid w:val="7D450692"/>
    <w:rsid w:val="7F52CED2"/>
    <w:rsid w:val="7FFA62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DF5E3"/>
  <w15:chartTrackingRefBased/>
  <w15:docId w15:val="{6F6B37D8-7A03-4447-A60F-4A477C2C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5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5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5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96F"/>
    <w:rPr>
      <w:rFonts w:eastAsiaTheme="majorEastAsia" w:cstheme="majorBidi"/>
      <w:color w:val="272727" w:themeColor="text1" w:themeTint="D8"/>
    </w:rPr>
  </w:style>
  <w:style w:type="paragraph" w:styleId="Title">
    <w:name w:val="Title"/>
    <w:basedOn w:val="Normal"/>
    <w:next w:val="Normal"/>
    <w:link w:val="TitleChar"/>
    <w:uiPriority w:val="10"/>
    <w:qFormat/>
    <w:rsid w:val="00FD5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96F"/>
    <w:pPr>
      <w:spacing w:before="160"/>
      <w:jc w:val="center"/>
    </w:pPr>
    <w:rPr>
      <w:i/>
      <w:iCs/>
      <w:color w:val="404040" w:themeColor="text1" w:themeTint="BF"/>
    </w:rPr>
  </w:style>
  <w:style w:type="character" w:customStyle="1" w:styleId="QuoteChar">
    <w:name w:val="Quote Char"/>
    <w:basedOn w:val="DefaultParagraphFont"/>
    <w:link w:val="Quote"/>
    <w:uiPriority w:val="29"/>
    <w:rsid w:val="00FD596F"/>
    <w:rPr>
      <w:i/>
      <w:iCs/>
      <w:color w:val="404040" w:themeColor="text1" w:themeTint="BF"/>
    </w:rPr>
  </w:style>
  <w:style w:type="paragraph" w:styleId="ListParagraph">
    <w:name w:val="List Paragraph"/>
    <w:basedOn w:val="Normal"/>
    <w:uiPriority w:val="34"/>
    <w:qFormat/>
    <w:rsid w:val="00FD596F"/>
    <w:pPr>
      <w:ind w:left="720"/>
      <w:contextualSpacing/>
    </w:pPr>
  </w:style>
  <w:style w:type="character" w:styleId="IntenseEmphasis">
    <w:name w:val="Intense Emphasis"/>
    <w:basedOn w:val="DefaultParagraphFont"/>
    <w:uiPriority w:val="21"/>
    <w:qFormat/>
    <w:rsid w:val="00FD596F"/>
    <w:rPr>
      <w:i/>
      <w:iCs/>
      <w:color w:val="0F4761" w:themeColor="accent1" w:themeShade="BF"/>
    </w:rPr>
  </w:style>
  <w:style w:type="paragraph" w:styleId="IntenseQuote">
    <w:name w:val="Intense Quote"/>
    <w:basedOn w:val="Normal"/>
    <w:next w:val="Normal"/>
    <w:link w:val="IntenseQuoteChar"/>
    <w:uiPriority w:val="30"/>
    <w:qFormat/>
    <w:rsid w:val="00FD5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96F"/>
    <w:rPr>
      <w:i/>
      <w:iCs/>
      <w:color w:val="0F4761" w:themeColor="accent1" w:themeShade="BF"/>
    </w:rPr>
  </w:style>
  <w:style w:type="character" w:styleId="IntenseReference">
    <w:name w:val="Intense Reference"/>
    <w:basedOn w:val="DefaultParagraphFont"/>
    <w:uiPriority w:val="32"/>
    <w:qFormat/>
    <w:rsid w:val="00FD596F"/>
    <w:rPr>
      <w:b/>
      <w:bCs/>
      <w:smallCaps/>
      <w:color w:val="0F4761" w:themeColor="accent1" w:themeShade="BF"/>
      <w:spacing w:val="5"/>
    </w:rPr>
  </w:style>
  <w:style w:type="table" w:styleId="PlainTable3">
    <w:name w:val="Plain Table 3"/>
    <w:basedOn w:val="TableNormal"/>
    <w:uiPriority w:val="43"/>
    <w:rsid w:val="00EB50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352B24"/>
    <w:pPr>
      <w:spacing w:before="120" w:after="280" w:line="240" w:lineRule="auto"/>
    </w:pPr>
    <w:rPr>
      <w:b/>
      <w:bCs/>
      <w:smallCaps/>
      <w:color w:val="0E2841" w:themeColor="text2"/>
      <w:kern w:val="0"/>
      <w:sz w:val="22"/>
      <w:szCs w:val="22"/>
      <w:lang w:eastAsia="zh-CN"/>
    </w:rPr>
  </w:style>
  <w:style w:type="character" w:styleId="CommentReference">
    <w:name w:val="annotation reference"/>
    <w:basedOn w:val="DefaultParagraphFont"/>
    <w:uiPriority w:val="99"/>
    <w:semiHidden/>
    <w:unhideWhenUsed/>
    <w:rsid w:val="00415620"/>
    <w:rPr>
      <w:sz w:val="16"/>
      <w:szCs w:val="16"/>
    </w:rPr>
  </w:style>
  <w:style w:type="paragraph" w:styleId="CommentText">
    <w:name w:val="annotation text"/>
    <w:basedOn w:val="Normal"/>
    <w:link w:val="CommentTextChar"/>
    <w:uiPriority w:val="99"/>
    <w:unhideWhenUsed/>
    <w:rsid w:val="00415620"/>
    <w:pPr>
      <w:spacing w:before="120" w:after="280" w:line="240" w:lineRule="auto"/>
    </w:pPr>
    <w:rPr>
      <w:kern w:val="0"/>
      <w:sz w:val="20"/>
      <w:szCs w:val="20"/>
      <w:lang w:eastAsia="zh-CN"/>
    </w:rPr>
  </w:style>
  <w:style w:type="character" w:customStyle="1" w:styleId="CommentTextChar">
    <w:name w:val="Comment Text Char"/>
    <w:basedOn w:val="DefaultParagraphFont"/>
    <w:link w:val="CommentText"/>
    <w:uiPriority w:val="99"/>
    <w:rsid w:val="00415620"/>
    <w:rPr>
      <w:rFonts w:eastAsiaTheme="minorEastAsia"/>
      <w:kern w:val="0"/>
      <w:sz w:val="20"/>
      <w:szCs w:val="20"/>
      <w:lang w:eastAsia="zh-CN"/>
    </w:rPr>
  </w:style>
  <w:style w:type="table" w:styleId="GridTable1Light">
    <w:name w:val="Grid Table 1 Light"/>
    <w:basedOn w:val="TableNormal"/>
    <w:uiPriority w:val="46"/>
    <w:rsid w:val="00514D02"/>
    <w:pPr>
      <w:spacing w:after="0" w:line="240" w:lineRule="auto"/>
    </w:pPr>
    <w:rPr>
      <w:kern w:val="0"/>
      <w:sz w:val="22"/>
      <w:szCs w:val="22"/>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F70846"/>
    <w:pPr>
      <w:spacing w:after="0" w:line="240" w:lineRule="auto"/>
    </w:pPr>
    <w:rPr>
      <w:kern w:val="0"/>
      <w:sz w:val="22"/>
      <w:szCs w:val="22"/>
      <w:lang w:eastAsia="zh-CN"/>
    </w:rPr>
  </w:style>
  <w:style w:type="table" w:styleId="PlainTable5">
    <w:name w:val="Plain Table 5"/>
    <w:basedOn w:val="TableNormal"/>
    <w:uiPriority w:val="45"/>
    <w:rsid w:val="00681C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F37A56"/>
    <w:pPr>
      <w:spacing w:after="0" w:line="240" w:lineRule="auto"/>
    </w:pPr>
    <w:rPr>
      <w:kern w:val="0"/>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DF207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6">
    <w:name w:val="Grid Table 2 Accent 6"/>
    <w:basedOn w:val="TableNormal"/>
    <w:uiPriority w:val="47"/>
    <w:rsid w:val="00DF2076"/>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6Colorful-Accent1">
    <w:name w:val="Grid Table 6 Colorful Accent 1"/>
    <w:basedOn w:val="TableNormal"/>
    <w:uiPriority w:val="51"/>
    <w:rsid w:val="004217BF"/>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EndNoteBibliographyTitle">
    <w:name w:val="EndNote Bibliography Title"/>
    <w:basedOn w:val="Normal"/>
    <w:link w:val="EndNoteBibliographyTitleChar"/>
    <w:rsid w:val="00BA1317"/>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BA1317"/>
    <w:rPr>
      <w:rFonts w:ascii="Aptos" w:hAnsi="Aptos"/>
      <w:noProof/>
    </w:rPr>
  </w:style>
  <w:style w:type="paragraph" w:customStyle="1" w:styleId="EndNoteBibliography">
    <w:name w:val="EndNote Bibliography"/>
    <w:basedOn w:val="Normal"/>
    <w:link w:val="EndNoteBibliographyChar"/>
    <w:rsid w:val="00BA1317"/>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BA1317"/>
    <w:rPr>
      <w:rFonts w:ascii="Aptos" w:hAnsi="Aptos"/>
      <w:noProof/>
    </w:rPr>
  </w:style>
  <w:style w:type="character" w:styleId="Hyperlink">
    <w:name w:val="Hyperlink"/>
    <w:basedOn w:val="DefaultParagraphFont"/>
    <w:uiPriority w:val="99"/>
    <w:unhideWhenUsed/>
    <w:rsid w:val="007E4E7B"/>
    <w:rPr>
      <w:color w:val="467886" w:themeColor="hyperlink"/>
      <w:u w:val="single"/>
    </w:rPr>
  </w:style>
  <w:style w:type="character" w:styleId="UnresolvedMention">
    <w:name w:val="Unresolved Mention"/>
    <w:basedOn w:val="DefaultParagraphFont"/>
    <w:uiPriority w:val="99"/>
    <w:semiHidden/>
    <w:unhideWhenUsed/>
    <w:rsid w:val="007E4E7B"/>
    <w:rPr>
      <w:color w:val="605E5C"/>
      <w:shd w:val="clear" w:color="auto" w:fill="E1DFDD"/>
    </w:rPr>
  </w:style>
  <w:style w:type="paragraph" w:styleId="Revision">
    <w:name w:val="Revision"/>
    <w:hidden/>
    <w:uiPriority w:val="99"/>
    <w:semiHidden/>
    <w:rsid w:val="0042560A"/>
    <w:pPr>
      <w:spacing w:after="0" w:line="240" w:lineRule="auto"/>
    </w:pPr>
  </w:style>
  <w:style w:type="paragraph" w:styleId="CommentSubject">
    <w:name w:val="annotation subject"/>
    <w:basedOn w:val="CommentText"/>
    <w:next w:val="CommentText"/>
    <w:link w:val="CommentSubjectChar"/>
    <w:uiPriority w:val="99"/>
    <w:semiHidden/>
    <w:unhideWhenUsed/>
    <w:rsid w:val="00CA2BB4"/>
    <w:pPr>
      <w:spacing w:before="0" w:after="160"/>
    </w:pPr>
    <w:rPr>
      <w:rFonts w:eastAsiaTheme="minorHAnsi"/>
      <w:b/>
      <w:bCs/>
      <w:kern w:val="2"/>
      <w:lang w:eastAsia="en-US"/>
    </w:rPr>
  </w:style>
  <w:style w:type="character" w:customStyle="1" w:styleId="CommentSubjectChar">
    <w:name w:val="Comment Subject Char"/>
    <w:basedOn w:val="CommentTextChar"/>
    <w:link w:val="CommentSubject"/>
    <w:uiPriority w:val="99"/>
    <w:semiHidden/>
    <w:rsid w:val="00CA2BB4"/>
    <w:rPr>
      <w:rFonts w:eastAsiaTheme="minorEastAsia"/>
      <w:b/>
      <w:bCs/>
      <w:kern w:val="0"/>
      <w:sz w:val="20"/>
      <w:szCs w:val="20"/>
      <w:lang w:eastAsia="zh-CN"/>
    </w:rPr>
  </w:style>
  <w:style w:type="character" w:styleId="Mention">
    <w:name w:val="Mention"/>
    <w:basedOn w:val="DefaultParagraphFont"/>
    <w:uiPriority w:val="99"/>
    <w:unhideWhenUsed/>
    <w:rsid w:val="00404B56"/>
    <w:rPr>
      <w:color w:val="2B579A"/>
      <w:shd w:val="clear" w:color="auto" w:fill="E1DFDD"/>
    </w:rPr>
  </w:style>
  <w:style w:type="character" w:styleId="FollowedHyperlink">
    <w:name w:val="FollowedHyperlink"/>
    <w:basedOn w:val="DefaultParagraphFont"/>
    <w:uiPriority w:val="99"/>
    <w:semiHidden/>
    <w:unhideWhenUsed/>
    <w:rsid w:val="00A36625"/>
    <w:rPr>
      <w:color w:val="96607D" w:themeColor="followedHyperlink"/>
      <w:u w:val="single"/>
    </w:rPr>
  </w:style>
  <w:style w:type="table" w:styleId="PlainTable2">
    <w:name w:val="Plain Table 2"/>
    <w:basedOn w:val="TableNormal"/>
    <w:uiPriority w:val="42"/>
    <w:rsid w:val="009608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F46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D87E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7193">
      <w:bodyDiv w:val="1"/>
      <w:marLeft w:val="0"/>
      <w:marRight w:val="0"/>
      <w:marTop w:val="0"/>
      <w:marBottom w:val="0"/>
      <w:divBdr>
        <w:top w:val="none" w:sz="0" w:space="0" w:color="auto"/>
        <w:left w:val="none" w:sz="0" w:space="0" w:color="auto"/>
        <w:bottom w:val="none" w:sz="0" w:space="0" w:color="auto"/>
        <w:right w:val="none" w:sz="0" w:space="0" w:color="auto"/>
      </w:divBdr>
    </w:div>
    <w:div w:id="31856265">
      <w:bodyDiv w:val="1"/>
      <w:marLeft w:val="0"/>
      <w:marRight w:val="0"/>
      <w:marTop w:val="0"/>
      <w:marBottom w:val="0"/>
      <w:divBdr>
        <w:top w:val="none" w:sz="0" w:space="0" w:color="auto"/>
        <w:left w:val="none" w:sz="0" w:space="0" w:color="auto"/>
        <w:bottom w:val="none" w:sz="0" w:space="0" w:color="auto"/>
        <w:right w:val="none" w:sz="0" w:space="0" w:color="auto"/>
      </w:divBdr>
    </w:div>
    <w:div w:id="53281877">
      <w:bodyDiv w:val="1"/>
      <w:marLeft w:val="0"/>
      <w:marRight w:val="0"/>
      <w:marTop w:val="0"/>
      <w:marBottom w:val="0"/>
      <w:divBdr>
        <w:top w:val="none" w:sz="0" w:space="0" w:color="auto"/>
        <w:left w:val="none" w:sz="0" w:space="0" w:color="auto"/>
        <w:bottom w:val="none" w:sz="0" w:space="0" w:color="auto"/>
        <w:right w:val="none" w:sz="0" w:space="0" w:color="auto"/>
      </w:divBdr>
    </w:div>
    <w:div w:id="72633318">
      <w:bodyDiv w:val="1"/>
      <w:marLeft w:val="0"/>
      <w:marRight w:val="0"/>
      <w:marTop w:val="0"/>
      <w:marBottom w:val="0"/>
      <w:divBdr>
        <w:top w:val="none" w:sz="0" w:space="0" w:color="auto"/>
        <w:left w:val="none" w:sz="0" w:space="0" w:color="auto"/>
        <w:bottom w:val="none" w:sz="0" w:space="0" w:color="auto"/>
        <w:right w:val="none" w:sz="0" w:space="0" w:color="auto"/>
      </w:divBdr>
    </w:div>
    <w:div w:id="83302890">
      <w:bodyDiv w:val="1"/>
      <w:marLeft w:val="0"/>
      <w:marRight w:val="0"/>
      <w:marTop w:val="0"/>
      <w:marBottom w:val="0"/>
      <w:divBdr>
        <w:top w:val="none" w:sz="0" w:space="0" w:color="auto"/>
        <w:left w:val="none" w:sz="0" w:space="0" w:color="auto"/>
        <w:bottom w:val="none" w:sz="0" w:space="0" w:color="auto"/>
        <w:right w:val="none" w:sz="0" w:space="0" w:color="auto"/>
      </w:divBdr>
    </w:div>
    <w:div w:id="123161788">
      <w:bodyDiv w:val="1"/>
      <w:marLeft w:val="0"/>
      <w:marRight w:val="0"/>
      <w:marTop w:val="0"/>
      <w:marBottom w:val="0"/>
      <w:divBdr>
        <w:top w:val="none" w:sz="0" w:space="0" w:color="auto"/>
        <w:left w:val="none" w:sz="0" w:space="0" w:color="auto"/>
        <w:bottom w:val="none" w:sz="0" w:space="0" w:color="auto"/>
        <w:right w:val="none" w:sz="0" w:space="0" w:color="auto"/>
      </w:divBdr>
      <w:divsChild>
        <w:div w:id="1947424234">
          <w:marLeft w:val="0"/>
          <w:marRight w:val="0"/>
          <w:marTop w:val="0"/>
          <w:marBottom w:val="0"/>
          <w:divBdr>
            <w:top w:val="none" w:sz="0" w:space="0" w:color="auto"/>
            <w:left w:val="none" w:sz="0" w:space="0" w:color="auto"/>
            <w:bottom w:val="none" w:sz="0" w:space="0" w:color="auto"/>
            <w:right w:val="none" w:sz="0" w:space="0" w:color="auto"/>
          </w:divBdr>
          <w:divsChild>
            <w:div w:id="663823279">
              <w:marLeft w:val="0"/>
              <w:marRight w:val="0"/>
              <w:marTop w:val="0"/>
              <w:marBottom w:val="0"/>
              <w:divBdr>
                <w:top w:val="none" w:sz="0" w:space="0" w:color="auto"/>
                <w:left w:val="none" w:sz="0" w:space="0" w:color="auto"/>
                <w:bottom w:val="none" w:sz="0" w:space="0" w:color="auto"/>
                <w:right w:val="none" w:sz="0" w:space="0" w:color="auto"/>
              </w:divBdr>
            </w:div>
            <w:div w:id="20991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725">
      <w:bodyDiv w:val="1"/>
      <w:marLeft w:val="0"/>
      <w:marRight w:val="0"/>
      <w:marTop w:val="0"/>
      <w:marBottom w:val="0"/>
      <w:divBdr>
        <w:top w:val="none" w:sz="0" w:space="0" w:color="auto"/>
        <w:left w:val="none" w:sz="0" w:space="0" w:color="auto"/>
        <w:bottom w:val="none" w:sz="0" w:space="0" w:color="auto"/>
        <w:right w:val="none" w:sz="0" w:space="0" w:color="auto"/>
      </w:divBdr>
    </w:div>
    <w:div w:id="189491675">
      <w:bodyDiv w:val="1"/>
      <w:marLeft w:val="0"/>
      <w:marRight w:val="0"/>
      <w:marTop w:val="0"/>
      <w:marBottom w:val="0"/>
      <w:divBdr>
        <w:top w:val="none" w:sz="0" w:space="0" w:color="auto"/>
        <w:left w:val="none" w:sz="0" w:space="0" w:color="auto"/>
        <w:bottom w:val="none" w:sz="0" w:space="0" w:color="auto"/>
        <w:right w:val="none" w:sz="0" w:space="0" w:color="auto"/>
      </w:divBdr>
    </w:div>
    <w:div w:id="244993341">
      <w:bodyDiv w:val="1"/>
      <w:marLeft w:val="0"/>
      <w:marRight w:val="0"/>
      <w:marTop w:val="0"/>
      <w:marBottom w:val="0"/>
      <w:divBdr>
        <w:top w:val="none" w:sz="0" w:space="0" w:color="auto"/>
        <w:left w:val="none" w:sz="0" w:space="0" w:color="auto"/>
        <w:bottom w:val="none" w:sz="0" w:space="0" w:color="auto"/>
        <w:right w:val="none" w:sz="0" w:space="0" w:color="auto"/>
      </w:divBdr>
    </w:div>
    <w:div w:id="249849022">
      <w:bodyDiv w:val="1"/>
      <w:marLeft w:val="0"/>
      <w:marRight w:val="0"/>
      <w:marTop w:val="0"/>
      <w:marBottom w:val="0"/>
      <w:divBdr>
        <w:top w:val="none" w:sz="0" w:space="0" w:color="auto"/>
        <w:left w:val="none" w:sz="0" w:space="0" w:color="auto"/>
        <w:bottom w:val="none" w:sz="0" w:space="0" w:color="auto"/>
        <w:right w:val="none" w:sz="0" w:space="0" w:color="auto"/>
      </w:divBdr>
    </w:div>
    <w:div w:id="310789345">
      <w:bodyDiv w:val="1"/>
      <w:marLeft w:val="0"/>
      <w:marRight w:val="0"/>
      <w:marTop w:val="0"/>
      <w:marBottom w:val="0"/>
      <w:divBdr>
        <w:top w:val="none" w:sz="0" w:space="0" w:color="auto"/>
        <w:left w:val="none" w:sz="0" w:space="0" w:color="auto"/>
        <w:bottom w:val="none" w:sz="0" w:space="0" w:color="auto"/>
        <w:right w:val="none" w:sz="0" w:space="0" w:color="auto"/>
      </w:divBdr>
      <w:divsChild>
        <w:div w:id="528370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463026">
      <w:bodyDiv w:val="1"/>
      <w:marLeft w:val="0"/>
      <w:marRight w:val="0"/>
      <w:marTop w:val="0"/>
      <w:marBottom w:val="0"/>
      <w:divBdr>
        <w:top w:val="none" w:sz="0" w:space="0" w:color="auto"/>
        <w:left w:val="none" w:sz="0" w:space="0" w:color="auto"/>
        <w:bottom w:val="none" w:sz="0" w:space="0" w:color="auto"/>
        <w:right w:val="none" w:sz="0" w:space="0" w:color="auto"/>
      </w:divBdr>
    </w:div>
    <w:div w:id="331370429">
      <w:bodyDiv w:val="1"/>
      <w:marLeft w:val="0"/>
      <w:marRight w:val="0"/>
      <w:marTop w:val="0"/>
      <w:marBottom w:val="0"/>
      <w:divBdr>
        <w:top w:val="none" w:sz="0" w:space="0" w:color="auto"/>
        <w:left w:val="none" w:sz="0" w:space="0" w:color="auto"/>
        <w:bottom w:val="none" w:sz="0" w:space="0" w:color="auto"/>
        <w:right w:val="none" w:sz="0" w:space="0" w:color="auto"/>
      </w:divBdr>
    </w:div>
    <w:div w:id="335885319">
      <w:bodyDiv w:val="1"/>
      <w:marLeft w:val="0"/>
      <w:marRight w:val="0"/>
      <w:marTop w:val="0"/>
      <w:marBottom w:val="0"/>
      <w:divBdr>
        <w:top w:val="none" w:sz="0" w:space="0" w:color="auto"/>
        <w:left w:val="none" w:sz="0" w:space="0" w:color="auto"/>
        <w:bottom w:val="none" w:sz="0" w:space="0" w:color="auto"/>
        <w:right w:val="none" w:sz="0" w:space="0" w:color="auto"/>
      </w:divBdr>
    </w:div>
    <w:div w:id="380449134">
      <w:bodyDiv w:val="1"/>
      <w:marLeft w:val="0"/>
      <w:marRight w:val="0"/>
      <w:marTop w:val="0"/>
      <w:marBottom w:val="0"/>
      <w:divBdr>
        <w:top w:val="none" w:sz="0" w:space="0" w:color="auto"/>
        <w:left w:val="none" w:sz="0" w:space="0" w:color="auto"/>
        <w:bottom w:val="none" w:sz="0" w:space="0" w:color="auto"/>
        <w:right w:val="none" w:sz="0" w:space="0" w:color="auto"/>
      </w:divBdr>
      <w:divsChild>
        <w:div w:id="928461744">
          <w:marLeft w:val="0"/>
          <w:marRight w:val="0"/>
          <w:marTop w:val="0"/>
          <w:marBottom w:val="0"/>
          <w:divBdr>
            <w:top w:val="none" w:sz="0" w:space="0" w:color="auto"/>
            <w:left w:val="none" w:sz="0" w:space="0" w:color="auto"/>
            <w:bottom w:val="none" w:sz="0" w:space="0" w:color="auto"/>
            <w:right w:val="none" w:sz="0" w:space="0" w:color="auto"/>
          </w:divBdr>
        </w:div>
        <w:div w:id="1271006643">
          <w:marLeft w:val="0"/>
          <w:marRight w:val="0"/>
          <w:marTop w:val="0"/>
          <w:marBottom w:val="0"/>
          <w:divBdr>
            <w:top w:val="none" w:sz="0" w:space="0" w:color="auto"/>
            <w:left w:val="none" w:sz="0" w:space="0" w:color="auto"/>
            <w:bottom w:val="none" w:sz="0" w:space="0" w:color="auto"/>
            <w:right w:val="none" w:sz="0" w:space="0" w:color="auto"/>
          </w:divBdr>
        </w:div>
        <w:div w:id="2121799138">
          <w:marLeft w:val="0"/>
          <w:marRight w:val="0"/>
          <w:marTop w:val="0"/>
          <w:marBottom w:val="0"/>
          <w:divBdr>
            <w:top w:val="none" w:sz="0" w:space="0" w:color="auto"/>
            <w:left w:val="none" w:sz="0" w:space="0" w:color="auto"/>
            <w:bottom w:val="none" w:sz="0" w:space="0" w:color="auto"/>
            <w:right w:val="none" w:sz="0" w:space="0" w:color="auto"/>
          </w:divBdr>
        </w:div>
      </w:divsChild>
    </w:div>
    <w:div w:id="384722209">
      <w:bodyDiv w:val="1"/>
      <w:marLeft w:val="0"/>
      <w:marRight w:val="0"/>
      <w:marTop w:val="0"/>
      <w:marBottom w:val="0"/>
      <w:divBdr>
        <w:top w:val="none" w:sz="0" w:space="0" w:color="auto"/>
        <w:left w:val="none" w:sz="0" w:space="0" w:color="auto"/>
        <w:bottom w:val="none" w:sz="0" w:space="0" w:color="auto"/>
        <w:right w:val="none" w:sz="0" w:space="0" w:color="auto"/>
      </w:divBdr>
    </w:div>
    <w:div w:id="425347670">
      <w:bodyDiv w:val="1"/>
      <w:marLeft w:val="0"/>
      <w:marRight w:val="0"/>
      <w:marTop w:val="0"/>
      <w:marBottom w:val="0"/>
      <w:divBdr>
        <w:top w:val="none" w:sz="0" w:space="0" w:color="auto"/>
        <w:left w:val="none" w:sz="0" w:space="0" w:color="auto"/>
        <w:bottom w:val="none" w:sz="0" w:space="0" w:color="auto"/>
        <w:right w:val="none" w:sz="0" w:space="0" w:color="auto"/>
      </w:divBdr>
    </w:div>
    <w:div w:id="476147661">
      <w:bodyDiv w:val="1"/>
      <w:marLeft w:val="0"/>
      <w:marRight w:val="0"/>
      <w:marTop w:val="0"/>
      <w:marBottom w:val="0"/>
      <w:divBdr>
        <w:top w:val="none" w:sz="0" w:space="0" w:color="auto"/>
        <w:left w:val="none" w:sz="0" w:space="0" w:color="auto"/>
        <w:bottom w:val="none" w:sz="0" w:space="0" w:color="auto"/>
        <w:right w:val="none" w:sz="0" w:space="0" w:color="auto"/>
      </w:divBdr>
    </w:div>
    <w:div w:id="496961310">
      <w:bodyDiv w:val="1"/>
      <w:marLeft w:val="0"/>
      <w:marRight w:val="0"/>
      <w:marTop w:val="0"/>
      <w:marBottom w:val="0"/>
      <w:divBdr>
        <w:top w:val="none" w:sz="0" w:space="0" w:color="auto"/>
        <w:left w:val="none" w:sz="0" w:space="0" w:color="auto"/>
        <w:bottom w:val="none" w:sz="0" w:space="0" w:color="auto"/>
        <w:right w:val="none" w:sz="0" w:space="0" w:color="auto"/>
      </w:divBdr>
    </w:div>
    <w:div w:id="509485648">
      <w:bodyDiv w:val="1"/>
      <w:marLeft w:val="0"/>
      <w:marRight w:val="0"/>
      <w:marTop w:val="0"/>
      <w:marBottom w:val="0"/>
      <w:divBdr>
        <w:top w:val="none" w:sz="0" w:space="0" w:color="auto"/>
        <w:left w:val="none" w:sz="0" w:space="0" w:color="auto"/>
        <w:bottom w:val="none" w:sz="0" w:space="0" w:color="auto"/>
        <w:right w:val="none" w:sz="0" w:space="0" w:color="auto"/>
      </w:divBdr>
    </w:div>
    <w:div w:id="524565878">
      <w:bodyDiv w:val="1"/>
      <w:marLeft w:val="0"/>
      <w:marRight w:val="0"/>
      <w:marTop w:val="0"/>
      <w:marBottom w:val="0"/>
      <w:divBdr>
        <w:top w:val="none" w:sz="0" w:space="0" w:color="auto"/>
        <w:left w:val="none" w:sz="0" w:space="0" w:color="auto"/>
        <w:bottom w:val="none" w:sz="0" w:space="0" w:color="auto"/>
        <w:right w:val="none" w:sz="0" w:space="0" w:color="auto"/>
      </w:divBdr>
    </w:div>
    <w:div w:id="533201767">
      <w:bodyDiv w:val="1"/>
      <w:marLeft w:val="0"/>
      <w:marRight w:val="0"/>
      <w:marTop w:val="0"/>
      <w:marBottom w:val="0"/>
      <w:divBdr>
        <w:top w:val="none" w:sz="0" w:space="0" w:color="auto"/>
        <w:left w:val="none" w:sz="0" w:space="0" w:color="auto"/>
        <w:bottom w:val="none" w:sz="0" w:space="0" w:color="auto"/>
        <w:right w:val="none" w:sz="0" w:space="0" w:color="auto"/>
      </w:divBdr>
    </w:div>
    <w:div w:id="547300100">
      <w:bodyDiv w:val="1"/>
      <w:marLeft w:val="0"/>
      <w:marRight w:val="0"/>
      <w:marTop w:val="0"/>
      <w:marBottom w:val="0"/>
      <w:divBdr>
        <w:top w:val="none" w:sz="0" w:space="0" w:color="auto"/>
        <w:left w:val="none" w:sz="0" w:space="0" w:color="auto"/>
        <w:bottom w:val="none" w:sz="0" w:space="0" w:color="auto"/>
        <w:right w:val="none" w:sz="0" w:space="0" w:color="auto"/>
      </w:divBdr>
    </w:div>
    <w:div w:id="583879440">
      <w:bodyDiv w:val="1"/>
      <w:marLeft w:val="0"/>
      <w:marRight w:val="0"/>
      <w:marTop w:val="0"/>
      <w:marBottom w:val="0"/>
      <w:divBdr>
        <w:top w:val="none" w:sz="0" w:space="0" w:color="auto"/>
        <w:left w:val="none" w:sz="0" w:space="0" w:color="auto"/>
        <w:bottom w:val="none" w:sz="0" w:space="0" w:color="auto"/>
        <w:right w:val="none" w:sz="0" w:space="0" w:color="auto"/>
      </w:divBdr>
    </w:div>
    <w:div w:id="628630426">
      <w:bodyDiv w:val="1"/>
      <w:marLeft w:val="0"/>
      <w:marRight w:val="0"/>
      <w:marTop w:val="0"/>
      <w:marBottom w:val="0"/>
      <w:divBdr>
        <w:top w:val="none" w:sz="0" w:space="0" w:color="auto"/>
        <w:left w:val="none" w:sz="0" w:space="0" w:color="auto"/>
        <w:bottom w:val="none" w:sz="0" w:space="0" w:color="auto"/>
        <w:right w:val="none" w:sz="0" w:space="0" w:color="auto"/>
      </w:divBdr>
    </w:div>
    <w:div w:id="669453218">
      <w:bodyDiv w:val="1"/>
      <w:marLeft w:val="0"/>
      <w:marRight w:val="0"/>
      <w:marTop w:val="0"/>
      <w:marBottom w:val="0"/>
      <w:divBdr>
        <w:top w:val="none" w:sz="0" w:space="0" w:color="auto"/>
        <w:left w:val="none" w:sz="0" w:space="0" w:color="auto"/>
        <w:bottom w:val="none" w:sz="0" w:space="0" w:color="auto"/>
        <w:right w:val="none" w:sz="0" w:space="0" w:color="auto"/>
      </w:divBdr>
      <w:divsChild>
        <w:div w:id="555514476">
          <w:marLeft w:val="0"/>
          <w:marRight w:val="0"/>
          <w:marTop w:val="0"/>
          <w:marBottom w:val="0"/>
          <w:divBdr>
            <w:top w:val="none" w:sz="0" w:space="0" w:color="auto"/>
            <w:left w:val="none" w:sz="0" w:space="0" w:color="auto"/>
            <w:bottom w:val="none" w:sz="0" w:space="0" w:color="auto"/>
            <w:right w:val="none" w:sz="0" w:space="0" w:color="auto"/>
          </w:divBdr>
        </w:div>
        <w:div w:id="1138257615">
          <w:marLeft w:val="0"/>
          <w:marRight w:val="0"/>
          <w:marTop w:val="0"/>
          <w:marBottom w:val="0"/>
          <w:divBdr>
            <w:top w:val="none" w:sz="0" w:space="0" w:color="auto"/>
            <w:left w:val="none" w:sz="0" w:space="0" w:color="auto"/>
            <w:bottom w:val="none" w:sz="0" w:space="0" w:color="auto"/>
            <w:right w:val="none" w:sz="0" w:space="0" w:color="auto"/>
          </w:divBdr>
        </w:div>
        <w:div w:id="1456023510">
          <w:marLeft w:val="0"/>
          <w:marRight w:val="0"/>
          <w:marTop w:val="0"/>
          <w:marBottom w:val="0"/>
          <w:divBdr>
            <w:top w:val="none" w:sz="0" w:space="0" w:color="auto"/>
            <w:left w:val="none" w:sz="0" w:space="0" w:color="auto"/>
            <w:bottom w:val="none" w:sz="0" w:space="0" w:color="auto"/>
            <w:right w:val="none" w:sz="0" w:space="0" w:color="auto"/>
          </w:divBdr>
        </w:div>
      </w:divsChild>
    </w:div>
    <w:div w:id="670331783">
      <w:bodyDiv w:val="1"/>
      <w:marLeft w:val="0"/>
      <w:marRight w:val="0"/>
      <w:marTop w:val="0"/>
      <w:marBottom w:val="0"/>
      <w:divBdr>
        <w:top w:val="none" w:sz="0" w:space="0" w:color="auto"/>
        <w:left w:val="none" w:sz="0" w:space="0" w:color="auto"/>
        <w:bottom w:val="none" w:sz="0" w:space="0" w:color="auto"/>
        <w:right w:val="none" w:sz="0" w:space="0" w:color="auto"/>
      </w:divBdr>
    </w:div>
    <w:div w:id="671571433">
      <w:bodyDiv w:val="1"/>
      <w:marLeft w:val="0"/>
      <w:marRight w:val="0"/>
      <w:marTop w:val="0"/>
      <w:marBottom w:val="0"/>
      <w:divBdr>
        <w:top w:val="none" w:sz="0" w:space="0" w:color="auto"/>
        <w:left w:val="none" w:sz="0" w:space="0" w:color="auto"/>
        <w:bottom w:val="none" w:sz="0" w:space="0" w:color="auto"/>
        <w:right w:val="none" w:sz="0" w:space="0" w:color="auto"/>
      </w:divBdr>
    </w:div>
    <w:div w:id="677318990">
      <w:bodyDiv w:val="1"/>
      <w:marLeft w:val="0"/>
      <w:marRight w:val="0"/>
      <w:marTop w:val="0"/>
      <w:marBottom w:val="0"/>
      <w:divBdr>
        <w:top w:val="none" w:sz="0" w:space="0" w:color="auto"/>
        <w:left w:val="none" w:sz="0" w:space="0" w:color="auto"/>
        <w:bottom w:val="none" w:sz="0" w:space="0" w:color="auto"/>
        <w:right w:val="none" w:sz="0" w:space="0" w:color="auto"/>
      </w:divBdr>
    </w:div>
    <w:div w:id="679740394">
      <w:bodyDiv w:val="1"/>
      <w:marLeft w:val="0"/>
      <w:marRight w:val="0"/>
      <w:marTop w:val="0"/>
      <w:marBottom w:val="0"/>
      <w:divBdr>
        <w:top w:val="none" w:sz="0" w:space="0" w:color="auto"/>
        <w:left w:val="none" w:sz="0" w:space="0" w:color="auto"/>
        <w:bottom w:val="none" w:sz="0" w:space="0" w:color="auto"/>
        <w:right w:val="none" w:sz="0" w:space="0" w:color="auto"/>
      </w:divBdr>
      <w:divsChild>
        <w:div w:id="556743392">
          <w:blockQuote w:val="1"/>
          <w:marLeft w:val="720"/>
          <w:marRight w:val="720"/>
          <w:marTop w:val="100"/>
          <w:marBottom w:val="100"/>
          <w:divBdr>
            <w:top w:val="none" w:sz="0" w:space="0" w:color="auto"/>
            <w:left w:val="none" w:sz="0" w:space="0" w:color="auto"/>
            <w:bottom w:val="none" w:sz="0" w:space="0" w:color="auto"/>
            <w:right w:val="none" w:sz="0" w:space="0" w:color="auto"/>
          </w:divBdr>
        </w:div>
        <w:div w:id="992949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810544">
      <w:bodyDiv w:val="1"/>
      <w:marLeft w:val="0"/>
      <w:marRight w:val="0"/>
      <w:marTop w:val="0"/>
      <w:marBottom w:val="0"/>
      <w:divBdr>
        <w:top w:val="none" w:sz="0" w:space="0" w:color="auto"/>
        <w:left w:val="none" w:sz="0" w:space="0" w:color="auto"/>
        <w:bottom w:val="none" w:sz="0" w:space="0" w:color="auto"/>
        <w:right w:val="none" w:sz="0" w:space="0" w:color="auto"/>
      </w:divBdr>
    </w:div>
    <w:div w:id="700515412">
      <w:bodyDiv w:val="1"/>
      <w:marLeft w:val="0"/>
      <w:marRight w:val="0"/>
      <w:marTop w:val="0"/>
      <w:marBottom w:val="0"/>
      <w:divBdr>
        <w:top w:val="none" w:sz="0" w:space="0" w:color="auto"/>
        <w:left w:val="none" w:sz="0" w:space="0" w:color="auto"/>
        <w:bottom w:val="none" w:sz="0" w:space="0" w:color="auto"/>
        <w:right w:val="none" w:sz="0" w:space="0" w:color="auto"/>
      </w:divBdr>
    </w:div>
    <w:div w:id="708577575">
      <w:bodyDiv w:val="1"/>
      <w:marLeft w:val="0"/>
      <w:marRight w:val="0"/>
      <w:marTop w:val="0"/>
      <w:marBottom w:val="0"/>
      <w:divBdr>
        <w:top w:val="none" w:sz="0" w:space="0" w:color="auto"/>
        <w:left w:val="none" w:sz="0" w:space="0" w:color="auto"/>
        <w:bottom w:val="none" w:sz="0" w:space="0" w:color="auto"/>
        <w:right w:val="none" w:sz="0" w:space="0" w:color="auto"/>
      </w:divBdr>
    </w:div>
    <w:div w:id="733816361">
      <w:bodyDiv w:val="1"/>
      <w:marLeft w:val="0"/>
      <w:marRight w:val="0"/>
      <w:marTop w:val="0"/>
      <w:marBottom w:val="0"/>
      <w:divBdr>
        <w:top w:val="none" w:sz="0" w:space="0" w:color="auto"/>
        <w:left w:val="none" w:sz="0" w:space="0" w:color="auto"/>
        <w:bottom w:val="none" w:sz="0" w:space="0" w:color="auto"/>
        <w:right w:val="none" w:sz="0" w:space="0" w:color="auto"/>
      </w:divBdr>
    </w:div>
    <w:div w:id="751775216">
      <w:bodyDiv w:val="1"/>
      <w:marLeft w:val="0"/>
      <w:marRight w:val="0"/>
      <w:marTop w:val="0"/>
      <w:marBottom w:val="0"/>
      <w:divBdr>
        <w:top w:val="none" w:sz="0" w:space="0" w:color="auto"/>
        <w:left w:val="none" w:sz="0" w:space="0" w:color="auto"/>
        <w:bottom w:val="none" w:sz="0" w:space="0" w:color="auto"/>
        <w:right w:val="none" w:sz="0" w:space="0" w:color="auto"/>
      </w:divBdr>
    </w:div>
    <w:div w:id="752822878">
      <w:bodyDiv w:val="1"/>
      <w:marLeft w:val="0"/>
      <w:marRight w:val="0"/>
      <w:marTop w:val="0"/>
      <w:marBottom w:val="0"/>
      <w:divBdr>
        <w:top w:val="none" w:sz="0" w:space="0" w:color="auto"/>
        <w:left w:val="none" w:sz="0" w:space="0" w:color="auto"/>
        <w:bottom w:val="none" w:sz="0" w:space="0" w:color="auto"/>
        <w:right w:val="none" w:sz="0" w:space="0" w:color="auto"/>
      </w:divBdr>
    </w:div>
    <w:div w:id="763571622">
      <w:bodyDiv w:val="1"/>
      <w:marLeft w:val="0"/>
      <w:marRight w:val="0"/>
      <w:marTop w:val="0"/>
      <w:marBottom w:val="0"/>
      <w:divBdr>
        <w:top w:val="none" w:sz="0" w:space="0" w:color="auto"/>
        <w:left w:val="none" w:sz="0" w:space="0" w:color="auto"/>
        <w:bottom w:val="none" w:sz="0" w:space="0" w:color="auto"/>
        <w:right w:val="none" w:sz="0" w:space="0" w:color="auto"/>
      </w:divBdr>
    </w:div>
    <w:div w:id="765812173">
      <w:bodyDiv w:val="1"/>
      <w:marLeft w:val="0"/>
      <w:marRight w:val="0"/>
      <w:marTop w:val="0"/>
      <w:marBottom w:val="0"/>
      <w:divBdr>
        <w:top w:val="none" w:sz="0" w:space="0" w:color="auto"/>
        <w:left w:val="none" w:sz="0" w:space="0" w:color="auto"/>
        <w:bottom w:val="none" w:sz="0" w:space="0" w:color="auto"/>
        <w:right w:val="none" w:sz="0" w:space="0" w:color="auto"/>
      </w:divBdr>
    </w:div>
    <w:div w:id="807666828">
      <w:bodyDiv w:val="1"/>
      <w:marLeft w:val="0"/>
      <w:marRight w:val="0"/>
      <w:marTop w:val="0"/>
      <w:marBottom w:val="0"/>
      <w:divBdr>
        <w:top w:val="none" w:sz="0" w:space="0" w:color="auto"/>
        <w:left w:val="none" w:sz="0" w:space="0" w:color="auto"/>
        <w:bottom w:val="none" w:sz="0" w:space="0" w:color="auto"/>
        <w:right w:val="none" w:sz="0" w:space="0" w:color="auto"/>
      </w:divBdr>
    </w:div>
    <w:div w:id="843396865">
      <w:bodyDiv w:val="1"/>
      <w:marLeft w:val="0"/>
      <w:marRight w:val="0"/>
      <w:marTop w:val="0"/>
      <w:marBottom w:val="0"/>
      <w:divBdr>
        <w:top w:val="none" w:sz="0" w:space="0" w:color="auto"/>
        <w:left w:val="none" w:sz="0" w:space="0" w:color="auto"/>
        <w:bottom w:val="none" w:sz="0" w:space="0" w:color="auto"/>
        <w:right w:val="none" w:sz="0" w:space="0" w:color="auto"/>
      </w:divBdr>
    </w:div>
    <w:div w:id="850803797">
      <w:bodyDiv w:val="1"/>
      <w:marLeft w:val="0"/>
      <w:marRight w:val="0"/>
      <w:marTop w:val="0"/>
      <w:marBottom w:val="0"/>
      <w:divBdr>
        <w:top w:val="none" w:sz="0" w:space="0" w:color="auto"/>
        <w:left w:val="none" w:sz="0" w:space="0" w:color="auto"/>
        <w:bottom w:val="none" w:sz="0" w:space="0" w:color="auto"/>
        <w:right w:val="none" w:sz="0" w:space="0" w:color="auto"/>
      </w:divBdr>
    </w:div>
    <w:div w:id="898856223">
      <w:bodyDiv w:val="1"/>
      <w:marLeft w:val="0"/>
      <w:marRight w:val="0"/>
      <w:marTop w:val="0"/>
      <w:marBottom w:val="0"/>
      <w:divBdr>
        <w:top w:val="none" w:sz="0" w:space="0" w:color="auto"/>
        <w:left w:val="none" w:sz="0" w:space="0" w:color="auto"/>
        <w:bottom w:val="none" w:sz="0" w:space="0" w:color="auto"/>
        <w:right w:val="none" w:sz="0" w:space="0" w:color="auto"/>
      </w:divBdr>
    </w:div>
    <w:div w:id="936602506">
      <w:bodyDiv w:val="1"/>
      <w:marLeft w:val="0"/>
      <w:marRight w:val="0"/>
      <w:marTop w:val="0"/>
      <w:marBottom w:val="0"/>
      <w:divBdr>
        <w:top w:val="none" w:sz="0" w:space="0" w:color="auto"/>
        <w:left w:val="none" w:sz="0" w:space="0" w:color="auto"/>
        <w:bottom w:val="none" w:sz="0" w:space="0" w:color="auto"/>
        <w:right w:val="none" w:sz="0" w:space="0" w:color="auto"/>
      </w:divBdr>
    </w:div>
    <w:div w:id="944581790">
      <w:bodyDiv w:val="1"/>
      <w:marLeft w:val="0"/>
      <w:marRight w:val="0"/>
      <w:marTop w:val="0"/>
      <w:marBottom w:val="0"/>
      <w:divBdr>
        <w:top w:val="none" w:sz="0" w:space="0" w:color="auto"/>
        <w:left w:val="none" w:sz="0" w:space="0" w:color="auto"/>
        <w:bottom w:val="none" w:sz="0" w:space="0" w:color="auto"/>
        <w:right w:val="none" w:sz="0" w:space="0" w:color="auto"/>
      </w:divBdr>
    </w:div>
    <w:div w:id="997076812">
      <w:bodyDiv w:val="1"/>
      <w:marLeft w:val="0"/>
      <w:marRight w:val="0"/>
      <w:marTop w:val="0"/>
      <w:marBottom w:val="0"/>
      <w:divBdr>
        <w:top w:val="none" w:sz="0" w:space="0" w:color="auto"/>
        <w:left w:val="none" w:sz="0" w:space="0" w:color="auto"/>
        <w:bottom w:val="none" w:sz="0" w:space="0" w:color="auto"/>
        <w:right w:val="none" w:sz="0" w:space="0" w:color="auto"/>
      </w:divBdr>
    </w:div>
    <w:div w:id="1029842613">
      <w:bodyDiv w:val="1"/>
      <w:marLeft w:val="0"/>
      <w:marRight w:val="0"/>
      <w:marTop w:val="0"/>
      <w:marBottom w:val="0"/>
      <w:divBdr>
        <w:top w:val="none" w:sz="0" w:space="0" w:color="auto"/>
        <w:left w:val="none" w:sz="0" w:space="0" w:color="auto"/>
        <w:bottom w:val="none" w:sz="0" w:space="0" w:color="auto"/>
        <w:right w:val="none" w:sz="0" w:space="0" w:color="auto"/>
      </w:divBdr>
    </w:div>
    <w:div w:id="1031146157">
      <w:bodyDiv w:val="1"/>
      <w:marLeft w:val="0"/>
      <w:marRight w:val="0"/>
      <w:marTop w:val="0"/>
      <w:marBottom w:val="0"/>
      <w:divBdr>
        <w:top w:val="none" w:sz="0" w:space="0" w:color="auto"/>
        <w:left w:val="none" w:sz="0" w:space="0" w:color="auto"/>
        <w:bottom w:val="none" w:sz="0" w:space="0" w:color="auto"/>
        <w:right w:val="none" w:sz="0" w:space="0" w:color="auto"/>
      </w:divBdr>
    </w:div>
    <w:div w:id="1031613543">
      <w:bodyDiv w:val="1"/>
      <w:marLeft w:val="0"/>
      <w:marRight w:val="0"/>
      <w:marTop w:val="0"/>
      <w:marBottom w:val="0"/>
      <w:divBdr>
        <w:top w:val="none" w:sz="0" w:space="0" w:color="auto"/>
        <w:left w:val="none" w:sz="0" w:space="0" w:color="auto"/>
        <w:bottom w:val="none" w:sz="0" w:space="0" w:color="auto"/>
        <w:right w:val="none" w:sz="0" w:space="0" w:color="auto"/>
      </w:divBdr>
    </w:div>
    <w:div w:id="1044788528">
      <w:bodyDiv w:val="1"/>
      <w:marLeft w:val="0"/>
      <w:marRight w:val="0"/>
      <w:marTop w:val="0"/>
      <w:marBottom w:val="0"/>
      <w:divBdr>
        <w:top w:val="none" w:sz="0" w:space="0" w:color="auto"/>
        <w:left w:val="none" w:sz="0" w:space="0" w:color="auto"/>
        <w:bottom w:val="none" w:sz="0" w:space="0" w:color="auto"/>
        <w:right w:val="none" w:sz="0" w:space="0" w:color="auto"/>
      </w:divBdr>
    </w:div>
    <w:div w:id="1046565397">
      <w:bodyDiv w:val="1"/>
      <w:marLeft w:val="0"/>
      <w:marRight w:val="0"/>
      <w:marTop w:val="0"/>
      <w:marBottom w:val="0"/>
      <w:divBdr>
        <w:top w:val="none" w:sz="0" w:space="0" w:color="auto"/>
        <w:left w:val="none" w:sz="0" w:space="0" w:color="auto"/>
        <w:bottom w:val="none" w:sz="0" w:space="0" w:color="auto"/>
        <w:right w:val="none" w:sz="0" w:space="0" w:color="auto"/>
      </w:divBdr>
    </w:div>
    <w:div w:id="1048603086">
      <w:bodyDiv w:val="1"/>
      <w:marLeft w:val="0"/>
      <w:marRight w:val="0"/>
      <w:marTop w:val="0"/>
      <w:marBottom w:val="0"/>
      <w:divBdr>
        <w:top w:val="none" w:sz="0" w:space="0" w:color="auto"/>
        <w:left w:val="none" w:sz="0" w:space="0" w:color="auto"/>
        <w:bottom w:val="none" w:sz="0" w:space="0" w:color="auto"/>
        <w:right w:val="none" w:sz="0" w:space="0" w:color="auto"/>
      </w:divBdr>
    </w:div>
    <w:div w:id="1051922954">
      <w:bodyDiv w:val="1"/>
      <w:marLeft w:val="0"/>
      <w:marRight w:val="0"/>
      <w:marTop w:val="0"/>
      <w:marBottom w:val="0"/>
      <w:divBdr>
        <w:top w:val="none" w:sz="0" w:space="0" w:color="auto"/>
        <w:left w:val="none" w:sz="0" w:space="0" w:color="auto"/>
        <w:bottom w:val="none" w:sz="0" w:space="0" w:color="auto"/>
        <w:right w:val="none" w:sz="0" w:space="0" w:color="auto"/>
      </w:divBdr>
    </w:div>
    <w:div w:id="1079861609">
      <w:bodyDiv w:val="1"/>
      <w:marLeft w:val="0"/>
      <w:marRight w:val="0"/>
      <w:marTop w:val="0"/>
      <w:marBottom w:val="0"/>
      <w:divBdr>
        <w:top w:val="none" w:sz="0" w:space="0" w:color="auto"/>
        <w:left w:val="none" w:sz="0" w:space="0" w:color="auto"/>
        <w:bottom w:val="none" w:sz="0" w:space="0" w:color="auto"/>
        <w:right w:val="none" w:sz="0" w:space="0" w:color="auto"/>
      </w:divBdr>
    </w:div>
    <w:div w:id="1092972319">
      <w:bodyDiv w:val="1"/>
      <w:marLeft w:val="0"/>
      <w:marRight w:val="0"/>
      <w:marTop w:val="0"/>
      <w:marBottom w:val="0"/>
      <w:divBdr>
        <w:top w:val="none" w:sz="0" w:space="0" w:color="auto"/>
        <w:left w:val="none" w:sz="0" w:space="0" w:color="auto"/>
        <w:bottom w:val="none" w:sz="0" w:space="0" w:color="auto"/>
        <w:right w:val="none" w:sz="0" w:space="0" w:color="auto"/>
      </w:divBdr>
    </w:div>
    <w:div w:id="1121069950">
      <w:bodyDiv w:val="1"/>
      <w:marLeft w:val="0"/>
      <w:marRight w:val="0"/>
      <w:marTop w:val="0"/>
      <w:marBottom w:val="0"/>
      <w:divBdr>
        <w:top w:val="none" w:sz="0" w:space="0" w:color="auto"/>
        <w:left w:val="none" w:sz="0" w:space="0" w:color="auto"/>
        <w:bottom w:val="none" w:sz="0" w:space="0" w:color="auto"/>
        <w:right w:val="none" w:sz="0" w:space="0" w:color="auto"/>
      </w:divBdr>
    </w:div>
    <w:div w:id="1133986191">
      <w:bodyDiv w:val="1"/>
      <w:marLeft w:val="0"/>
      <w:marRight w:val="0"/>
      <w:marTop w:val="0"/>
      <w:marBottom w:val="0"/>
      <w:divBdr>
        <w:top w:val="none" w:sz="0" w:space="0" w:color="auto"/>
        <w:left w:val="none" w:sz="0" w:space="0" w:color="auto"/>
        <w:bottom w:val="none" w:sz="0" w:space="0" w:color="auto"/>
        <w:right w:val="none" w:sz="0" w:space="0" w:color="auto"/>
      </w:divBdr>
      <w:divsChild>
        <w:div w:id="1444226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250632">
      <w:bodyDiv w:val="1"/>
      <w:marLeft w:val="0"/>
      <w:marRight w:val="0"/>
      <w:marTop w:val="0"/>
      <w:marBottom w:val="0"/>
      <w:divBdr>
        <w:top w:val="none" w:sz="0" w:space="0" w:color="auto"/>
        <w:left w:val="none" w:sz="0" w:space="0" w:color="auto"/>
        <w:bottom w:val="none" w:sz="0" w:space="0" w:color="auto"/>
        <w:right w:val="none" w:sz="0" w:space="0" w:color="auto"/>
      </w:divBdr>
    </w:div>
    <w:div w:id="1207790846">
      <w:bodyDiv w:val="1"/>
      <w:marLeft w:val="0"/>
      <w:marRight w:val="0"/>
      <w:marTop w:val="0"/>
      <w:marBottom w:val="0"/>
      <w:divBdr>
        <w:top w:val="none" w:sz="0" w:space="0" w:color="auto"/>
        <w:left w:val="none" w:sz="0" w:space="0" w:color="auto"/>
        <w:bottom w:val="none" w:sz="0" w:space="0" w:color="auto"/>
        <w:right w:val="none" w:sz="0" w:space="0" w:color="auto"/>
      </w:divBdr>
    </w:div>
    <w:div w:id="1236939513">
      <w:bodyDiv w:val="1"/>
      <w:marLeft w:val="0"/>
      <w:marRight w:val="0"/>
      <w:marTop w:val="0"/>
      <w:marBottom w:val="0"/>
      <w:divBdr>
        <w:top w:val="none" w:sz="0" w:space="0" w:color="auto"/>
        <w:left w:val="none" w:sz="0" w:space="0" w:color="auto"/>
        <w:bottom w:val="none" w:sz="0" w:space="0" w:color="auto"/>
        <w:right w:val="none" w:sz="0" w:space="0" w:color="auto"/>
      </w:divBdr>
    </w:div>
    <w:div w:id="1282106667">
      <w:bodyDiv w:val="1"/>
      <w:marLeft w:val="0"/>
      <w:marRight w:val="0"/>
      <w:marTop w:val="0"/>
      <w:marBottom w:val="0"/>
      <w:divBdr>
        <w:top w:val="none" w:sz="0" w:space="0" w:color="auto"/>
        <w:left w:val="none" w:sz="0" w:space="0" w:color="auto"/>
        <w:bottom w:val="none" w:sz="0" w:space="0" w:color="auto"/>
        <w:right w:val="none" w:sz="0" w:space="0" w:color="auto"/>
      </w:divBdr>
    </w:div>
    <w:div w:id="1287002977">
      <w:bodyDiv w:val="1"/>
      <w:marLeft w:val="0"/>
      <w:marRight w:val="0"/>
      <w:marTop w:val="0"/>
      <w:marBottom w:val="0"/>
      <w:divBdr>
        <w:top w:val="none" w:sz="0" w:space="0" w:color="auto"/>
        <w:left w:val="none" w:sz="0" w:space="0" w:color="auto"/>
        <w:bottom w:val="none" w:sz="0" w:space="0" w:color="auto"/>
        <w:right w:val="none" w:sz="0" w:space="0" w:color="auto"/>
      </w:divBdr>
    </w:div>
    <w:div w:id="1312365316">
      <w:bodyDiv w:val="1"/>
      <w:marLeft w:val="0"/>
      <w:marRight w:val="0"/>
      <w:marTop w:val="0"/>
      <w:marBottom w:val="0"/>
      <w:divBdr>
        <w:top w:val="none" w:sz="0" w:space="0" w:color="auto"/>
        <w:left w:val="none" w:sz="0" w:space="0" w:color="auto"/>
        <w:bottom w:val="none" w:sz="0" w:space="0" w:color="auto"/>
        <w:right w:val="none" w:sz="0" w:space="0" w:color="auto"/>
      </w:divBdr>
    </w:div>
    <w:div w:id="1363088437">
      <w:bodyDiv w:val="1"/>
      <w:marLeft w:val="0"/>
      <w:marRight w:val="0"/>
      <w:marTop w:val="0"/>
      <w:marBottom w:val="0"/>
      <w:divBdr>
        <w:top w:val="none" w:sz="0" w:space="0" w:color="auto"/>
        <w:left w:val="none" w:sz="0" w:space="0" w:color="auto"/>
        <w:bottom w:val="none" w:sz="0" w:space="0" w:color="auto"/>
        <w:right w:val="none" w:sz="0" w:space="0" w:color="auto"/>
      </w:divBdr>
    </w:div>
    <w:div w:id="1363744906">
      <w:bodyDiv w:val="1"/>
      <w:marLeft w:val="0"/>
      <w:marRight w:val="0"/>
      <w:marTop w:val="0"/>
      <w:marBottom w:val="0"/>
      <w:divBdr>
        <w:top w:val="none" w:sz="0" w:space="0" w:color="auto"/>
        <w:left w:val="none" w:sz="0" w:space="0" w:color="auto"/>
        <w:bottom w:val="none" w:sz="0" w:space="0" w:color="auto"/>
        <w:right w:val="none" w:sz="0" w:space="0" w:color="auto"/>
      </w:divBdr>
    </w:div>
    <w:div w:id="1458452486">
      <w:bodyDiv w:val="1"/>
      <w:marLeft w:val="0"/>
      <w:marRight w:val="0"/>
      <w:marTop w:val="0"/>
      <w:marBottom w:val="0"/>
      <w:divBdr>
        <w:top w:val="none" w:sz="0" w:space="0" w:color="auto"/>
        <w:left w:val="none" w:sz="0" w:space="0" w:color="auto"/>
        <w:bottom w:val="none" w:sz="0" w:space="0" w:color="auto"/>
        <w:right w:val="none" w:sz="0" w:space="0" w:color="auto"/>
      </w:divBdr>
      <w:divsChild>
        <w:div w:id="57678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1949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571560">
      <w:bodyDiv w:val="1"/>
      <w:marLeft w:val="0"/>
      <w:marRight w:val="0"/>
      <w:marTop w:val="0"/>
      <w:marBottom w:val="0"/>
      <w:divBdr>
        <w:top w:val="none" w:sz="0" w:space="0" w:color="auto"/>
        <w:left w:val="none" w:sz="0" w:space="0" w:color="auto"/>
        <w:bottom w:val="none" w:sz="0" w:space="0" w:color="auto"/>
        <w:right w:val="none" w:sz="0" w:space="0" w:color="auto"/>
      </w:divBdr>
    </w:div>
    <w:div w:id="1486437470">
      <w:bodyDiv w:val="1"/>
      <w:marLeft w:val="0"/>
      <w:marRight w:val="0"/>
      <w:marTop w:val="0"/>
      <w:marBottom w:val="0"/>
      <w:divBdr>
        <w:top w:val="none" w:sz="0" w:space="0" w:color="auto"/>
        <w:left w:val="none" w:sz="0" w:space="0" w:color="auto"/>
        <w:bottom w:val="none" w:sz="0" w:space="0" w:color="auto"/>
        <w:right w:val="none" w:sz="0" w:space="0" w:color="auto"/>
      </w:divBdr>
    </w:div>
    <w:div w:id="1517845126">
      <w:bodyDiv w:val="1"/>
      <w:marLeft w:val="0"/>
      <w:marRight w:val="0"/>
      <w:marTop w:val="0"/>
      <w:marBottom w:val="0"/>
      <w:divBdr>
        <w:top w:val="none" w:sz="0" w:space="0" w:color="auto"/>
        <w:left w:val="none" w:sz="0" w:space="0" w:color="auto"/>
        <w:bottom w:val="none" w:sz="0" w:space="0" w:color="auto"/>
        <w:right w:val="none" w:sz="0" w:space="0" w:color="auto"/>
      </w:divBdr>
    </w:div>
    <w:div w:id="1522742890">
      <w:bodyDiv w:val="1"/>
      <w:marLeft w:val="0"/>
      <w:marRight w:val="0"/>
      <w:marTop w:val="0"/>
      <w:marBottom w:val="0"/>
      <w:divBdr>
        <w:top w:val="none" w:sz="0" w:space="0" w:color="auto"/>
        <w:left w:val="none" w:sz="0" w:space="0" w:color="auto"/>
        <w:bottom w:val="none" w:sz="0" w:space="0" w:color="auto"/>
        <w:right w:val="none" w:sz="0" w:space="0" w:color="auto"/>
      </w:divBdr>
    </w:div>
    <w:div w:id="1530990124">
      <w:bodyDiv w:val="1"/>
      <w:marLeft w:val="0"/>
      <w:marRight w:val="0"/>
      <w:marTop w:val="0"/>
      <w:marBottom w:val="0"/>
      <w:divBdr>
        <w:top w:val="none" w:sz="0" w:space="0" w:color="auto"/>
        <w:left w:val="none" w:sz="0" w:space="0" w:color="auto"/>
        <w:bottom w:val="none" w:sz="0" w:space="0" w:color="auto"/>
        <w:right w:val="none" w:sz="0" w:space="0" w:color="auto"/>
      </w:divBdr>
      <w:divsChild>
        <w:div w:id="701394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909543">
      <w:bodyDiv w:val="1"/>
      <w:marLeft w:val="0"/>
      <w:marRight w:val="0"/>
      <w:marTop w:val="0"/>
      <w:marBottom w:val="0"/>
      <w:divBdr>
        <w:top w:val="none" w:sz="0" w:space="0" w:color="auto"/>
        <w:left w:val="none" w:sz="0" w:space="0" w:color="auto"/>
        <w:bottom w:val="none" w:sz="0" w:space="0" w:color="auto"/>
        <w:right w:val="none" w:sz="0" w:space="0" w:color="auto"/>
      </w:divBdr>
    </w:div>
    <w:div w:id="1583223167">
      <w:bodyDiv w:val="1"/>
      <w:marLeft w:val="0"/>
      <w:marRight w:val="0"/>
      <w:marTop w:val="0"/>
      <w:marBottom w:val="0"/>
      <w:divBdr>
        <w:top w:val="none" w:sz="0" w:space="0" w:color="auto"/>
        <w:left w:val="none" w:sz="0" w:space="0" w:color="auto"/>
        <w:bottom w:val="none" w:sz="0" w:space="0" w:color="auto"/>
        <w:right w:val="none" w:sz="0" w:space="0" w:color="auto"/>
      </w:divBdr>
    </w:div>
    <w:div w:id="1618020515">
      <w:bodyDiv w:val="1"/>
      <w:marLeft w:val="0"/>
      <w:marRight w:val="0"/>
      <w:marTop w:val="0"/>
      <w:marBottom w:val="0"/>
      <w:divBdr>
        <w:top w:val="none" w:sz="0" w:space="0" w:color="auto"/>
        <w:left w:val="none" w:sz="0" w:space="0" w:color="auto"/>
        <w:bottom w:val="none" w:sz="0" w:space="0" w:color="auto"/>
        <w:right w:val="none" w:sz="0" w:space="0" w:color="auto"/>
      </w:divBdr>
    </w:div>
    <w:div w:id="1623029779">
      <w:bodyDiv w:val="1"/>
      <w:marLeft w:val="0"/>
      <w:marRight w:val="0"/>
      <w:marTop w:val="0"/>
      <w:marBottom w:val="0"/>
      <w:divBdr>
        <w:top w:val="none" w:sz="0" w:space="0" w:color="auto"/>
        <w:left w:val="none" w:sz="0" w:space="0" w:color="auto"/>
        <w:bottom w:val="none" w:sz="0" w:space="0" w:color="auto"/>
        <w:right w:val="none" w:sz="0" w:space="0" w:color="auto"/>
      </w:divBdr>
    </w:div>
    <w:div w:id="1685129280">
      <w:bodyDiv w:val="1"/>
      <w:marLeft w:val="0"/>
      <w:marRight w:val="0"/>
      <w:marTop w:val="0"/>
      <w:marBottom w:val="0"/>
      <w:divBdr>
        <w:top w:val="none" w:sz="0" w:space="0" w:color="auto"/>
        <w:left w:val="none" w:sz="0" w:space="0" w:color="auto"/>
        <w:bottom w:val="none" w:sz="0" w:space="0" w:color="auto"/>
        <w:right w:val="none" w:sz="0" w:space="0" w:color="auto"/>
      </w:divBdr>
    </w:div>
    <w:div w:id="1717003324">
      <w:bodyDiv w:val="1"/>
      <w:marLeft w:val="0"/>
      <w:marRight w:val="0"/>
      <w:marTop w:val="0"/>
      <w:marBottom w:val="0"/>
      <w:divBdr>
        <w:top w:val="none" w:sz="0" w:space="0" w:color="auto"/>
        <w:left w:val="none" w:sz="0" w:space="0" w:color="auto"/>
        <w:bottom w:val="none" w:sz="0" w:space="0" w:color="auto"/>
        <w:right w:val="none" w:sz="0" w:space="0" w:color="auto"/>
      </w:divBdr>
    </w:div>
    <w:div w:id="1719552431">
      <w:bodyDiv w:val="1"/>
      <w:marLeft w:val="0"/>
      <w:marRight w:val="0"/>
      <w:marTop w:val="0"/>
      <w:marBottom w:val="0"/>
      <w:divBdr>
        <w:top w:val="none" w:sz="0" w:space="0" w:color="auto"/>
        <w:left w:val="none" w:sz="0" w:space="0" w:color="auto"/>
        <w:bottom w:val="none" w:sz="0" w:space="0" w:color="auto"/>
        <w:right w:val="none" w:sz="0" w:space="0" w:color="auto"/>
      </w:divBdr>
    </w:div>
    <w:div w:id="1750736018">
      <w:bodyDiv w:val="1"/>
      <w:marLeft w:val="0"/>
      <w:marRight w:val="0"/>
      <w:marTop w:val="0"/>
      <w:marBottom w:val="0"/>
      <w:divBdr>
        <w:top w:val="none" w:sz="0" w:space="0" w:color="auto"/>
        <w:left w:val="none" w:sz="0" w:space="0" w:color="auto"/>
        <w:bottom w:val="none" w:sz="0" w:space="0" w:color="auto"/>
        <w:right w:val="none" w:sz="0" w:space="0" w:color="auto"/>
      </w:divBdr>
    </w:div>
    <w:div w:id="1797677615">
      <w:bodyDiv w:val="1"/>
      <w:marLeft w:val="0"/>
      <w:marRight w:val="0"/>
      <w:marTop w:val="0"/>
      <w:marBottom w:val="0"/>
      <w:divBdr>
        <w:top w:val="none" w:sz="0" w:space="0" w:color="auto"/>
        <w:left w:val="none" w:sz="0" w:space="0" w:color="auto"/>
        <w:bottom w:val="none" w:sz="0" w:space="0" w:color="auto"/>
        <w:right w:val="none" w:sz="0" w:space="0" w:color="auto"/>
      </w:divBdr>
    </w:div>
    <w:div w:id="1801803531">
      <w:bodyDiv w:val="1"/>
      <w:marLeft w:val="0"/>
      <w:marRight w:val="0"/>
      <w:marTop w:val="0"/>
      <w:marBottom w:val="0"/>
      <w:divBdr>
        <w:top w:val="none" w:sz="0" w:space="0" w:color="auto"/>
        <w:left w:val="none" w:sz="0" w:space="0" w:color="auto"/>
        <w:bottom w:val="none" w:sz="0" w:space="0" w:color="auto"/>
        <w:right w:val="none" w:sz="0" w:space="0" w:color="auto"/>
      </w:divBdr>
    </w:div>
    <w:div w:id="1827744030">
      <w:bodyDiv w:val="1"/>
      <w:marLeft w:val="0"/>
      <w:marRight w:val="0"/>
      <w:marTop w:val="0"/>
      <w:marBottom w:val="0"/>
      <w:divBdr>
        <w:top w:val="none" w:sz="0" w:space="0" w:color="auto"/>
        <w:left w:val="none" w:sz="0" w:space="0" w:color="auto"/>
        <w:bottom w:val="none" w:sz="0" w:space="0" w:color="auto"/>
        <w:right w:val="none" w:sz="0" w:space="0" w:color="auto"/>
      </w:divBdr>
    </w:div>
    <w:div w:id="1857960877">
      <w:bodyDiv w:val="1"/>
      <w:marLeft w:val="0"/>
      <w:marRight w:val="0"/>
      <w:marTop w:val="0"/>
      <w:marBottom w:val="0"/>
      <w:divBdr>
        <w:top w:val="none" w:sz="0" w:space="0" w:color="auto"/>
        <w:left w:val="none" w:sz="0" w:space="0" w:color="auto"/>
        <w:bottom w:val="none" w:sz="0" w:space="0" w:color="auto"/>
        <w:right w:val="none" w:sz="0" w:space="0" w:color="auto"/>
      </w:divBdr>
    </w:div>
    <w:div w:id="1870725477">
      <w:bodyDiv w:val="1"/>
      <w:marLeft w:val="0"/>
      <w:marRight w:val="0"/>
      <w:marTop w:val="0"/>
      <w:marBottom w:val="0"/>
      <w:divBdr>
        <w:top w:val="none" w:sz="0" w:space="0" w:color="auto"/>
        <w:left w:val="none" w:sz="0" w:space="0" w:color="auto"/>
        <w:bottom w:val="none" w:sz="0" w:space="0" w:color="auto"/>
        <w:right w:val="none" w:sz="0" w:space="0" w:color="auto"/>
      </w:divBdr>
    </w:div>
    <w:div w:id="1871144381">
      <w:bodyDiv w:val="1"/>
      <w:marLeft w:val="0"/>
      <w:marRight w:val="0"/>
      <w:marTop w:val="0"/>
      <w:marBottom w:val="0"/>
      <w:divBdr>
        <w:top w:val="none" w:sz="0" w:space="0" w:color="auto"/>
        <w:left w:val="none" w:sz="0" w:space="0" w:color="auto"/>
        <w:bottom w:val="none" w:sz="0" w:space="0" w:color="auto"/>
        <w:right w:val="none" w:sz="0" w:space="0" w:color="auto"/>
      </w:divBdr>
    </w:div>
    <w:div w:id="1876892386">
      <w:bodyDiv w:val="1"/>
      <w:marLeft w:val="0"/>
      <w:marRight w:val="0"/>
      <w:marTop w:val="0"/>
      <w:marBottom w:val="0"/>
      <w:divBdr>
        <w:top w:val="none" w:sz="0" w:space="0" w:color="auto"/>
        <w:left w:val="none" w:sz="0" w:space="0" w:color="auto"/>
        <w:bottom w:val="none" w:sz="0" w:space="0" w:color="auto"/>
        <w:right w:val="none" w:sz="0" w:space="0" w:color="auto"/>
      </w:divBdr>
    </w:div>
    <w:div w:id="1881432951">
      <w:bodyDiv w:val="1"/>
      <w:marLeft w:val="0"/>
      <w:marRight w:val="0"/>
      <w:marTop w:val="0"/>
      <w:marBottom w:val="0"/>
      <w:divBdr>
        <w:top w:val="none" w:sz="0" w:space="0" w:color="auto"/>
        <w:left w:val="none" w:sz="0" w:space="0" w:color="auto"/>
        <w:bottom w:val="none" w:sz="0" w:space="0" w:color="auto"/>
        <w:right w:val="none" w:sz="0" w:space="0" w:color="auto"/>
      </w:divBdr>
    </w:div>
    <w:div w:id="1946384000">
      <w:bodyDiv w:val="1"/>
      <w:marLeft w:val="0"/>
      <w:marRight w:val="0"/>
      <w:marTop w:val="0"/>
      <w:marBottom w:val="0"/>
      <w:divBdr>
        <w:top w:val="none" w:sz="0" w:space="0" w:color="auto"/>
        <w:left w:val="none" w:sz="0" w:space="0" w:color="auto"/>
        <w:bottom w:val="none" w:sz="0" w:space="0" w:color="auto"/>
        <w:right w:val="none" w:sz="0" w:space="0" w:color="auto"/>
      </w:divBdr>
      <w:divsChild>
        <w:div w:id="674958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557121">
      <w:bodyDiv w:val="1"/>
      <w:marLeft w:val="0"/>
      <w:marRight w:val="0"/>
      <w:marTop w:val="0"/>
      <w:marBottom w:val="0"/>
      <w:divBdr>
        <w:top w:val="none" w:sz="0" w:space="0" w:color="auto"/>
        <w:left w:val="none" w:sz="0" w:space="0" w:color="auto"/>
        <w:bottom w:val="none" w:sz="0" w:space="0" w:color="auto"/>
        <w:right w:val="none" w:sz="0" w:space="0" w:color="auto"/>
      </w:divBdr>
    </w:div>
    <w:div w:id="1982929501">
      <w:bodyDiv w:val="1"/>
      <w:marLeft w:val="0"/>
      <w:marRight w:val="0"/>
      <w:marTop w:val="0"/>
      <w:marBottom w:val="0"/>
      <w:divBdr>
        <w:top w:val="none" w:sz="0" w:space="0" w:color="auto"/>
        <w:left w:val="none" w:sz="0" w:space="0" w:color="auto"/>
        <w:bottom w:val="none" w:sz="0" w:space="0" w:color="auto"/>
        <w:right w:val="none" w:sz="0" w:space="0" w:color="auto"/>
      </w:divBdr>
    </w:div>
    <w:div w:id="1987464428">
      <w:bodyDiv w:val="1"/>
      <w:marLeft w:val="0"/>
      <w:marRight w:val="0"/>
      <w:marTop w:val="0"/>
      <w:marBottom w:val="0"/>
      <w:divBdr>
        <w:top w:val="none" w:sz="0" w:space="0" w:color="auto"/>
        <w:left w:val="none" w:sz="0" w:space="0" w:color="auto"/>
        <w:bottom w:val="none" w:sz="0" w:space="0" w:color="auto"/>
        <w:right w:val="none" w:sz="0" w:space="0" w:color="auto"/>
      </w:divBdr>
    </w:div>
    <w:div w:id="2012637555">
      <w:bodyDiv w:val="1"/>
      <w:marLeft w:val="0"/>
      <w:marRight w:val="0"/>
      <w:marTop w:val="0"/>
      <w:marBottom w:val="0"/>
      <w:divBdr>
        <w:top w:val="none" w:sz="0" w:space="0" w:color="auto"/>
        <w:left w:val="none" w:sz="0" w:space="0" w:color="auto"/>
        <w:bottom w:val="none" w:sz="0" w:space="0" w:color="auto"/>
        <w:right w:val="none" w:sz="0" w:space="0" w:color="auto"/>
      </w:divBdr>
    </w:div>
    <w:div w:id="2029021079">
      <w:bodyDiv w:val="1"/>
      <w:marLeft w:val="0"/>
      <w:marRight w:val="0"/>
      <w:marTop w:val="0"/>
      <w:marBottom w:val="0"/>
      <w:divBdr>
        <w:top w:val="none" w:sz="0" w:space="0" w:color="auto"/>
        <w:left w:val="none" w:sz="0" w:space="0" w:color="auto"/>
        <w:bottom w:val="none" w:sz="0" w:space="0" w:color="auto"/>
        <w:right w:val="none" w:sz="0" w:space="0" w:color="auto"/>
      </w:divBdr>
    </w:div>
    <w:div w:id="2054452507">
      <w:bodyDiv w:val="1"/>
      <w:marLeft w:val="0"/>
      <w:marRight w:val="0"/>
      <w:marTop w:val="0"/>
      <w:marBottom w:val="0"/>
      <w:divBdr>
        <w:top w:val="none" w:sz="0" w:space="0" w:color="auto"/>
        <w:left w:val="none" w:sz="0" w:space="0" w:color="auto"/>
        <w:bottom w:val="none" w:sz="0" w:space="0" w:color="auto"/>
        <w:right w:val="none" w:sz="0" w:space="0" w:color="auto"/>
      </w:divBdr>
    </w:div>
    <w:div w:id="2124690009">
      <w:bodyDiv w:val="1"/>
      <w:marLeft w:val="0"/>
      <w:marRight w:val="0"/>
      <w:marTop w:val="0"/>
      <w:marBottom w:val="0"/>
      <w:divBdr>
        <w:top w:val="none" w:sz="0" w:space="0" w:color="auto"/>
        <w:left w:val="none" w:sz="0" w:space="0" w:color="auto"/>
        <w:bottom w:val="none" w:sz="0" w:space="0" w:color="auto"/>
        <w:right w:val="none" w:sz="0" w:space="0" w:color="auto"/>
      </w:divBdr>
      <w:divsChild>
        <w:div w:id="849949025">
          <w:marLeft w:val="0"/>
          <w:marRight w:val="0"/>
          <w:marTop w:val="0"/>
          <w:marBottom w:val="0"/>
          <w:divBdr>
            <w:top w:val="none" w:sz="0" w:space="0" w:color="auto"/>
            <w:left w:val="none" w:sz="0" w:space="0" w:color="auto"/>
            <w:bottom w:val="none" w:sz="0" w:space="0" w:color="auto"/>
            <w:right w:val="none" w:sz="0" w:space="0" w:color="auto"/>
          </w:divBdr>
          <w:divsChild>
            <w:div w:id="4287166">
              <w:marLeft w:val="0"/>
              <w:marRight w:val="0"/>
              <w:marTop w:val="0"/>
              <w:marBottom w:val="0"/>
              <w:divBdr>
                <w:top w:val="none" w:sz="0" w:space="0" w:color="auto"/>
                <w:left w:val="none" w:sz="0" w:space="0" w:color="auto"/>
                <w:bottom w:val="none" w:sz="0" w:space="0" w:color="auto"/>
                <w:right w:val="none" w:sz="0" w:space="0" w:color="auto"/>
              </w:divBdr>
            </w:div>
            <w:div w:id="6519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ldas/LLM4AE"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Leihong.wu@fda.hhs.gov" TargetMode="External"/><Relationship Id="rId12" Type="http://schemas.openxmlformats.org/officeDocument/2006/relationships/image" Target="media/image3.png"/><Relationship Id="rId17" Type="http://schemas.openxmlformats.org/officeDocument/2006/relationships/hyperlink" Target="https://www.fda.gov/drugs/surveillance/fdas-adverse-event-reporting-system-faers" TargetMode="External"/><Relationship Id="rId2" Type="http://schemas.openxmlformats.org/officeDocument/2006/relationships/numbering" Target="numbering.xml"/><Relationship Id="rId16" Type="http://schemas.openxmlformats.org/officeDocument/2006/relationships/hyperlink" Target="https://github.com/seldas/LLM4AE" TargetMode="External"/><Relationship Id="rId1" Type="http://schemas.openxmlformats.org/officeDocument/2006/relationships/customXml" Target="../customXml/item1.xml"/><Relationship Id="rId6" Type="http://schemas.openxmlformats.org/officeDocument/2006/relationships/hyperlink" Target="mailto:oanh.dang@fda.hhs.gov"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docs.python.org/3/library/difflib.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BCE64-B792-4F78-A1D1-8C11F7E7E78E}">
  <ds:schemaRefs>
    <ds:schemaRef ds:uri="http://schemas.openxmlformats.org/officeDocument/2006/bibliography"/>
  </ds:schemaRefs>
</ds:datastoreItem>
</file>

<file path=docMetadata/LabelInfo.xml><?xml version="1.0" encoding="utf-8"?>
<clbl:labelList xmlns:clbl="http://schemas.microsoft.com/office/2020/mipLabelMetadata">
  <clbl:label id="{ec5e5a7a-e5c2-40a5-a786-0194463cad57}" enabled="1" method="Privileged" siteId="{7d2fdb41-339c-4257-87f2-a665730b31fc}" removed="0"/>
</clbl:labelList>
</file>

<file path=docProps/app.xml><?xml version="1.0" encoding="utf-8"?>
<Properties xmlns="http://schemas.openxmlformats.org/officeDocument/2006/extended-properties" xmlns:vt="http://schemas.openxmlformats.org/officeDocument/2006/docPropsVTypes">
  <Template>Normal</Template>
  <TotalTime>213</TotalTime>
  <Pages>26</Pages>
  <Words>9588</Words>
  <Characters>54655</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FDA Scientific Computing</Company>
  <LinksUpToDate>false</LinksUpToDate>
  <CharactersWithSpaces>64115</CharactersWithSpaces>
  <SharedDoc>false</SharedDoc>
  <HLinks>
    <vt:vector size="42" baseType="variant">
      <vt:variant>
        <vt:i4>1572951</vt:i4>
      </vt:variant>
      <vt:variant>
        <vt:i4>76</vt:i4>
      </vt:variant>
      <vt:variant>
        <vt:i4>0</vt:i4>
      </vt:variant>
      <vt:variant>
        <vt:i4>5</vt:i4>
      </vt:variant>
      <vt:variant>
        <vt:lpwstr>https://www.fda.gov/drugs/surveillance/fdas-adverse-event-reporting-system-faers</vt:lpwstr>
      </vt:variant>
      <vt:variant>
        <vt:lpwstr/>
      </vt:variant>
      <vt:variant>
        <vt:i4>1048666</vt:i4>
      </vt:variant>
      <vt:variant>
        <vt:i4>71</vt:i4>
      </vt:variant>
      <vt:variant>
        <vt:i4>0</vt:i4>
      </vt:variant>
      <vt:variant>
        <vt:i4>5</vt:i4>
      </vt:variant>
      <vt:variant>
        <vt:lpwstr>https://github.com/seldas/LLM4AE</vt:lpwstr>
      </vt:variant>
      <vt:variant>
        <vt:lpwstr/>
      </vt:variant>
      <vt:variant>
        <vt:i4>2883634</vt:i4>
      </vt:variant>
      <vt:variant>
        <vt:i4>51</vt:i4>
      </vt:variant>
      <vt:variant>
        <vt:i4>0</vt:i4>
      </vt:variant>
      <vt:variant>
        <vt:i4>5</vt:i4>
      </vt:variant>
      <vt:variant>
        <vt:lpwstr>https://docs.python.org/3/library/difflib.html</vt:lpwstr>
      </vt:variant>
      <vt:variant>
        <vt:lpwstr/>
      </vt:variant>
      <vt:variant>
        <vt:i4>1900613</vt:i4>
      </vt:variant>
      <vt:variant>
        <vt:i4>48</vt:i4>
      </vt:variant>
      <vt:variant>
        <vt:i4>0</vt:i4>
      </vt:variant>
      <vt:variant>
        <vt:i4>5</vt:i4>
      </vt:variant>
      <vt:variant>
        <vt:lpwstr>https://huggingface.co/collections/meta-llama/llama-4</vt:lpwstr>
      </vt:variant>
      <vt:variant>
        <vt:lpwstr/>
      </vt:variant>
      <vt:variant>
        <vt:i4>1048666</vt:i4>
      </vt:variant>
      <vt:variant>
        <vt:i4>42</vt:i4>
      </vt:variant>
      <vt:variant>
        <vt:i4>0</vt:i4>
      </vt:variant>
      <vt:variant>
        <vt:i4>5</vt:i4>
      </vt:variant>
      <vt:variant>
        <vt:lpwstr>https://github.com/seldas/LLM4AE</vt:lpwstr>
      </vt:variant>
      <vt:variant>
        <vt:lpwstr/>
      </vt:variant>
      <vt:variant>
        <vt:i4>3866633</vt:i4>
      </vt:variant>
      <vt:variant>
        <vt:i4>3</vt:i4>
      </vt:variant>
      <vt:variant>
        <vt:i4>0</vt:i4>
      </vt:variant>
      <vt:variant>
        <vt:i4>5</vt:i4>
      </vt:variant>
      <vt:variant>
        <vt:lpwstr>mailto:Leihong.wu@fda.hhs.gov</vt:lpwstr>
      </vt:variant>
      <vt:variant>
        <vt:lpwstr/>
      </vt:variant>
      <vt:variant>
        <vt:i4>4587626</vt:i4>
      </vt:variant>
      <vt:variant>
        <vt:i4>0</vt:i4>
      </vt:variant>
      <vt:variant>
        <vt:i4>0</vt:i4>
      </vt:variant>
      <vt:variant>
        <vt:i4>5</vt:i4>
      </vt:variant>
      <vt:variant>
        <vt:lpwstr>mailto:oanh.dang@fda.hhs.gov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Leihong</dc:creator>
  <cp:keywords/>
  <dc:description/>
  <cp:lastModifiedBy>leihong wu</cp:lastModifiedBy>
  <cp:revision>104</cp:revision>
  <dcterms:created xsi:type="dcterms:W3CDTF">2026-08-31T18:35:00Z</dcterms:created>
  <dcterms:modified xsi:type="dcterms:W3CDTF">2026-09-01T00:37:00Z</dcterms:modified>
</cp:coreProperties>
</file>