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lastRenderedPageBreak/>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1281CA1E"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2F5EAC84" w14:textId="6DE96025"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203BC227" w14:textId="7610C9DF"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5DA684D7" w14:textId="77777777" w:rsidR="00D33BA7" w:rsidRDefault="00D33BA7">
      <w:r>
        <w:br w:type="page"/>
      </w:r>
    </w:p>
    <w:p w14:paraId="46652BE4" w14:textId="5CE64A66" w:rsidR="00F542BE" w:rsidRDefault="00F542BE">
      <w:r w:rsidRPr="00F542BE">
        <w:rPr>
          <w:b/>
          <w:bCs/>
        </w:rPr>
        <w:lastRenderedPageBreak/>
        <w:t>Key</w:t>
      </w:r>
      <w:r w:rsidR="00D13299">
        <w:rPr>
          <w:b/>
          <w:bCs/>
        </w:rPr>
        <w:t xml:space="preserve"> </w:t>
      </w:r>
      <w:r w:rsidRPr="00F542BE">
        <w:rPr>
          <w:b/>
          <w:bCs/>
        </w:rPr>
        <w:t>points</w:t>
      </w:r>
      <w:r>
        <w:t>:</w:t>
      </w:r>
    </w:p>
    <w:p w14:paraId="2A881B74" w14:textId="6567F319"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5FE5F07B"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44D54D1"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 xml:space="preserve">Recent models based on transformers, such as BERT, </w:t>
      </w:r>
      <w:proofErr w:type="spellStart"/>
      <w:r w:rsidRPr="00533B1D">
        <w:t>BioBERT</w:t>
      </w:r>
      <w:proofErr w:type="spellEnd"/>
      <w:r w:rsidRPr="00533B1D">
        <w:t xml:space="preserve">, and </w:t>
      </w:r>
      <w:proofErr w:type="spellStart"/>
      <w:r w:rsidRPr="00533B1D">
        <w:t>ClinicalBERT</w:t>
      </w:r>
      <w:proofErr w:type="spellEnd"/>
      <w:r w:rsidRPr="00533B1D">
        <w: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913BDE5"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zero-shot, instruction-tuned LLM, and a fine-tuned </w:t>
      </w:r>
      <w:r w:rsidR="003C2DC8">
        <w:t>BERT</w:t>
      </w:r>
      <w:r w:rsidRPr="00533B1D">
        <w:t xml:space="preserve"> NER model trained on our human-annotated corpora. </w:t>
      </w:r>
      <w:r w:rsidR="00C43059">
        <w:t xml:space="preserve">Particularly, we randomly selected 80% of the annotated data to train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lastRenderedPageBreak/>
        <w:t>2. Materials and Methods</w:t>
      </w:r>
    </w:p>
    <w:p w14:paraId="4FF79DB9" w14:textId="77777777" w:rsidR="00182ADC" w:rsidRDefault="00182ADC" w:rsidP="00182ADC">
      <w:pPr>
        <w:pStyle w:val="Heading2"/>
      </w:pPr>
      <w:r w:rsidRPr="00182ADC">
        <w:t>2.1 Datasets</w:t>
      </w:r>
    </w:p>
    <w:p w14:paraId="1126D410" w14:textId="4643B123"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F6FC434" w14:textId="77777777" w:rsidR="00C05C07" w:rsidRDefault="00C05C07" w:rsidP="00514A36"/>
    <w:p w14:paraId="44307665" w14:textId="18A2838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00B69AA3"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pPr>
            <w:r w:rsidRPr="00960837">
              <w:t>Statistic</w:t>
            </w:r>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73F19D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pPr>
            <w:r>
              <w:t>#R</w:t>
            </w:r>
            <w:r w:rsidR="00960837" w:rsidRPr="00960837">
              <w:t>eports</w:t>
            </w:r>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40A2A8D0"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pPr>
            <w:r w:rsidRPr="00960837">
              <w:t>Total tokens</w:t>
            </w:r>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2446CD45"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pPr>
            <w:r w:rsidRPr="00960837">
              <w:t>Total sentences</w:t>
            </w:r>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021BA079"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DE47BF4"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1381A2CF"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6374251E" w14:textId="1AB80010" w:rsidR="00C1414F" w:rsidRPr="00960837" w:rsidRDefault="00C1414F" w:rsidP="00C1414F">
            <w:r>
              <w:t>SME</w:t>
            </w:r>
            <w:r w:rsidRPr="00FF17F1">
              <w:t xml:space="preserve"> annotations</w:t>
            </w:r>
          </w:p>
        </w:tc>
        <w:tc>
          <w:tcPr>
            <w:tcW w:w="2276" w:type="dxa"/>
          </w:tcPr>
          <w:p w14:paraId="79C0D247" w14:textId="61E5A6DE"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36,425</w:t>
            </w:r>
          </w:p>
        </w:tc>
        <w:tc>
          <w:tcPr>
            <w:tcW w:w="2835" w:type="dxa"/>
          </w:tcPr>
          <w:p w14:paraId="754FDA96" w14:textId="423F7900"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150ED41"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6F4F8B7B" w14:textId="73F00A31" w:rsidR="0050465D" w:rsidRPr="00960837" w:rsidRDefault="0050465D" w:rsidP="0050465D">
            <w:r>
              <w:t>Unique AE terms</w:t>
            </w:r>
          </w:p>
        </w:tc>
        <w:tc>
          <w:tcPr>
            <w:tcW w:w="2276" w:type="dxa"/>
          </w:tcPr>
          <w:p w14:paraId="59A6D4EF" w14:textId="11F72ED4"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7043BA59" w14:textId="52CC37DB"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7505501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48AAB972" w14:textId="79B6F85F" w:rsidR="0050465D" w:rsidRPr="00960837" w:rsidRDefault="0050465D" w:rsidP="0050465D">
            <w:r>
              <w:t>Unique Drug</w:t>
            </w:r>
            <w:r w:rsidR="0080492C">
              <w:t xml:space="preserve">/Vaccine </w:t>
            </w:r>
            <w:r>
              <w:t>terms</w:t>
            </w:r>
          </w:p>
        </w:tc>
        <w:tc>
          <w:tcPr>
            <w:tcW w:w="2276" w:type="dxa"/>
          </w:tcPr>
          <w:p w14:paraId="5899145E" w14:textId="7F87B94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3AF3EB5" w14:textId="14DBC824"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6EB0E278" w14:textId="77777777" w:rsidR="00960837" w:rsidRPr="00766689" w:rsidRDefault="00960837" w:rsidP="00514A36"/>
    <w:p w14:paraId="749EDE3D" w14:textId="366DA7C6"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w:t>
      </w:r>
      <w:proofErr w:type="spellStart"/>
      <w:r w:rsidR="00827CB2" w:rsidRPr="00182ADC">
        <w:t>Erenumab</w:t>
      </w:r>
      <w:proofErr w:type="spellEnd"/>
      <w:r w:rsidR="00827CB2" w:rsidRPr="00182ADC">
        <w:t>–stroke.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 xml:space="preserve">Across the FAERS corpus, the expert reference set contained 36,425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22E9F2D0" w14:textId="383CE31F"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2085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61A7EF20" w14:textId="77777777" w:rsidR="0010317B" w:rsidRPr="00C31354" w:rsidRDefault="0010317B" w:rsidP="009C1AEA"/>
    <w:p w14:paraId="15CAD4A9" w14:textId="77777777" w:rsidR="00182ADC" w:rsidRPr="00182ADC" w:rsidRDefault="00182ADC" w:rsidP="00182ADC">
      <w:pPr>
        <w:pStyle w:val="Heading2"/>
      </w:pPr>
      <w:r w:rsidRPr="00182ADC">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27CA193E" w:rsidR="00182ADC" w:rsidRPr="005064A1" w:rsidRDefault="00F81AD3" w:rsidP="00182ADC">
      <w:pPr>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65CC7FB4"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(Llama-4-Maverick-17B-128E-Instruct-FP8</w:t>
      </w:r>
      <w:r w:rsidR="00C4354E">
        <w:t xml:space="preserve">, </w:t>
      </w:r>
      <w:hyperlink r:id="rId10">
        <w:r w:rsidR="00313F76" w:rsidRPr="147CEA42">
          <w:rPr>
            <w:rStyle w:val="Hyperlink"/>
          </w:rPr>
          <w:t>https://huggingface.co/collections/meta-llama/llama-4</w:t>
        </w:r>
      </w:hyperlink>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proofErr w:type="gramStart"/>
      <w:r w:rsidR="00182ADC" w:rsidRPr="00182ADC">
        <w:t xml:space="preserve">The </w:t>
      </w:r>
      <w:r w:rsidR="00416F6F" w:rsidRPr="003C1680">
        <w:rPr>
          <w:i/>
          <w:color w:val="7030A0"/>
        </w:rPr>
        <w:t xml:space="preserve"> </w:t>
      </w:r>
      <w:r w:rsidR="00416F6F" w:rsidRPr="00B3092F">
        <w:rPr>
          <w:iCs/>
          <w:color w:val="7030A0"/>
        </w:rPr>
        <w:t>LLM</w:t>
      </w:r>
      <w:proofErr w:type="gramEnd"/>
      <w:r w:rsidR="00416F6F" w:rsidRPr="00B3092F">
        <w:rPr>
          <w:iCs/>
          <w:color w:val="7030A0"/>
        </w:rPr>
        <w:t xml:space="preserve"> was prompted to</w:t>
      </w:r>
      <w:r w:rsidR="00416F6F" w:rsidRPr="003C1680">
        <w:rPr>
          <w:i/>
          <w:color w:val="7030A0"/>
        </w:rPr>
        <w:t xml:space="preserve"> </w:t>
      </w:r>
      <w:r w:rsidR="00182ADC" w:rsidRPr="00182ADC">
        <w:t>insert tags around identified entities without altering the surrounding text</w:t>
      </w:r>
      <w:r w:rsidR="00416F6F">
        <w:t xml:space="preserve"> </w:t>
      </w:r>
      <w:r w:rsidR="00416F6F" w:rsidRPr="007B01C6">
        <w:rPr>
          <w:iCs/>
          <w:color w:val="7030A0"/>
        </w:rPr>
        <w:t>("</w:t>
      </w:r>
      <w:r w:rsidR="00754828" w:rsidRPr="00754828">
        <w:rPr>
          <w:iCs/>
          <w:color w:val="7030A0"/>
        </w:rPr>
        <w:t>Apart from the inserted annotation tags, every character of the original narrative must remain unchanged.</w:t>
      </w:r>
      <w:r w:rsidR="00416F6F" w:rsidRPr="007B01C6">
        <w:rPr>
          <w:iCs/>
          <w:color w:val="7030A0"/>
        </w:rPr>
        <w:t>")</w:t>
      </w:r>
      <w:r w:rsidR="00182ADC" w:rsidRPr="00B3092F">
        <w:rPr>
          <w:iCs/>
        </w:rPr>
        <w:t>.</w:t>
      </w:r>
      <w:r w:rsidR="00182ADC" w:rsidRPr="00182ADC">
        <w:t xml:space="preserve"> After annotation, </w:t>
      </w:r>
      <w:r w:rsidR="00F230EE">
        <w:rPr>
          <w:color w:val="7030A0"/>
        </w:rPr>
        <w:t xml:space="preserve">we </w:t>
      </w:r>
      <w:r w:rsidR="004328F1" w:rsidRPr="007B01C6">
        <w:rPr>
          <w:color w:val="7030A0"/>
        </w:rPr>
        <w:t>compute a character-level mapping between the LLM's tag-stripped output and the original page tex</w:t>
      </w:r>
      <w:r w:rsidR="00B3092F" w:rsidRPr="007B01C6">
        <w:rPr>
          <w:color w:val="7030A0"/>
        </w:rPr>
        <w:t>t</w:t>
      </w:r>
      <w:r w:rsidR="00B3092F">
        <w:rPr>
          <w:i/>
          <w:color w:val="7030A0"/>
        </w:rPr>
        <w:t>,</w:t>
      </w:r>
      <w:r w:rsidR="00182ADC" w:rsidRPr="00182ADC">
        <w:t xml:space="preserve"> using the </w:t>
      </w:r>
      <w:proofErr w:type="spellStart"/>
      <w:r w:rsidR="00182ADC" w:rsidRPr="00182ADC">
        <w:t>SequenceMatcher</w:t>
      </w:r>
      <w:proofErr w:type="spellEnd"/>
      <w:r w:rsidR="00182ADC" w:rsidRPr="00182ADC">
        <w:t xml:space="preserve"> function from the </w:t>
      </w:r>
      <w:proofErr w:type="spellStart"/>
      <w:r w:rsidR="00182ADC" w:rsidRPr="00182ADC">
        <w:rPr>
          <w:i/>
          <w:iCs/>
        </w:rPr>
        <w:t>difflib</w:t>
      </w:r>
      <w:proofErr w:type="spellEnd"/>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4DB06FEA" w14:textId="6A423C0A" w:rsidR="00D1091A" w:rsidRPr="005064A1" w:rsidRDefault="00D1091A" w:rsidP="005064A1">
      <w:pPr>
        <w:spacing w:line="240" w:lineRule="auto"/>
        <w:rPr>
          <w:sz w:val="20"/>
          <w:szCs w:val="20"/>
        </w:rPr>
      </w:pPr>
      <w:r>
        <w:t>Figure 2.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47F4D396" w14:textId="77777777" w:rsidR="00353FAE" w:rsidRDefault="00353FAE" w:rsidP="00182ADC"/>
    <w:p w14:paraId="59D977F8" w14:textId="1A28515A" w:rsidR="000A022B" w:rsidRDefault="009102DE" w:rsidP="00182ADC">
      <w:r>
        <w:t xml:space="preserve">Third, BERT-based NER </w:t>
      </w:r>
      <w:r w:rsidR="00EE3273" w:rsidRPr="00EE3273">
        <w:t>model</w:t>
      </w:r>
      <w:r w:rsidR="002A3DA8">
        <w:t>s</w:t>
      </w:r>
      <w:r w:rsidR="00EE3273" w:rsidRPr="00EE3273">
        <w:t xml:space="preserve"> w</w:t>
      </w:r>
      <w:r>
        <w:t>ere</w:t>
      </w:r>
      <w:r w:rsidR="00EE3273" w:rsidRPr="00EE3273">
        <w:t xml:space="preserve"> implemented using the </w:t>
      </w:r>
      <w:proofErr w:type="spellStart"/>
      <w:r w:rsidR="00EE3273" w:rsidRPr="00EE3273">
        <w:t>spaCy</w:t>
      </w:r>
      <w:proofErr w:type="spellEnd"/>
      <w:r w:rsidR="00EE3273" w:rsidRPr="00EE3273">
        <w:t xml:space="preserve"> transformer pipeline (TransformerModel</w:t>
      </w:r>
      <w:r w:rsidR="00A36E69">
        <w:t>.</w:t>
      </w:r>
      <w:r w:rsidR="00EE3273" w:rsidRPr="00EE3273">
        <w:t>v3) for FAERS and VAERS</w:t>
      </w:r>
      <w:r w:rsidR="002A3DA8">
        <w:t xml:space="preserve"> datasets. </w:t>
      </w:r>
      <w:r w:rsidR="00C04CE9" w:rsidRPr="00182ADC">
        <w:t xml:space="preserve">Narratives were tokenized and </w:t>
      </w:r>
      <w:r w:rsidR="00C04CE9" w:rsidRPr="00182ADC">
        <w:lastRenderedPageBreak/>
        <w:t>aligned with span annotations. Entities were converted to the BIO tagging scheme for model input. All preprocessing steps were standardized to ensure reproducibility.</w:t>
      </w:r>
      <w:r w:rsidR="00C04CE9">
        <w:t xml:space="preserve"> </w:t>
      </w:r>
    </w:p>
    <w:p w14:paraId="203AB035" w14:textId="3DA9BF92"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xml:space="preserve">, </w:t>
      </w:r>
      <w:proofErr w:type="spellStart"/>
      <w:r w:rsidRPr="00182ADC">
        <w:t>BioBERT</w:t>
      </w:r>
      <w:proofErr w:type="spellEnd"/>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xml:space="preserve">, </w:t>
      </w:r>
      <w:proofErr w:type="spellStart"/>
      <w:r w:rsidRPr="00182ADC">
        <w:t>ClinicalBERT</w:t>
      </w:r>
      <w:proofErr w:type="spellEnd"/>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xml:space="preserve">, and </w:t>
      </w:r>
      <w:proofErr w:type="spellStart"/>
      <w:r w:rsidRPr="00182ADC">
        <w:t>Bio_ClinicalBERT</w:t>
      </w:r>
      <w:proofErr w:type="spellEnd"/>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w:t>
      </w:r>
      <w:proofErr w:type="spellStart"/>
      <w:r w:rsidRPr="00182ADC">
        <w:t>BioBERT</w:t>
      </w:r>
      <w:proofErr w:type="spellEnd"/>
      <w:r w:rsidRPr="00182ADC">
        <w:t xml:space="preserve">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6E5A6798"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74D78665" w14:textId="3AF70C6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171BAC7A" w14:textId="77777777" w:rsidR="00D87E23" w:rsidRPr="005064A1" w:rsidRDefault="00D87E23" w:rsidP="00D87E23">
      <w:pPr>
        <w:rPr>
          <w:iCs/>
        </w:rPr>
      </w:pPr>
      <w:r w:rsidRPr="005064A1">
        <w:rPr>
          <w:iCs/>
        </w:rPr>
        <w:lastRenderedPageBreak/>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14F92EBA" w14:textId="2C541B02"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5B9A143D" w14:textId="06BC00B4"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3DC5BD00" w14:textId="77777777" w:rsidR="00FC0890" w:rsidRPr="005064A1" w:rsidRDefault="00FC0890" w:rsidP="00D87E23">
      <w:pPr>
        <w:rPr>
          <w:iCs/>
        </w:rPr>
      </w:pPr>
    </w:p>
    <w:p w14:paraId="66BD0027"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0E324B95" w14:textId="1F32D14D"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A8A4B40" w14:textId="5F5DB15C"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2254C82E" w14:textId="77777777" w:rsidR="004B03A5" w:rsidRPr="005064A1" w:rsidRDefault="004B03A5" w:rsidP="00595C3A">
      <w:pPr>
        <w:rPr>
          <w:iCs/>
        </w:rPr>
      </w:pPr>
    </w:p>
    <w:p w14:paraId="0F8C4925" w14:textId="3F4CDFC5"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5B50C776" w14:textId="77777777" w:rsidR="002F7410" w:rsidRDefault="002F7410" w:rsidP="00600CBF"/>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71D83B68"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5A48AFDB" w14:textId="0F6BFEC5"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TableGridLight"/>
        <w:tblW w:w="5000" w:type="pct"/>
        <w:tblLook w:val="04A0" w:firstRow="1" w:lastRow="0" w:firstColumn="1" w:lastColumn="0" w:noHBand="0" w:noVBand="1"/>
      </w:tblPr>
      <w:tblGrid>
        <w:gridCol w:w="4315"/>
        <w:gridCol w:w="1710"/>
        <w:gridCol w:w="1620"/>
        <w:gridCol w:w="1705"/>
      </w:tblGrid>
      <w:tr w:rsidR="001A1E2A" w:rsidRPr="001A1E2A" w14:paraId="3DBD0BA5" w14:textId="77777777" w:rsidTr="00BF4671">
        <w:trPr>
          <w:trHeight w:val="20"/>
        </w:trPr>
        <w:tc>
          <w:tcPr>
            <w:tcW w:w="2307" w:type="pct"/>
            <w:hideMark/>
          </w:tcPr>
          <w:p w14:paraId="19835E93" w14:textId="77777777" w:rsidR="001A1E2A" w:rsidRPr="001A1E2A" w:rsidRDefault="001A1E2A" w:rsidP="0045115B">
            <w:pPr>
              <w:contextualSpacing/>
              <w:jc w:val="right"/>
              <w:rPr>
                <w:b/>
                <w:bCs/>
              </w:rPr>
            </w:pPr>
            <w:r w:rsidRPr="001A1E2A">
              <w:rPr>
                <w:b/>
                <w:bCs/>
              </w:rPr>
              <w:t>Category</w:t>
            </w:r>
          </w:p>
        </w:tc>
        <w:tc>
          <w:tcPr>
            <w:tcW w:w="914" w:type="pct"/>
            <w:hideMark/>
          </w:tcPr>
          <w:p w14:paraId="5FCFE23A" w14:textId="514960D6" w:rsidR="001A1E2A" w:rsidRPr="001A1E2A" w:rsidRDefault="001A1E2A" w:rsidP="001A1E2A">
            <w:pPr>
              <w:contextualSpacing/>
              <w:rPr>
                <w:b/>
                <w:bCs/>
              </w:rPr>
            </w:pPr>
            <w:r w:rsidRPr="001A1E2A">
              <w:rPr>
                <w:b/>
                <w:bCs/>
              </w:rPr>
              <w:t>Human</w:t>
            </w:r>
          </w:p>
        </w:tc>
        <w:tc>
          <w:tcPr>
            <w:tcW w:w="866" w:type="pct"/>
            <w:hideMark/>
          </w:tcPr>
          <w:p w14:paraId="4526A715" w14:textId="77777777" w:rsidR="001A1E2A" w:rsidRPr="001A1E2A" w:rsidRDefault="001A1E2A" w:rsidP="001A1E2A">
            <w:pPr>
              <w:contextualSpacing/>
              <w:rPr>
                <w:b/>
                <w:bCs/>
              </w:rPr>
            </w:pPr>
            <w:r w:rsidRPr="001A1E2A">
              <w:rPr>
                <w:b/>
                <w:bCs/>
              </w:rPr>
              <w:t>ETHER</w:t>
            </w:r>
          </w:p>
        </w:tc>
        <w:tc>
          <w:tcPr>
            <w:tcW w:w="912" w:type="pct"/>
            <w:hideMark/>
          </w:tcPr>
          <w:p w14:paraId="76E4AC90" w14:textId="77777777" w:rsidR="001A1E2A" w:rsidRPr="001A1E2A" w:rsidRDefault="001A1E2A" w:rsidP="001A1E2A">
            <w:pPr>
              <w:contextualSpacing/>
              <w:rPr>
                <w:b/>
                <w:bCs/>
              </w:rPr>
            </w:pPr>
            <w:r w:rsidRPr="001A1E2A">
              <w:rPr>
                <w:b/>
                <w:bCs/>
              </w:rPr>
              <w:t>LLM</w:t>
            </w:r>
          </w:p>
        </w:tc>
      </w:tr>
      <w:tr w:rsidR="008011B4" w:rsidRPr="001A1E2A" w14:paraId="23EA5C88" w14:textId="77777777" w:rsidTr="008011B4">
        <w:trPr>
          <w:trHeight w:val="20"/>
        </w:trPr>
        <w:tc>
          <w:tcPr>
            <w:tcW w:w="2307" w:type="pct"/>
            <w:hideMark/>
          </w:tcPr>
          <w:p w14:paraId="65D0A0E8" w14:textId="77777777" w:rsidR="008011B4" w:rsidRPr="001A1E2A" w:rsidRDefault="008011B4" w:rsidP="0045115B">
            <w:pPr>
              <w:contextualSpacing/>
              <w:jc w:val="right"/>
            </w:pPr>
            <w:proofErr w:type="spellStart"/>
            <w:r w:rsidRPr="001A1E2A">
              <w:t>SDrug</w:t>
            </w:r>
            <w:proofErr w:type="spellEnd"/>
          </w:p>
        </w:tc>
        <w:tc>
          <w:tcPr>
            <w:tcW w:w="914" w:type="pct"/>
            <w:hideMark/>
          </w:tcPr>
          <w:p w14:paraId="0FB9DC8B" w14:textId="77777777" w:rsidR="008011B4" w:rsidRPr="001A1E2A" w:rsidRDefault="008011B4" w:rsidP="001A1E2A">
            <w:pPr>
              <w:contextualSpacing/>
            </w:pPr>
            <w:r w:rsidRPr="001A1E2A">
              <w:t>3,501</w:t>
            </w:r>
          </w:p>
        </w:tc>
        <w:tc>
          <w:tcPr>
            <w:tcW w:w="866" w:type="pct"/>
            <w:vMerge w:val="restart"/>
            <w:vAlign w:val="center"/>
            <w:hideMark/>
          </w:tcPr>
          <w:p w14:paraId="684E886D" w14:textId="1EF57810" w:rsidR="008011B4" w:rsidRPr="001A1E2A" w:rsidRDefault="008011B4" w:rsidP="008011B4">
            <w:pPr>
              <w:contextualSpacing/>
            </w:pPr>
            <w:r>
              <w:t>17164</w:t>
            </w:r>
            <w:r w:rsidRPr="001A1E2A">
              <w:t>†</w:t>
            </w:r>
          </w:p>
        </w:tc>
        <w:tc>
          <w:tcPr>
            <w:tcW w:w="912" w:type="pct"/>
            <w:hideMark/>
          </w:tcPr>
          <w:p w14:paraId="27D4A5D3" w14:textId="77777777" w:rsidR="008011B4" w:rsidRPr="001A1E2A" w:rsidRDefault="008011B4" w:rsidP="001A1E2A">
            <w:pPr>
              <w:contextualSpacing/>
            </w:pPr>
            <w:r w:rsidRPr="001A1E2A">
              <w:t>2,181</w:t>
            </w:r>
          </w:p>
        </w:tc>
      </w:tr>
      <w:tr w:rsidR="008011B4" w:rsidRPr="001A1E2A" w14:paraId="0760EFD8" w14:textId="77777777" w:rsidTr="00BF4671">
        <w:trPr>
          <w:trHeight w:val="20"/>
        </w:trPr>
        <w:tc>
          <w:tcPr>
            <w:tcW w:w="2307" w:type="pct"/>
            <w:hideMark/>
          </w:tcPr>
          <w:p w14:paraId="70EC8ED1" w14:textId="77777777" w:rsidR="008011B4" w:rsidRPr="001A1E2A" w:rsidRDefault="008011B4" w:rsidP="0045115B">
            <w:pPr>
              <w:contextualSpacing/>
              <w:jc w:val="right"/>
            </w:pPr>
            <w:proofErr w:type="spellStart"/>
            <w:r w:rsidRPr="001A1E2A">
              <w:t>CDrug</w:t>
            </w:r>
            <w:proofErr w:type="spellEnd"/>
          </w:p>
        </w:tc>
        <w:tc>
          <w:tcPr>
            <w:tcW w:w="914" w:type="pct"/>
            <w:hideMark/>
          </w:tcPr>
          <w:p w14:paraId="3E2FD7B8" w14:textId="77777777" w:rsidR="008011B4" w:rsidRPr="001A1E2A" w:rsidRDefault="008011B4" w:rsidP="001A1E2A">
            <w:pPr>
              <w:contextualSpacing/>
            </w:pPr>
            <w:r w:rsidRPr="001A1E2A">
              <w:t>2,928</w:t>
            </w:r>
          </w:p>
        </w:tc>
        <w:tc>
          <w:tcPr>
            <w:tcW w:w="866" w:type="pct"/>
            <w:vMerge/>
            <w:hideMark/>
          </w:tcPr>
          <w:p w14:paraId="4C7387FB" w14:textId="4A11CEC6" w:rsidR="008011B4" w:rsidRPr="001A1E2A" w:rsidRDefault="008011B4" w:rsidP="001A1E2A">
            <w:pPr>
              <w:contextualSpacing/>
            </w:pPr>
          </w:p>
        </w:tc>
        <w:tc>
          <w:tcPr>
            <w:tcW w:w="912" w:type="pct"/>
            <w:hideMark/>
          </w:tcPr>
          <w:p w14:paraId="073495BC" w14:textId="77777777" w:rsidR="008011B4" w:rsidRPr="001A1E2A" w:rsidRDefault="008011B4" w:rsidP="001A1E2A">
            <w:pPr>
              <w:contextualSpacing/>
            </w:pPr>
            <w:r w:rsidRPr="001A1E2A">
              <w:t>2,491</w:t>
            </w:r>
          </w:p>
        </w:tc>
      </w:tr>
      <w:tr w:rsidR="008011B4" w:rsidRPr="001A1E2A" w14:paraId="51080374" w14:textId="77777777" w:rsidTr="00BF4671">
        <w:trPr>
          <w:trHeight w:val="20"/>
        </w:trPr>
        <w:tc>
          <w:tcPr>
            <w:tcW w:w="2307" w:type="pct"/>
            <w:hideMark/>
          </w:tcPr>
          <w:p w14:paraId="2CDDDAD5" w14:textId="5C97F4EC" w:rsidR="008011B4" w:rsidRPr="001A1E2A" w:rsidRDefault="008011B4" w:rsidP="0045115B">
            <w:pPr>
              <w:contextualSpacing/>
              <w:jc w:val="right"/>
            </w:pPr>
            <w:proofErr w:type="spellStart"/>
            <w:r>
              <w:t>Odrug</w:t>
            </w:r>
            <w:proofErr w:type="spellEnd"/>
            <w:r w:rsidRPr="001A1E2A">
              <w:t xml:space="preserve"> </w:t>
            </w:r>
          </w:p>
        </w:tc>
        <w:tc>
          <w:tcPr>
            <w:tcW w:w="914" w:type="pct"/>
            <w:hideMark/>
          </w:tcPr>
          <w:p w14:paraId="5620DB0B" w14:textId="77777777" w:rsidR="008011B4" w:rsidRPr="001A1E2A" w:rsidRDefault="008011B4" w:rsidP="001A1E2A">
            <w:pPr>
              <w:contextualSpacing/>
            </w:pPr>
            <w:r w:rsidRPr="001A1E2A">
              <w:t>245</w:t>
            </w:r>
          </w:p>
        </w:tc>
        <w:tc>
          <w:tcPr>
            <w:tcW w:w="866" w:type="pct"/>
            <w:vMerge/>
            <w:hideMark/>
          </w:tcPr>
          <w:p w14:paraId="458021A4" w14:textId="1460DFEC" w:rsidR="008011B4" w:rsidRPr="001A1E2A" w:rsidRDefault="008011B4" w:rsidP="001A1E2A">
            <w:pPr>
              <w:contextualSpacing/>
            </w:pPr>
          </w:p>
        </w:tc>
        <w:tc>
          <w:tcPr>
            <w:tcW w:w="912" w:type="pct"/>
            <w:hideMark/>
          </w:tcPr>
          <w:p w14:paraId="5F9778F4" w14:textId="34D76606" w:rsidR="008011B4" w:rsidRPr="001A1E2A" w:rsidRDefault="008011B4" w:rsidP="001A1E2A">
            <w:pPr>
              <w:contextualSpacing/>
            </w:pPr>
            <w:r w:rsidRPr="001A1E2A">
              <w:t>1,310</w:t>
            </w:r>
          </w:p>
        </w:tc>
      </w:tr>
      <w:tr w:rsidR="001A1E2A" w:rsidRPr="001A1E2A" w14:paraId="1D8B6CBD" w14:textId="77777777" w:rsidTr="00BF4671">
        <w:trPr>
          <w:trHeight w:val="20"/>
        </w:trPr>
        <w:tc>
          <w:tcPr>
            <w:tcW w:w="2307" w:type="pct"/>
            <w:hideMark/>
          </w:tcPr>
          <w:p w14:paraId="2593F858" w14:textId="77777777" w:rsidR="001A1E2A" w:rsidRPr="001A1E2A" w:rsidRDefault="001A1E2A" w:rsidP="0045115B">
            <w:pPr>
              <w:contextualSpacing/>
              <w:jc w:val="right"/>
            </w:pPr>
            <w:r w:rsidRPr="001A1E2A">
              <w:t>Dose</w:t>
            </w:r>
          </w:p>
        </w:tc>
        <w:tc>
          <w:tcPr>
            <w:tcW w:w="914" w:type="pct"/>
            <w:hideMark/>
          </w:tcPr>
          <w:p w14:paraId="38AAFE5E" w14:textId="77777777" w:rsidR="001A1E2A" w:rsidRPr="001A1E2A" w:rsidRDefault="001A1E2A" w:rsidP="001A1E2A">
            <w:pPr>
              <w:contextualSpacing/>
            </w:pPr>
            <w:r w:rsidRPr="001A1E2A">
              <w:t>1,621</w:t>
            </w:r>
          </w:p>
        </w:tc>
        <w:tc>
          <w:tcPr>
            <w:tcW w:w="866" w:type="pct"/>
            <w:hideMark/>
          </w:tcPr>
          <w:p w14:paraId="12ED310C" w14:textId="77777777" w:rsidR="001A1E2A" w:rsidRPr="001A1E2A" w:rsidRDefault="001A1E2A" w:rsidP="001A1E2A">
            <w:pPr>
              <w:contextualSpacing/>
            </w:pPr>
            <w:r w:rsidRPr="001A1E2A">
              <w:t>n/a</w:t>
            </w:r>
          </w:p>
        </w:tc>
        <w:tc>
          <w:tcPr>
            <w:tcW w:w="912" w:type="pct"/>
            <w:hideMark/>
          </w:tcPr>
          <w:p w14:paraId="307F451E" w14:textId="77777777" w:rsidR="001A1E2A" w:rsidRPr="001A1E2A" w:rsidRDefault="001A1E2A" w:rsidP="001A1E2A">
            <w:pPr>
              <w:contextualSpacing/>
            </w:pPr>
            <w:r w:rsidRPr="001A1E2A">
              <w:t>2,057</w:t>
            </w:r>
          </w:p>
        </w:tc>
      </w:tr>
      <w:tr w:rsidR="00BF4671" w:rsidRPr="001A1E2A" w14:paraId="4484193C" w14:textId="77777777" w:rsidTr="00BF4671">
        <w:trPr>
          <w:trHeight w:val="20"/>
        </w:trPr>
        <w:tc>
          <w:tcPr>
            <w:tcW w:w="2307" w:type="pct"/>
            <w:hideMark/>
          </w:tcPr>
          <w:p w14:paraId="08D7442A" w14:textId="77777777" w:rsidR="001A1E2A" w:rsidRPr="001A1E2A" w:rsidRDefault="001A1E2A" w:rsidP="0045115B">
            <w:pPr>
              <w:contextualSpacing/>
              <w:jc w:val="right"/>
            </w:pPr>
            <w:r w:rsidRPr="001A1E2A">
              <w:t>Indication</w:t>
            </w:r>
          </w:p>
        </w:tc>
        <w:tc>
          <w:tcPr>
            <w:tcW w:w="914" w:type="pct"/>
            <w:hideMark/>
          </w:tcPr>
          <w:p w14:paraId="455EA6E5" w14:textId="77777777" w:rsidR="001A1E2A" w:rsidRPr="001A1E2A" w:rsidRDefault="001A1E2A" w:rsidP="001A1E2A">
            <w:pPr>
              <w:contextualSpacing/>
            </w:pPr>
            <w:r w:rsidRPr="001A1E2A">
              <w:t>162</w:t>
            </w:r>
          </w:p>
        </w:tc>
        <w:tc>
          <w:tcPr>
            <w:tcW w:w="866" w:type="pct"/>
            <w:hideMark/>
          </w:tcPr>
          <w:p w14:paraId="5B357C67" w14:textId="77777777" w:rsidR="001A1E2A" w:rsidRPr="001A1E2A" w:rsidRDefault="001A1E2A" w:rsidP="001A1E2A">
            <w:pPr>
              <w:contextualSpacing/>
            </w:pPr>
            <w:r w:rsidRPr="001A1E2A">
              <w:t>n/a</w:t>
            </w:r>
          </w:p>
        </w:tc>
        <w:tc>
          <w:tcPr>
            <w:tcW w:w="912" w:type="pct"/>
            <w:hideMark/>
          </w:tcPr>
          <w:p w14:paraId="2DF253C3" w14:textId="77777777" w:rsidR="001A1E2A" w:rsidRPr="001A1E2A" w:rsidRDefault="001A1E2A" w:rsidP="001A1E2A">
            <w:pPr>
              <w:contextualSpacing/>
            </w:pPr>
            <w:r w:rsidRPr="001A1E2A">
              <w:t>1,368</w:t>
            </w:r>
          </w:p>
        </w:tc>
      </w:tr>
      <w:tr w:rsidR="001A1E2A" w:rsidRPr="001A1E2A" w14:paraId="536DF89A" w14:textId="77777777" w:rsidTr="00BF4671">
        <w:trPr>
          <w:trHeight w:val="20"/>
        </w:trPr>
        <w:tc>
          <w:tcPr>
            <w:tcW w:w="2307" w:type="pct"/>
            <w:hideMark/>
          </w:tcPr>
          <w:p w14:paraId="1AC8F1E2" w14:textId="77777777" w:rsidR="001A1E2A" w:rsidRPr="001A1E2A" w:rsidRDefault="001A1E2A" w:rsidP="0045115B">
            <w:pPr>
              <w:contextualSpacing/>
              <w:jc w:val="right"/>
            </w:pPr>
            <w:r w:rsidRPr="001A1E2A">
              <w:t>Treatment</w:t>
            </w:r>
          </w:p>
        </w:tc>
        <w:tc>
          <w:tcPr>
            <w:tcW w:w="914" w:type="pct"/>
            <w:hideMark/>
          </w:tcPr>
          <w:p w14:paraId="29F431D6" w14:textId="77777777" w:rsidR="001A1E2A" w:rsidRPr="001A1E2A" w:rsidRDefault="001A1E2A" w:rsidP="001A1E2A">
            <w:pPr>
              <w:contextualSpacing/>
            </w:pPr>
            <w:r w:rsidRPr="001A1E2A">
              <w:t>1,479</w:t>
            </w:r>
          </w:p>
        </w:tc>
        <w:tc>
          <w:tcPr>
            <w:tcW w:w="866" w:type="pct"/>
            <w:hideMark/>
          </w:tcPr>
          <w:p w14:paraId="1828A434" w14:textId="77777777" w:rsidR="001A1E2A" w:rsidRPr="001A1E2A" w:rsidRDefault="001A1E2A" w:rsidP="001A1E2A">
            <w:pPr>
              <w:contextualSpacing/>
            </w:pPr>
            <w:r w:rsidRPr="001A1E2A">
              <w:t>n/a</w:t>
            </w:r>
          </w:p>
        </w:tc>
        <w:tc>
          <w:tcPr>
            <w:tcW w:w="912" w:type="pct"/>
            <w:hideMark/>
          </w:tcPr>
          <w:p w14:paraId="6A3020FA" w14:textId="77777777" w:rsidR="001A1E2A" w:rsidRPr="001A1E2A" w:rsidRDefault="001A1E2A" w:rsidP="001A1E2A">
            <w:pPr>
              <w:contextualSpacing/>
            </w:pPr>
            <w:r w:rsidRPr="001A1E2A">
              <w:t>1,472</w:t>
            </w:r>
          </w:p>
        </w:tc>
      </w:tr>
      <w:tr w:rsidR="006839FB" w:rsidRPr="001A1E2A" w14:paraId="5767CCA6" w14:textId="77777777" w:rsidTr="003A5C54">
        <w:trPr>
          <w:trHeight w:val="20"/>
        </w:trPr>
        <w:tc>
          <w:tcPr>
            <w:tcW w:w="2307" w:type="pct"/>
            <w:hideMark/>
          </w:tcPr>
          <w:p w14:paraId="4F7D7782" w14:textId="77777777" w:rsidR="006839FB" w:rsidRPr="001A1E2A" w:rsidRDefault="006839FB" w:rsidP="0045115B">
            <w:pPr>
              <w:contextualSpacing/>
              <w:jc w:val="right"/>
            </w:pPr>
            <w:r w:rsidRPr="001A1E2A">
              <w:t>AE</w:t>
            </w:r>
          </w:p>
        </w:tc>
        <w:tc>
          <w:tcPr>
            <w:tcW w:w="914" w:type="pct"/>
            <w:hideMark/>
          </w:tcPr>
          <w:p w14:paraId="1B5E934A" w14:textId="77777777" w:rsidR="006839FB" w:rsidRPr="001A1E2A" w:rsidRDefault="006839FB" w:rsidP="001A1E2A">
            <w:pPr>
              <w:contextualSpacing/>
            </w:pPr>
            <w:r w:rsidRPr="001A1E2A">
              <w:t>9,080</w:t>
            </w:r>
          </w:p>
        </w:tc>
        <w:tc>
          <w:tcPr>
            <w:tcW w:w="866" w:type="pct"/>
            <w:vMerge w:val="restart"/>
            <w:vAlign w:val="center"/>
            <w:hideMark/>
          </w:tcPr>
          <w:p w14:paraId="1645484A" w14:textId="4E69FD2C" w:rsidR="006839FB" w:rsidRPr="001A1E2A" w:rsidRDefault="006839FB" w:rsidP="003A5C54">
            <w:pPr>
              <w:contextualSpacing/>
            </w:pPr>
            <w:r w:rsidRPr="001A1E2A">
              <w:t>25,031†</w:t>
            </w:r>
          </w:p>
        </w:tc>
        <w:tc>
          <w:tcPr>
            <w:tcW w:w="912" w:type="pct"/>
            <w:hideMark/>
          </w:tcPr>
          <w:p w14:paraId="7AF30084" w14:textId="77777777" w:rsidR="006839FB" w:rsidRPr="001A1E2A" w:rsidRDefault="006839FB" w:rsidP="001A1E2A">
            <w:pPr>
              <w:contextualSpacing/>
            </w:pPr>
            <w:r w:rsidRPr="001A1E2A">
              <w:t>6,311</w:t>
            </w:r>
          </w:p>
        </w:tc>
      </w:tr>
      <w:tr w:rsidR="006839FB" w:rsidRPr="001A1E2A" w14:paraId="313627CB" w14:textId="77777777" w:rsidTr="00BF4671">
        <w:trPr>
          <w:trHeight w:val="20"/>
        </w:trPr>
        <w:tc>
          <w:tcPr>
            <w:tcW w:w="2307" w:type="pct"/>
            <w:hideMark/>
          </w:tcPr>
          <w:p w14:paraId="4422F085" w14:textId="77777777" w:rsidR="006839FB" w:rsidRPr="001A1E2A" w:rsidRDefault="006839FB" w:rsidP="0045115B">
            <w:pPr>
              <w:contextualSpacing/>
              <w:jc w:val="right"/>
            </w:pPr>
            <w:proofErr w:type="spellStart"/>
            <w:r w:rsidRPr="001A1E2A">
              <w:t>mAE</w:t>
            </w:r>
            <w:proofErr w:type="spellEnd"/>
          </w:p>
        </w:tc>
        <w:tc>
          <w:tcPr>
            <w:tcW w:w="914" w:type="pct"/>
            <w:hideMark/>
          </w:tcPr>
          <w:p w14:paraId="0B71ED98" w14:textId="77777777" w:rsidR="006839FB" w:rsidRPr="001A1E2A" w:rsidRDefault="006839FB" w:rsidP="001A1E2A">
            <w:pPr>
              <w:contextualSpacing/>
            </w:pPr>
            <w:r w:rsidRPr="001A1E2A">
              <w:t>112</w:t>
            </w:r>
          </w:p>
        </w:tc>
        <w:tc>
          <w:tcPr>
            <w:tcW w:w="866" w:type="pct"/>
            <w:vMerge/>
            <w:hideMark/>
          </w:tcPr>
          <w:p w14:paraId="2CB49A71" w14:textId="718DC9B9" w:rsidR="006839FB" w:rsidRPr="001A1E2A" w:rsidRDefault="006839FB" w:rsidP="001A1E2A">
            <w:pPr>
              <w:contextualSpacing/>
            </w:pPr>
          </w:p>
        </w:tc>
        <w:tc>
          <w:tcPr>
            <w:tcW w:w="912" w:type="pct"/>
            <w:hideMark/>
          </w:tcPr>
          <w:p w14:paraId="279599B3" w14:textId="77777777" w:rsidR="006839FB" w:rsidRPr="001A1E2A" w:rsidRDefault="006839FB" w:rsidP="001A1E2A">
            <w:pPr>
              <w:contextualSpacing/>
            </w:pPr>
            <w:r w:rsidRPr="001A1E2A">
              <w:t>1,015</w:t>
            </w:r>
          </w:p>
        </w:tc>
      </w:tr>
      <w:tr w:rsidR="00BF4671" w:rsidRPr="001A1E2A" w14:paraId="13B95AF6" w14:textId="77777777" w:rsidTr="00BF4671">
        <w:trPr>
          <w:trHeight w:val="20"/>
        </w:trPr>
        <w:tc>
          <w:tcPr>
            <w:tcW w:w="2307" w:type="pct"/>
            <w:hideMark/>
          </w:tcPr>
          <w:p w14:paraId="5FC4A12C" w14:textId="77777777" w:rsidR="001A1E2A" w:rsidRPr="001A1E2A" w:rsidRDefault="001A1E2A" w:rsidP="0045115B">
            <w:pPr>
              <w:contextualSpacing/>
              <w:jc w:val="right"/>
            </w:pPr>
            <w:r w:rsidRPr="001A1E2A">
              <w:t>Dx</w:t>
            </w:r>
          </w:p>
        </w:tc>
        <w:tc>
          <w:tcPr>
            <w:tcW w:w="914" w:type="pct"/>
            <w:hideMark/>
          </w:tcPr>
          <w:p w14:paraId="15680574" w14:textId="591C1475" w:rsidR="001A1E2A" w:rsidRPr="001A1E2A" w:rsidRDefault="004448C9" w:rsidP="001A1E2A">
            <w:pPr>
              <w:contextualSpacing/>
            </w:pPr>
            <w:r>
              <w:t>1783</w:t>
            </w:r>
          </w:p>
        </w:tc>
        <w:tc>
          <w:tcPr>
            <w:tcW w:w="866" w:type="pct"/>
            <w:hideMark/>
          </w:tcPr>
          <w:p w14:paraId="52A5FF44" w14:textId="77777777" w:rsidR="001A1E2A" w:rsidRPr="001A1E2A" w:rsidRDefault="001A1E2A" w:rsidP="001A1E2A">
            <w:pPr>
              <w:contextualSpacing/>
            </w:pPr>
            <w:r w:rsidRPr="001A1E2A">
              <w:t>4,344</w:t>
            </w:r>
          </w:p>
        </w:tc>
        <w:tc>
          <w:tcPr>
            <w:tcW w:w="912" w:type="pct"/>
            <w:hideMark/>
          </w:tcPr>
          <w:p w14:paraId="453EC286" w14:textId="6D4E3782" w:rsidR="001A1E2A" w:rsidRPr="001A1E2A" w:rsidRDefault="001A1E2A" w:rsidP="001A1E2A">
            <w:pPr>
              <w:contextualSpacing/>
            </w:pPr>
            <w:r w:rsidRPr="001A1E2A">
              <w:t>9</w:t>
            </w:r>
            <w:r w:rsidR="004448C9">
              <w:t>41</w:t>
            </w:r>
          </w:p>
        </w:tc>
      </w:tr>
      <w:tr w:rsidR="001A1E2A" w:rsidRPr="001A1E2A" w14:paraId="67DC1611" w14:textId="77777777" w:rsidTr="00BF4671">
        <w:trPr>
          <w:trHeight w:val="20"/>
        </w:trPr>
        <w:tc>
          <w:tcPr>
            <w:tcW w:w="2307" w:type="pct"/>
            <w:hideMark/>
          </w:tcPr>
          <w:p w14:paraId="48E33F65" w14:textId="77777777" w:rsidR="001A1E2A" w:rsidRPr="001A1E2A" w:rsidRDefault="001A1E2A" w:rsidP="0045115B">
            <w:pPr>
              <w:contextualSpacing/>
              <w:jc w:val="right"/>
            </w:pPr>
            <w:r w:rsidRPr="001A1E2A">
              <w:t>Lab</w:t>
            </w:r>
          </w:p>
        </w:tc>
        <w:tc>
          <w:tcPr>
            <w:tcW w:w="914" w:type="pct"/>
            <w:hideMark/>
          </w:tcPr>
          <w:p w14:paraId="5103F017" w14:textId="77777777" w:rsidR="001A1E2A" w:rsidRPr="001A1E2A" w:rsidRDefault="001A1E2A" w:rsidP="001A1E2A">
            <w:pPr>
              <w:contextualSpacing/>
            </w:pPr>
            <w:r w:rsidRPr="001A1E2A">
              <w:t>3,480</w:t>
            </w:r>
          </w:p>
        </w:tc>
        <w:tc>
          <w:tcPr>
            <w:tcW w:w="866" w:type="pct"/>
            <w:hideMark/>
          </w:tcPr>
          <w:p w14:paraId="1F1E7980" w14:textId="77777777" w:rsidR="001A1E2A" w:rsidRPr="001A1E2A" w:rsidRDefault="001A1E2A" w:rsidP="001A1E2A">
            <w:pPr>
              <w:contextualSpacing/>
            </w:pPr>
            <w:r w:rsidRPr="001A1E2A">
              <w:t>n/a</w:t>
            </w:r>
          </w:p>
        </w:tc>
        <w:tc>
          <w:tcPr>
            <w:tcW w:w="912" w:type="pct"/>
            <w:hideMark/>
          </w:tcPr>
          <w:p w14:paraId="6F27E07D" w14:textId="77777777" w:rsidR="001A1E2A" w:rsidRPr="001A1E2A" w:rsidRDefault="001A1E2A" w:rsidP="001A1E2A">
            <w:pPr>
              <w:contextualSpacing/>
            </w:pPr>
            <w:r w:rsidRPr="001A1E2A">
              <w:t>2,362</w:t>
            </w:r>
          </w:p>
        </w:tc>
      </w:tr>
      <w:tr w:rsidR="00BF4671" w:rsidRPr="001A1E2A" w14:paraId="64E98DD4" w14:textId="77777777" w:rsidTr="00BF4671">
        <w:trPr>
          <w:trHeight w:val="20"/>
        </w:trPr>
        <w:tc>
          <w:tcPr>
            <w:tcW w:w="2307" w:type="pct"/>
            <w:hideMark/>
          </w:tcPr>
          <w:p w14:paraId="0147715B" w14:textId="77777777" w:rsidR="001A1E2A" w:rsidRPr="001A1E2A" w:rsidRDefault="001A1E2A" w:rsidP="0045115B">
            <w:pPr>
              <w:contextualSpacing/>
              <w:jc w:val="right"/>
            </w:pPr>
            <w:r w:rsidRPr="001A1E2A">
              <w:t>Status</w:t>
            </w:r>
          </w:p>
        </w:tc>
        <w:tc>
          <w:tcPr>
            <w:tcW w:w="914" w:type="pct"/>
            <w:hideMark/>
          </w:tcPr>
          <w:p w14:paraId="2CD4681B" w14:textId="77777777" w:rsidR="001A1E2A" w:rsidRPr="001A1E2A" w:rsidRDefault="001A1E2A" w:rsidP="001A1E2A">
            <w:pPr>
              <w:contextualSpacing/>
            </w:pPr>
            <w:r w:rsidRPr="001A1E2A">
              <w:t>1,796</w:t>
            </w:r>
          </w:p>
        </w:tc>
        <w:tc>
          <w:tcPr>
            <w:tcW w:w="866" w:type="pct"/>
            <w:hideMark/>
          </w:tcPr>
          <w:p w14:paraId="6BAAA88D" w14:textId="77777777" w:rsidR="001A1E2A" w:rsidRPr="001A1E2A" w:rsidRDefault="001A1E2A" w:rsidP="001A1E2A">
            <w:pPr>
              <w:contextualSpacing/>
            </w:pPr>
            <w:r w:rsidRPr="001A1E2A">
              <w:t>n/a</w:t>
            </w:r>
          </w:p>
        </w:tc>
        <w:tc>
          <w:tcPr>
            <w:tcW w:w="912" w:type="pct"/>
            <w:hideMark/>
          </w:tcPr>
          <w:p w14:paraId="0D111F47" w14:textId="77777777" w:rsidR="001A1E2A" w:rsidRPr="001A1E2A" w:rsidRDefault="001A1E2A" w:rsidP="001A1E2A">
            <w:pPr>
              <w:contextualSpacing/>
            </w:pPr>
            <w:r w:rsidRPr="001A1E2A">
              <w:t>2,275</w:t>
            </w:r>
          </w:p>
        </w:tc>
      </w:tr>
      <w:tr w:rsidR="001A1E2A" w:rsidRPr="001A1E2A" w14:paraId="32CA5A2D" w14:textId="77777777" w:rsidTr="00BF4671">
        <w:trPr>
          <w:trHeight w:val="20"/>
        </w:trPr>
        <w:tc>
          <w:tcPr>
            <w:tcW w:w="2307" w:type="pct"/>
            <w:hideMark/>
          </w:tcPr>
          <w:p w14:paraId="6EF2F034" w14:textId="77777777" w:rsidR="001A1E2A" w:rsidRPr="001A1E2A" w:rsidRDefault="001A1E2A" w:rsidP="0045115B">
            <w:pPr>
              <w:contextualSpacing/>
              <w:jc w:val="right"/>
            </w:pPr>
            <w:r w:rsidRPr="001A1E2A">
              <w:t>R/O</w:t>
            </w:r>
          </w:p>
        </w:tc>
        <w:tc>
          <w:tcPr>
            <w:tcW w:w="914" w:type="pct"/>
            <w:hideMark/>
          </w:tcPr>
          <w:p w14:paraId="78F5F432" w14:textId="77777777" w:rsidR="001A1E2A" w:rsidRPr="001A1E2A" w:rsidRDefault="001A1E2A" w:rsidP="001A1E2A">
            <w:pPr>
              <w:contextualSpacing/>
            </w:pPr>
            <w:r w:rsidRPr="001A1E2A">
              <w:t>9</w:t>
            </w:r>
          </w:p>
        </w:tc>
        <w:tc>
          <w:tcPr>
            <w:tcW w:w="866" w:type="pct"/>
            <w:hideMark/>
          </w:tcPr>
          <w:p w14:paraId="0EA6255E" w14:textId="77777777" w:rsidR="001A1E2A" w:rsidRPr="001A1E2A" w:rsidRDefault="001A1E2A" w:rsidP="001A1E2A">
            <w:pPr>
              <w:contextualSpacing/>
            </w:pPr>
            <w:r w:rsidRPr="001A1E2A">
              <w:t>33</w:t>
            </w:r>
          </w:p>
        </w:tc>
        <w:tc>
          <w:tcPr>
            <w:tcW w:w="912" w:type="pct"/>
            <w:hideMark/>
          </w:tcPr>
          <w:p w14:paraId="16F43CBA" w14:textId="77777777" w:rsidR="001A1E2A" w:rsidRPr="001A1E2A" w:rsidRDefault="001A1E2A" w:rsidP="001A1E2A">
            <w:pPr>
              <w:contextualSpacing/>
            </w:pPr>
            <w:r w:rsidRPr="001A1E2A">
              <w:t>83</w:t>
            </w:r>
          </w:p>
        </w:tc>
      </w:tr>
      <w:tr w:rsidR="00BF4671" w:rsidRPr="001A1E2A" w14:paraId="44B3C658" w14:textId="77777777" w:rsidTr="00BF4671">
        <w:trPr>
          <w:trHeight w:val="20"/>
        </w:trPr>
        <w:tc>
          <w:tcPr>
            <w:tcW w:w="2307" w:type="pct"/>
            <w:hideMark/>
          </w:tcPr>
          <w:p w14:paraId="17F24971" w14:textId="77777777" w:rsidR="001A1E2A" w:rsidRPr="001A1E2A" w:rsidRDefault="001A1E2A" w:rsidP="0045115B">
            <w:pPr>
              <w:contextualSpacing/>
              <w:jc w:val="right"/>
            </w:pPr>
            <w:proofErr w:type="spellStart"/>
            <w:r w:rsidRPr="001A1E2A">
              <w:t>CoD</w:t>
            </w:r>
            <w:proofErr w:type="spellEnd"/>
          </w:p>
        </w:tc>
        <w:tc>
          <w:tcPr>
            <w:tcW w:w="914" w:type="pct"/>
            <w:hideMark/>
          </w:tcPr>
          <w:p w14:paraId="44F82667" w14:textId="77777777" w:rsidR="001A1E2A" w:rsidRPr="001A1E2A" w:rsidRDefault="001A1E2A" w:rsidP="001A1E2A">
            <w:pPr>
              <w:contextualSpacing/>
            </w:pPr>
            <w:r w:rsidRPr="001A1E2A">
              <w:t>3</w:t>
            </w:r>
          </w:p>
        </w:tc>
        <w:tc>
          <w:tcPr>
            <w:tcW w:w="866" w:type="pct"/>
            <w:hideMark/>
          </w:tcPr>
          <w:p w14:paraId="7EE619A7" w14:textId="77777777" w:rsidR="001A1E2A" w:rsidRPr="001A1E2A" w:rsidRDefault="001A1E2A" w:rsidP="001A1E2A">
            <w:pPr>
              <w:contextualSpacing/>
            </w:pPr>
            <w:r w:rsidRPr="001A1E2A">
              <w:t>125</w:t>
            </w:r>
          </w:p>
        </w:tc>
        <w:tc>
          <w:tcPr>
            <w:tcW w:w="912" w:type="pct"/>
            <w:hideMark/>
          </w:tcPr>
          <w:p w14:paraId="5C730C82" w14:textId="77777777" w:rsidR="001A1E2A" w:rsidRPr="001A1E2A" w:rsidRDefault="001A1E2A" w:rsidP="001A1E2A">
            <w:pPr>
              <w:contextualSpacing/>
            </w:pPr>
            <w:r w:rsidRPr="001A1E2A">
              <w:t>220</w:t>
            </w:r>
          </w:p>
        </w:tc>
      </w:tr>
      <w:tr w:rsidR="00BF4671" w:rsidRPr="001A1E2A" w14:paraId="1825785A" w14:textId="77777777" w:rsidTr="00BF4671">
        <w:trPr>
          <w:trHeight w:val="20"/>
        </w:trPr>
        <w:tc>
          <w:tcPr>
            <w:tcW w:w="2307" w:type="pct"/>
            <w:hideMark/>
          </w:tcPr>
          <w:p w14:paraId="761A2EA4" w14:textId="77777777" w:rsidR="001A1E2A" w:rsidRPr="001A1E2A" w:rsidRDefault="001A1E2A" w:rsidP="0045115B">
            <w:pPr>
              <w:contextualSpacing/>
              <w:jc w:val="right"/>
            </w:pPr>
            <w:r w:rsidRPr="001A1E2A">
              <w:t>MHx</w:t>
            </w:r>
          </w:p>
        </w:tc>
        <w:tc>
          <w:tcPr>
            <w:tcW w:w="914" w:type="pct"/>
            <w:hideMark/>
          </w:tcPr>
          <w:p w14:paraId="657C32DA" w14:textId="77777777" w:rsidR="001A1E2A" w:rsidRPr="001A1E2A" w:rsidRDefault="001A1E2A" w:rsidP="001A1E2A">
            <w:pPr>
              <w:contextualSpacing/>
            </w:pPr>
            <w:r w:rsidRPr="001A1E2A">
              <w:t>2,304</w:t>
            </w:r>
          </w:p>
        </w:tc>
        <w:tc>
          <w:tcPr>
            <w:tcW w:w="866" w:type="pct"/>
            <w:hideMark/>
          </w:tcPr>
          <w:p w14:paraId="68B7B6F9" w14:textId="77777777" w:rsidR="001A1E2A" w:rsidRPr="001A1E2A" w:rsidRDefault="001A1E2A" w:rsidP="001A1E2A">
            <w:pPr>
              <w:contextualSpacing/>
            </w:pPr>
            <w:r w:rsidRPr="001A1E2A">
              <w:t>755</w:t>
            </w:r>
          </w:p>
        </w:tc>
        <w:tc>
          <w:tcPr>
            <w:tcW w:w="912" w:type="pct"/>
            <w:hideMark/>
          </w:tcPr>
          <w:p w14:paraId="6AF3703B" w14:textId="77777777" w:rsidR="001A1E2A" w:rsidRPr="001A1E2A" w:rsidRDefault="001A1E2A" w:rsidP="001A1E2A">
            <w:pPr>
              <w:contextualSpacing/>
            </w:pPr>
            <w:r w:rsidRPr="001A1E2A">
              <w:t>2,830</w:t>
            </w:r>
          </w:p>
        </w:tc>
      </w:tr>
      <w:tr w:rsidR="001A1E2A" w:rsidRPr="001A1E2A" w14:paraId="0D30AC26" w14:textId="77777777" w:rsidTr="00BF4671">
        <w:trPr>
          <w:trHeight w:val="20"/>
        </w:trPr>
        <w:tc>
          <w:tcPr>
            <w:tcW w:w="2307" w:type="pct"/>
            <w:hideMark/>
          </w:tcPr>
          <w:p w14:paraId="7086E457" w14:textId="77777777" w:rsidR="001A1E2A" w:rsidRPr="001A1E2A" w:rsidRDefault="001A1E2A" w:rsidP="0045115B">
            <w:pPr>
              <w:contextualSpacing/>
              <w:jc w:val="right"/>
            </w:pPr>
            <w:proofErr w:type="spellStart"/>
            <w:r w:rsidRPr="001A1E2A">
              <w:t>FHx</w:t>
            </w:r>
            <w:proofErr w:type="spellEnd"/>
          </w:p>
        </w:tc>
        <w:tc>
          <w:tcPr>
            <w:tcW w:w="914" w:type="pct"/>
            <w:hideMark/>
          </w:tcPr>
          <w:p w14:paraId="01F2E109" w14:textId="77777777" w:rsidR="001A1E2A" w:rsidRPr="001A1E2A" w:rsidRDefault="001A1E2A" w:rsidP="001A1E2A">
            <w:pPr>
              <w:contextualSpacing/>
            </w:pPr>
            <w:r w:rsidRPr="001A1E2A">
              <w:t>105</w:t>
            </w:r>
          </w:p>
        </w:tc>
        <w:tc>
          <w:tcPr>
            <w:tcW w:w="866" w:type="pct"/>
            <w:hideMark/>
          </w:tcPr>
          <w:p w14:paraId="5DAFBA75" w14:textId="77777777" w:rsidR="001A1E2A" w:rsidRPr="001A1E2A" w:rsidRDefault="001A1E2A" w:rsidP="001A1E2A">
            <w:pPr>
              <w:contextualSpacing/>
            </w:pPr>
            <w:r w:rsidRPr="001A1E2A">
              <w:t>22</w:t>
            </w:r>
          </w:p>
        </w:tc>
        <w:tc>
          <w:tcPr>
            <w:tcW w:w="912" w:type="pct"/>
            <w:hideMark/>
          </w:tcPr>
          <w:p w14:paraId="39911072" w14:textId="77777777" w:rsidR="001A1E2A" w:rsidRPr="001A1E2A" w:rsidRDefault="001A1E2A" w:rsidP="001A1E2A">
            <w:pPr>
              <w:contextualSpacing/>
            </w:pPr>
            <w:r w:rsidRPr="001A1E2A">
              <w:t>24</w:t>
            </w:r>
          </w:p>
        </w:tc>
      </w:tr>
      <w:tr w:rsidR="001A1E2A" w:rsidRPr="001A1E2A" w14:paraId="049EC702" w14:textId="77777777" w:rsidTr="00BF4671">
        <w:trPr>
          <w:trHeight w:val="20"/>
        </w:trPr>
        <w:tc>
          <w:tcPr>
            <w:tcW w:w="2307" w:type="pct"/>
            <w:hideMark/>
          </w:tcPr>
          <w:p w14:paraId="20141E35" w14:textId="77777777" w:rsidR="001A1E2A" w:rsidRPr="001A1E2A" w:rsidRDefault="001A1E2A" w:rsidP="0045115B">
            <w:pPr>
              <w:contextualSpacing/>
              <w:jc w:val="right"/>
            </w:pPr>
            <w:r w:rsidRPr="001A1E2A">
              <w:t>Age</w:t>
            </w:r>
          </w:p>
        </w:tc>
        <w:tc>
          <w:tcPr>
            <w:tcW w:w="914" w:type="pct"/>
            <w:hideMark/>
          </w:tcPr>
          <w:p w14:paraId="3ED7AD59" w14:textId="77777777" w:rsidR="001A1E2A" w:rsidRPr="001A1E2A" w:rsidRDefault="001A1E2A" w:rsidP="001A1E2A">
            <w:pPr>
              <w:contextualSpacing/>
            </w:pPr>
            <w:r w:rsidRPr="001A1E2A">
              <w:t>787</w:t>
            </w:r>
          </w:p>
        </w:tc>
        <w:tc>
          <w:tcPr>
            <w:tcW w:w="866" w:type="pct"/>
            <w:hideMark/>
          </w:tcPr>
          <w:p w14:paraId="7321FDDB" w14:textId="77777777" w:rsidR="001A1E2A" w:rsidRPr="001A1E2A" w:rsidRDefault="001A1E2A" w:rsidP="001A1E2A">
            <w:pPr>
              <w:contextualSpacing/>
            </w:pPr>
            <w:r w:rsidRPr="001A1E2A">
              <w:t>n/a</w:t>
            </w:r>
          </w:p>
        </w:tc>
        <w:tc>
          <w:tcPr>
            <w:tcW w:w="912" w:type="pct"/>
            <w:hideMark/>
          </w:tcPr>
          <w:p w14:paraId="7A14A22E" w14:textId="77777777" w:rsidR="001A1E2A" w:rsidRPr="001A1E2A" w:rsidRDefault="001A1E2A" w:rsidP="001A1E2A">
            <w:pPr>
              <w:contextualSpacing/>
            </w:pPr>
            <w:r w:rsidRPr="001A1E2A">
              <w:t>811</w:t>
            </w:r>
          </w:p>
        </w:tc>
      </w:tr>
      <w:tr w:rsidR="00BF4671" w:rsidRPr="001A1E2A" w14:paraId="77579CE6" w14:textId="77777777" w:rsidTr="00BF4671">
        <w:trPr>
          <w:trHeight w:val="20"/>
        </w:trPr>
        <w:tc>
          <w:tcPr>
            <w:tcW w:w="2307" w:type="pct"/>
            <w:hideMark/>
          </w:tcPr>
          <w:p w14:paraId="5A455AC9" w14:textId="77777777" w:rsidR="001A1E2A" w:rsidRPr="001A1E2A" w:rsidRDefault="001A1E2A" w:rsidP="0045115B">
            <w:pPr>
              <w:contextualSpacing/>
              <w:jc w:val="right"/>
            </w:pPr>
            <w:r w:rsidRPr="001A1E2A">
              <w:t>Sex</w:t>
            </w:r>
          </w:p>
        </w:tc>
        <w:tc>
          <w:tcPr>
            <w:tcW w:w="914" w:type="pct"/>
            <w:hideMark/>
          </w:tcPr>
          <w:p w14:paraId="31B8C0AA" w14:textId="77777777" w:rsidR="001A1E2A" w:rsidRPr="001A1E2A" w:rsidRDefault="001A1E2A" w:rsidP="001A1E2A">
            <w:pPr>
              <w:contextualSpacing/>
            </w:pPr>
            <w:r w:rsidRPr="001A1E2A">
              <w:t>768</w:t>
            </w:r>
          </w:p>
        </w:tc>
        <w:tc>
          <w:tcPr>
            <w:tcW w:w="866" w:type="pct"/>
            <w:hideMark/>
          </w:tcPr>
          <w:p w14:paraId="17C405F6" w14:textId="77777777" w:rsidR="001A1E2A" w:rsidRPr="001A1E2A" w:rsidRDefault="001A1E2A" w:rsidP="001A1E2A">
            <w:pPr>
              <w:contextualSpacing/>
            </w:pPr>
            <w:r w:rsidRPr="001A1E2A">
              <w:t>n/a</w:t>
            </w:r>
          </w:p>
        </w:tc>
        <w:tc>
          <w:tcPr>
            <w:tcW w:w="912" w:type="pct"/>
            <w:hideMark/>
          </w:tcPr>
          <w:p w14:paraId="56257DCA" w14:textId="77777777" w:rsidR="001A1E2A" w:rsidRPr="001A1E2A" w:rsidRDefault="001A1E2A" w:rsidP="001A1E2A">
            <w:pPr>
              <w:contextualSpacing/>
            </w:pPr>
            <w:r w:rsidRPr="001A1E2A">
              <w:t>768</w:t>
            </w:r>
          </w:p>
        </w:tc>
      </w:tr>
    </w:tbl>
    <w:p w14:paraId="042F84E6" w14:textId="0E33FC8B" w:rsidR="007D7591" w:rsidRPr="00C20936" w:rsidRDefault="007D7591" w:rsidP="007D7591">
      <w:pPr>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1D4400C1" w14:textId="4AE72CCC" w:rsidR="00AD2CE2" w:rsidRDefault="00AD2CE2" w:rsidP="00AD2CE2">
      <w:pPr>
        <w:pStyle w:val="Heading2"/>
      </w:pPr>
      <w:r>
        <w:t>3.2 LLM performs significantly better than ETHER</w:t>
      </w:r>
    </w:p>
    <w:p w14:paraId="54DDB431" w14:textId="0714BF30"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5856B1F6" w14:textId="34EAC00A"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6D04FF">
        <w:t xml:space="preserve">and in overall </w:t>
      </w:r>
      <w:r>
        <w:t xml:space="preserve">the </w:t>
      </w:r>
      <w:r w:rsidR="002E70EF">
        <w:t>few-shot</w:t>
      </w:r>
      <w:r w:rsidR="003E6D2D">
        <w:t>s</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p>
    <w:p w14:paraId="27D10F91" w14:textId="77777777" w:rsidR="007D5693" w:rsidRDefault="007D5693" w:rsidP="00AD2CE2"/>
    <w:p w14:paraId="36A7469E" w14:textId="4225F112" w:rsidR="007D5693" w:rsidRDefault="00DD0E6C" w:rsidP="00AD2CE2">
      <w:r>
        <w:rPr>
          <w:noProof/>
        </w:rPr>
        <w:lastRenderedPageBreak/>
        <w:drawing>
          <wp:inline distT="0" distB="0" distL="0" distR="0" wp14:anchorId="229BBBF4" wp14:editId="7D99B79D">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1E4EB1B9" w14:textId="77777777" w:rsidR="004F536D" w:rsidRPr="00342FDA" w:rsidRDefault="004F536D" w:rsidP="004F536D">
      <w:pPr>
        <w:rPr>
          <w:sz w:val="20"/>
          <w:szCs w:val="20"/>
        </w:rPr>
      </w:pPr>
      <w:r>
        <w:t xml:space="preserve">Figure 3. Overall Performance Comparison Across Three Evaluation Schemes on FAERS Narratives (N = 829). Grouped bar chart comparing the rule-based baseline ETHER (Gray), fine-tuned </w:t>
      </w:r>
      <w:proofErr w:type="spellStart"/>
      <w:r>
        <w:t>BioBERT</w:t>
      </w:r>
      <w:proofErr w:type="spellEnd"/>
      <w:r>
        <w:t xml:space="preserve"> (Blue), open-weight </w:t>
      </w:r>
      <w:proofErr w:type="spellStart"/>
      <w:r>
        <w:t>LLaMA</w:t>
      </w:r>
      <w:proofErr w:type="spellEnd"/>
      <w:r>
        <w:t xml:space="preserve"> 4 (Pink-Coral), and proprietary Claude 4.6 Sonnet (Crimson Red) across Scheme 1 (Relaxed Boundary Match), Scheme 2 (Adapted ADE-Eval Clinical Weighted Metric), and Scheme 3 (Strict Exact-Match NER). Numerical F1 scores are labeled above each bar.</w:t>
      </w:r>
    </w:p>
    <w:p w14:paraId="4B9E794F" w14:textId="18EF4798" w:rsidR="00F37A56" w:rsidRDefault="00F37A56" w:rsidP="00F37A56"/>
    <w:p w14:paraId="49495DCF" w14:textId="7662FE55" w:rsidR="00E7527C" w:rsidRDefault="00E7527C" w:rsidP="00E7527C">
      <w:pPr>
        <w:pStyle w:val="Heading2"/>
      </w:pPr>
      <w:r>
        <w:t xml:space="preserve">3.3 BERT-based NER model </w:t>
      </w:r>
      <w:r w:rsidR="005A67B0">
        <w:t>performance</w:t>
      </w:r>
    </w:p>
    <w:p w14:paraId="2BB89B8E" w14:textId="47F2BE38" w:rsidR="00B73B5B" w:rsidRDefault="00D02538" w:rsidP="00D02538">
      <w:r>
        <w:t xml:space="preserve">We trained and evaluated a supervised </w:t>
      </w:r>
      <w:proofErr w:type="spellStart"/>
      <w:r>
        <w:t>BioBERT</w:t>
      </w:r>
      <w:proofErr w:type="spellEnd"/>
      <w:r>
        <w:t xml:space="preserve"> named entity recognition (NER) model using a 4-fold Leave-One-Drug-Event-Pair-Out cross-validation design on the 829 FAERS narratives. </w:t>
      </w:r>
      <w:r w:rsidRPr="001C5354">
        <w:rPr>
          <w:b/>
          <w:bCs/>
        </w:rPr>
        <w:t>Table 3</w:t>
      </w:r>
      <w:r>
        <w:t xml:space="preserve"> summarizes the overall benchmark comparison across model families, input paradigms, and evaluation tiers. </w:t>
      </w:r>
      <w:proofErr w:type="spellStart"/>
      <w:r>
        <w:t>BioBERT</w:t>
      </w:r>
      <w:proofErr w:type="spellEnd"/>
      <w:r>
        <w:t xml:space="preserve"> achieved a strict exact-match F1 of 0.5258 and an adapted ADE-Eval F1 of 0.6698</w:t>
      </w:r>
      <w:r w:rsidR="001C5354">
        <w:rPr>
          <w:rFonts w:hint="eastAsia"/>
          <w:lang w:eastAsia="zh-CN"/>
        </w:rPr>
        <w:t xml:space="preserve">, which </w:t>
      </w:r>
      <w:r>
        <w:t>substantially outperformed the few-shot LLaMA</w:t>
      </w:r>
      <w:r w:rsidR="001C5354">
        <w:rPr>
          <w:rFonts w:hint="eastAsia"/>
          <w:lang w:eastAsia="zh-CN"/>
        </w:rPr>
        <w:t>-</w:t>
      </w:r>
      <w:r>
        <w:t>4 (0.3542 Strict, 0.5098 Adapted)</w:t>
      </w:r>
      <w:r w:rsidR="001C5354">
        <w:rPr>
          <w:rFonts w:hint="eastAsia"/>
          <w:lang w:eastAsia="zh-CN"/>
        </w:rPr>
        <w:t xml:space="preserve">, </w:t>
      </w:r>
      <w:r>
        <w:t>Claude 4.6 Sonnet (0.4222 Strict, 0.5786 Adapted)</w:t>
      </w:r>
      <w:r w:rsidR="001C5354">
        <w:rPr>
          <w:rFonts w:hint="eastAsia"/>
          <w:lang w:eastAsia="zh-CN"/>
        </w:rPr>
        <w:t xml:space="preserve">, and </w:t>
      </w:r>
      <w:r w:rsidR="001C5354">
        <w:t>baseline ETHER system (0.1147 Strict, 0.2447 Adapted)</w:t>
      </w:r>
      <w:r>
        <w:t xml:space="preserve">. </w:t>
      </w:r>
      <w:r w:rsidRPr="001C5354">
        <w:rPr>
          <w:b/>
          <w:bCs/>
        </w:rPr>
        <w:t>Table 4</w:t>
      </w:r>
      <w:r>
        <w:t xml:space="preserve"> and Figure 4 detail the category-level performance breakdown across all 10 clinical concept categories.</w:t>
      </w:r>
    </w:p>
    <w:p w14:paraId="12F1DCCB" w14:textId="77777777" w:rsidR="00CF4EAD" w:rsidRDefault="00CF4EAD" w:rsidP="00D02538">
      <w:r>
        <w:t>Table 3. Master Performance Benchmark on the FAERS Dataset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Family</w:t>
            </w:r>
          </w:p>
        </w:tc>
        <w:tc>
          <w:tcPr>
            <w:tcW w:type="dxa" w:w="3168"/>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Input Paradigm</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color w:val="222222"/>
                <w:sz w:val="16"/>
              </w:rPr>
              <w:t>BioBERT (4-Fold LOO, Seed 42 Default)</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0.5258 ± 0.0097</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0.6698 ± 0.0095</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color w:val="222222"/>
                <w:sz w:val="16"/>
              </w:rPr>
              <w:t>BioBERT (4-Fold LOO, 5-Seed Pooled)</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0.5259 ± 0.0088</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0.6732 ± 0.0084</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ClinicalBERT (Fold 0)</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0.5090</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0.6100</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Tagged P2_TAG)</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0.3542</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0.5098</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JSON Schema)</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JSON Structured Output</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0.3200</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0.4700</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Proprietary LLM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Claude 4.6 Sonnet (1-shot, Tagged)</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0.4222</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0.5786</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Rule-Based System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ETHER (Baseline, used=Yes)</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Rule-based Dictionary Match</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0.1147</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0.2447</w:t>
            </w:r>
          </w:p>
        </w:tc>
      </w:tr>
    </w:tbl>
    <w:p w14:paraId="48121708" w14:textId="3AD80ECF" w:rsidR="00CF4EAD" w:rsidRDefault="00894A8B" w:rsidP="00CF4EAD">
      <w:r/>
    </w:p>
    <w:p w14:paraId="149F3107" w14:textId="66A2F4C7" w:rsidR="0064673F" w:rsidRPr="005064A1" w:rsidRDefault="0064673F" w:rsidP="00CF4EAD">
      <w:pPr>
        <w:rPr>
          <w:sz w:val="20"/>
          <w:szCs w:val="20"/>
        </w:rPr>
      </w:pPr>
      <w:r>
        <w:t>Figure 4. Comparative Concept Extraction Performance Across All 17 Clinical Concept Categories on the FAERS Benchmark Corpus (N = 829 Reports) for Fine-Tuned BioBERT (Blue Diamond / Bar), Claude 4.6 Sonnet (Red Circle / Bar), and LLaMA 4 (Pink Square / Bar).</w:t>
      </w:r>
    </w:p>
    <w:p w14:paraId="700BE9FA" w14:textId="091A8FA7" w:rsidR="00472A41" w:rsidRPr="00472A41" w:rsidRDefault="00831330" w:rsidP="00472A41">
      <w:pPr>
        <w:pStyle w:val="Heading2"/>
      </w:pPr>
      <w:r>
        <w:t xml:space="preserve">3.4 </w:t>
      </w:r>
      <w:r w:rsidR="00472A41" w:rsidRPr="00472A41">
        <w:t>Error analysis</w:t>
      </w:r>
    </w:p>
    <w:p w14:paraId="141C161B" w14:textId="78575AC4" w:rsidR="00472A41" w:rsidRPr="00472A41" w:rsidRDefault="00413F31" w:rsidP="00472A41">
      <w:r>
        <w:t>Next</w:t>
      </w:r>
      <w:r w:rsidR="00472A41" w:rsidRPr="00472A41">
        <w:t xml:space="preserve">, we conducted a detailed error analysis to characterize how the BERT model and the zero-shot LLM differ in their failure modes. Using character-level span alignment between model outputs and human annotations, each predicted span was categorized as an exact </w:t>
      </w:r>
      <w:r w:rsidR="00472A41" w:rsidRPr="00472A41">
        <w:lastRenderedPageBreak/>
        <w:t>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the LLM.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as a drug entity</w:t>
      </w:r>
      <w:r w:rsidR="009438BD">
        <w:t xml:space="preserve"> (</w:t>
      </w:r>
      <w:r w:rsidR="007A3549">
        <w:t xml:space="preserve">i.e., </w:t>
      </w:r>
      <w:r w:rsidR="009438BD" w:rsidRPr="005064A1">
        <w:rPr>
          <w:i/>
        </w:rPr>
        <w:t>isoniazid</w:t>
      </w:r>
      <w:r w:rsidR="009438BD">
        <w:t xml:space="preserve">) and </w:t>
      </w:r>
      <w:r w:rsidR="007A3549">
        <w:t xml:space="preserve">diagnostics (i.e., </w:t>
      </w:r>
      <w:r w:rsidR="007A3549" w:rsidRPr="005064A1">
        <w:rPr>
          <w:i/>
        </w:rPr>
        <w:t>hepatitis</w:t>
      </w:r>
      <w:r w:rsidR="007A3549">
        <w:t>)</w:t>
      </w:r>
      <w:r w:rsidR="005E1F60">
        <w:t xml:space="preserve">, which </w:t>
      </w:r>
      <w:r w:rsidR="00855EFB">
        <w:t>resulted as</w:t>
      </w:r>
      <w:r w:rsidR="005E1F60">
        <w:t xml:space="preserve"> </w:t>
      </w:r>
      <w:r w:rsidR="00E062C3">
        <w:t>error C (boundary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r w:rsidR="00CA63BA" w:rsidRPr="001E24C1">
        <w:rPr>
          <w:i/>
          <w:iCs/>
        </w:rPr>
        <w:t>migraine</w:t>
      </w:r>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xml:space="preserve">, and hematologic </w:t>
      </w:r>
      <w:r w:rsidR="00CA63BA" w:rsidRPr="001E24C1">
        <w:lastRenderedPageBreak/>
        <w:t>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1D56FF63" w:rsidR="00CA63BA" w:rsidRDefault="00CA63BA" w:rsidP="00CA63BA">
      <w:r w:rsidRPr="00472A41">
        <w:t xml:space="preserve">Overall, </w:t>
      </w:r>
      <w:r>
        <w:t>t</w:t>
      </w:r>
      <w:r w:rsidRPr="00472A41">
        <w:t xml:space="preserve">he LLM’s zero-shot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7952B2AC" w:rsidR="00924F71" w:rsidRPr="00924F71" w:rsidRDefault="00871950" w:rsidP="00432731">
      <w:pPr>
        <w:jc w:val="center"/>
      </w:pPr>
      <w:r>
        <w:rPr>
          <w:noProof/>
        </w:rPr>
        <w:drawing>
          <wp:inline distT="0" distB="0" distL="0" distR="0" wp14:anchorId="4069F0A4" wp14:editId="0B5CAE5C">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D301302" w14:textId="0EA7D92D" w:rsidR="009960A2" w:rsidRPr="005064A1" w:rsidRDefault="00E07D8E" w:rsidP="0034182A">
      <w:pPr>
        <w:spacing w:line="240" w:lineRule="auto"/>
        <w:rPr>
          <w:sz w:val="20"/>
          <w:szCs w:val="20"/>
        </w:rPr>
      </w:pPr>
      <w:r>
        <w:t>Figure 5. Fine-Grained Error Analysis on FAERS Annotations. (a) M/C/S/N error distribution comparing fine-tuned BERT (Blue) vs. LLM (Pink-Coral). (b) Top 8 label misclassifications for BERT (X-axis: 0–195). (c) Top 8 label misclassifications for LLM (X-axis: 0–195, aligned with panel b per reviewer feedback). (d) Word cloud of gold DX terms misclassified as DRUG by LLM. (e) Word cloud of gold DX terms misclassified as MHX by LLM.</w:t>
      </w:r>
    </w:p>
    <w:p w14:paraId="752DE7C5" w14:textId="77777777" w:rsidR="003B3AC7" w:rsidRDefault="003B3AC7" w:rsidP="0034182A">
      <w:pPr>
        <w:spacing w:line="240" w:lineRule="auto"/>
      </w:pPr>
    </w:p>
    <w:p w14:paraId="3499E910" w14:textId="6868D1F1" w:rsidR="00413F31" w:rsidRDefault="00413F31" w:rsidP="00EC4E8F">
      <w:pPr>
        <w:pStyle w:val="Heading2"/>
      </w:pPr>
      <w:r>
        <w:t>3.5 VAER</w:t>
      </w:r>
      <w:r w:rsidR="00B019D5">
        <w:t>S</w:t>
      </w:r>
      <w:r>
        <w:t xml:space="preserve"> </w:t>
      </w:r>
      <w:r w:rsidR="00B07BC3">
        <w:t>Evaluation</w:t>
      </w:r>
    </w:p>
    <w:p w14:paraId="2FA420D3" w14:textId="184B04B0" w:rsidR="00426F20" w:rsidRDefault="00426F20" w:rsidP="00426F20">
      <w:r>
        <w:t xml:space="preserve">To evaluate cross-domain generalization beyond drug-related ICSRs, we benchmarked the systems on the public VAERS vaccine adverse event corpus (N = 1,000 narratives). As reported in Table 5 and Figure 6, </w:t>
      </w:r>
      <w:proofErr w:type="spellStart"/>
      <w:r>
        <w:t>BioBERT</w:t>
      </w:r>
      <w:proofErr w:type="spellEnd"/>
      <w:r>
        <w:t xml:space="preserve"> fine-tuned via 10-fold cross-validation achieved a strict exact-match F1 of 0.6594 ± 0.0196 (0.7848 ± 0.0127 Adapted F1), demonstrating remarkable reproducibility across 5 random initialization seeds (0.6595 ± 0.0177 Strict, 0.7882 ± 0.0112 Adapted). In contrast, the zero-shot/1-shot </w:t>
      </w:r>
      <w:proofErr w:type="spellStart"/>
      <w:r>
        <w:t>LLaMA</w:t>
      </w:r>
      <w:proofErr w:type="spellEnd"/>
      <w:r>
        <w:t xml:space="preserve"> 4 baseline achieved a strict F1 of 0.2364 and adapted F1 of 0.4766. Category-level analysis (Figure 6a) confirmed strong supervised encoder advantages across treatments (TX: 0.74 vs 0.54), vaccines (VAX: 0.72 vs 0.63), diagnoses (DX: 0.52 vs 0.35), patient status (STATUS: 0.59 vs 0.04), symptoms (SYM: 0.43 vs 0.16), and laboratory findings (LAB: 0.44 vs 0.10). Error anatomy (Figure 6b–d) revealed that LLM errors on VAERS were driven by high spurious entity predictions (29.1% vs 5.2% for BERT) and prominent SYM ↔ DX and RO misclassifications.</w:t>
      </w:r>
    </w:p>
    <w:p w14:paraId="725088E8" w14:textId="77777777" w:rsidR="00426F20" w:rsidRDefault="00426F20" w:rsidP="00413F31">
      <w:r>
        <w:t>Table 4. Primary and Secondary Tier Clinical Concept Extraction Performance Benchmark on the VAERS Dataset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Family</w:t>
            </w:r>
          </w:p>
        </w:tc>
        <w:tc>
          <w:tcPr>
            <w:tcW w:type="dxa" w:w="3168"/>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Input Paradigm</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color w:val="222222"/>
                <w:sz w:val="16"/>
              </w:rPr>
              <w:t>BioBERT (10-Fold CV, Seed 42 Default)</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color w:val="222222"/>
                <w:sz w:val="16"/>
              </w:rPr>
              <w:t>BioBERT (10-Fold CV, 5-Seed Pooled)</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0.6595 ± 0.0177</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0.7882 ± 0.0112</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Tagged P2_TAG_VAERS)</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0.2364</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0.4766</w:t>
            </w:r>
          </w:p>
        </w:tc>
      </w:tr>
    </w:tbl>
    <w:p w14:paraId="238A9B2F" w14:textId="02C4E108" w:rsidR="00413F31" w:rsidRPr="0085396C" w:rsidRDefault="00871950" w:rsidP="00413F31">
      <w:r>
        <w:rPr>
          <w:noProof/>
        </w:rPr>
        <w:lastRenderedPageBreak/>
        <w:drawing>
          <wp:inline distT="0" distB="0" distL="0" distR="0" wp14:anchorId="7F29C378" wp14:editId="1B0E36E5">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17702528" w14:textId="0745B15D" w:rsidR="00413F31" w:rsidRPr="005064A1" w:rsidRDefault="00413F31" w:rsidP="00413F31">
      <w:pPr>
        <w:rPr>
          <w:sz w:val="20"/>
          <w:szCs w:val="20"/>
        </w:rPr>
      </w:pPr>
      <w:r>
        <w:t>Figure 6. Cross-Domain Annotation Benchmark and Error Anatomy on the VAERS Vaccine Dataset. (a) Per-category performance across all 8 VAERS entity classes and overall micro-average for BERT (Blue) vs. LLM (Pink-Coral), showing F1 bars and precision/recall trajectories. (b) M/C/S/N error distribution for BERT vs. LLM on VAERS test narratives. (c) BERT top label misclassifications (X-axis: 0–660). (d) LLM top label misclassifications (X-axis: 0–660, aligned with panel c).</w:t>
      </w:r>
    </w:p>
    <w:p w14:paraId="19767CA5" w14:textId="77777777" w:rsidR="00CD0715" w:rsidRDefault="00CD0715" w:rsidP="00413F31"/>
    <w:p w14:paraId="3F8A2213" w14:textId="6252D2E7" w:rsidR="003C4EB5" w:rsidRDefault="003C4EB5" w:rsidP="00787130">
      <w:pPr>
        <w:pStyle w:val="Heading2"/>
      </w:pPr>
      <w:r>
        <w:t xml:space="preserve">3.6 </w:t>
      </w:r>
      <w:r w:rsidR="00355FD6">
        <w:t>Ablation Studies</w:t>
      </w:r>
    </w:p>
    <w:p w14:paraId="2CE4085F" w14:textId="5EE3C34E" w:rsidR="00303BAD" w:rsidRPr="00303BAD" w:rsidRDefault="00303BAD" w:rsidP="005064A1">
      <w:pPr>
        <w:pStyle w:val="Heading3"/>
      </w:pPr>
      <w:r>
        <w:t xml:space="preserve">Leave-One-Drug-Event-Pair-Out </w:t>
      </w:r>
      <w:r w:rsidR="007B374C">
        <w:t>in BERT</w:t>
      </w:r>
    </w:p>
    <w:p w14:paraId="2DBB6966" w14:textId="75E15B29" w:rsidR="00303BAD" w:rsidRDefault="00303BAD" w:rsidP="00303BAD">
      <w:r>
        <w:t>We applied a repeated Leave-One-Drug-Event-Pair-Out cross-validation protocol on the FAERS corpus to evaluate model generalization across distinct therapeutic contexts. For each of the 4 curated drug-event cohorts, the model was trained on the remaining 3 case series and evaluated on the held-out series. As shown in Table 6, strict exact-match F1 across 5 random seeds was 0.6280 ± 0.0097 for azacitidine–QT prolongation (N = 200), 0.6563 ± 0.0178 for baricitinib–hypersensitivity (N = 200), 0.5602 ± 0.0091 for tramadol–</w:t>
      </w:r>
      <w:r>
        <w:lastRenderedPageBreak/>
        <w:t xml:space="preserve">hypoglycemia (N = 229), and 0.5274 ± 0.0105 for </w:t>
      </w:r>
      <w:proofErr w:type="spellStart"/>
      <w:r>
        <w:t>erenumab</w:t>
      </w:r>
      <w:proofErr w:type="spellEnd"/>
      <w:r>
        <w:t>–stroke (N = 200), yielding a macro-average F1 of 0.5930 ± 0.0118 across folds (0.7173 ± 0.0103 Adapted F1). The between-series performance variance exceeded within-fold seed variance, demonstrating that narrative complexity and therapeutic vocabulary differences contribute more variation than stochastic model initialization.</w:t>
      </w:r>
    </w:p>
    <w:p w14:paraId="09C746A0" w14:textId="77777777" w:rsidR="00303BAD" w:rsidRDefault="00303BAD" w:rsidP="00303BAD">
      <w:r>
        <w:t>Table 5. Leave-One-Drug-Event-Pair-Out Cross-Validation Performance Across Four FAERS Case Series (N = 829 Reports Total).</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Drug–Event Case Series</w:t>
            </w:r>
          </w:p>
        </w:tc>
        <w:tc>
          <w:tcPr>
            <w:tcW w:type="dxa" w:w="216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Cohort Size</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Azacitidine – QT Prolongation</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0.6280 ± 0.0097</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0.7412 ± 0.0085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Baricitinib – Hypersensitivity</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0.6563 ± 0.0178</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0.7850 ± 0.0142</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Tramadol – Hypoglycemia</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229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0.5602 ± 0.0091</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0.6920 ± 0.0088</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Erenumab – Stroke</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0.5274 ± 0.0105</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0.6510 ± 0.0098</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Macro-Average (All 4 Folds)</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829 reports total</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0.5930 ± 0.0118</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0.7173 ± 0.0103</w:t>
            </w:r>
          </w:p>
        </w:tc>
      </w:tr>
    </w:tbl>
    <w:p w14:paraId="44C3461E" w14:textId="77777777" w:rsidR="00E50399" w:rsidRPr="00E50399" w:rsidRDefault="00E50399" w:rsidP="005064A1"/>
    <w:p w14:paraId="5EA0112E" w14:textId="33757335" w:rsidR="00977ABD" w:rsidRDefault="005E7BC1" w:rsidP="00587C00">
      <w:pPr>
        <w:pStyle w:val="Heading3"/>
      </w:pPr>
      <w:r>
        <w:t>Random seed</w:t>
      </w:r>
      <w:r w:rsidR="00BE1A8A">
        <w:t xml:space="preserve"> in BERT Training</w:t>
      </w:r>
    </w:p>
    <w:p w14:paraId="78DF8FE1" w14:textId="77777777" w:rsidR="008A16A5" w:rsidRDefault="00BE1A8A" w:rsidP="00BE1A8A">
      <w:r>
        <w:t xml:space="preserve">To rigorously verify neural network optimization stability, we conducted 5 independent training runs using random initialization seeds (42, 123, 456, 789, 1011) across both FAERS 4-fold LOO (20 total model runs) and VAERS 10-fold CV (50 total model runs). Across all folds, standard deviations remained below 0.010 on FAERS (Strict F1: 0.5259 ± 0.0088; Adapted F1: 0.6732 ± 0.0084) and below 0.020 on VAERS (Strict F1: 0.6595 ± 0.0177; Adapted F1: 0.7882 ± 0.0112), confirming that supervised </w:t>
      </w:r>
      <w:proofErr w:type="spellStart"/>
      <w:r>
        <w:t>BioBERT</w:t>
      </w:r>
      <w:proofErr w:type="spellEnd"/>
      <w:r>
        <w:t xml:space="preserve"> convergence is exceptionally robust to weight initialization.</w:t>
      </w:r>
    </w:p>
    <w:p w14:paraId="08E4E6EB" w14:textId="77777777" w:rsidR="008A16A5" w:rsidRDefault="008A16A5" w:rsidP="00BE1A8A"/>
    <w:p w14:paraId="1360ABBF" w14:textId="30BDFC37" w:rsidR="00BE1A8A" w:rsidRPr="00BE1A8A" w:rsidRDefault="008A16A5" w:rsidP="005064A1">
      <w:pPr>
        <w:pStyle w:val="Heading3"/>
      </w:pPr>
      <w:r>
        <w:t xml:space="preserve">LLM Output Format Impact </w:t>
      </w:r>
    </w:p>
    <w:p w14:paraId="0213B025" w14:textId="287A4B41"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The inline XML tagging approach achieved substantially superior strict F1 (0.3542 vs. 0.3200) and adapted F1 (0.5098 vs. 0.4700) with a 100.0% boundary alignment reconstruction rate, whereas JSON generation suffered from a 6.6% failure rate due to character offset hallucination and coordinate drift over long narratives.</w:t>
      </w:r>
    </w:p>
    <w:p w14:paraId="632D620A" w14:textId="77777777" w:rsidR="00EF6AE3" w:rsidRDefault="00EF6AE3" w:rsidP="00413F31">
      <w:r>
        <w:t>Table 6. Impact of LLM Output Format Paradigm (Inline Tagged XML vs. Structured JSON Schema Offsets) on Entity Extraction and Offset Alignment.</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w:t>
            </w:r>
          </w:p>
        </w:tc>
        <w:tc>
          <w:tcPr>
            <w:tcW w:type="dxa" w:w="331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Prompt Strategy &amp; Output Paradigm</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Strict Exact-Match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Adapted ADE-Eval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Boundary Alignment Success</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0.3542</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0.5098</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r>
        <w:tc>
          <w:tcPr>
            <w:tcW w:type="dxa" w:w="2304"/>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Schema (Structured Span Offsets)</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0.3200</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0.4700</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93.4%</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0.4222</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0.5786</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bl>
    <w:p w14:paraId="66057E6D" w14:textId="73F8201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63A6C28A" w:rsidR="00443EF3" w:rsidRPr="00443EF3" w:rsidRDefault="00EC3536" w:rsidP="00443EF3">
      <w:r>
        <w:t xml:space="preserve">In this study, </w:t>
      </w:r>
      <w:r w:rsidR="00443EF3" w:rsidRPr="00443EF3">
        <w:t xml:space="preserve">we </w:t>
      </w:r>
      <w:r w:rsidR="00D14FE6">
        <w:t>observed</w:t>
      </w:r>
      <w:r w:rsidR="00443EF3" w:rsidRPr="00443EF3">
        <w:t xml:space="preserve"> that a zero-shot,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r>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 xml:space="preserve">stringent evaluation framework. Because the metric requires </w:t>
      </w:r>
      <w:r w:rsidRPr="00443EF3">
        <w:lastRenderedPageBreak/>
        <w:t>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 xml:space="preserve">In addition, this work focuses on span-level NER and does not address downstream tasks such as relation extraction or causality assessment, which are critical for regulatory applications. Finally, due to data sensitivity constraints, we were unable to evaluate certain commercial </w:t>
      </w:r>
      <w:r w:rsidRPr="00443EF3">
        <w:lastRenderedPageBreak/>
        <w:t>LLMs, and future advances in model capabilities may shift the relative performance observed here.</w:t>
      </w:r>
    </w:p>
    <w:p w14:paraId="3A81F0E1" w14:textId="640310A6"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lastRenderedPageBreak/>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6"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7"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0A04EE30" w14:textId="617182BA" w:rsidR="000079B2" w:rsidRDefault="006434F9" w:rsidP="00FF70DA">
      <w:r>
        <w:fldChar w:fldCharType="end"/>
      </w:r>
    </w:p>
    <w:p w14:paraId="3D97712B" w14:textId="77777777" w:rsidR="006A29A7" w:rsidRDefault="006A29A7" w:rsidP="00FF70DA"/>
    <w:p w14:paraId="767A52E3" w14:textId="77777777" w:rsidR="000079B2" w:rsidRPr="00C32E22" w:rsidRDefault="000079B2" w:rsidP="000079B2">
      <w:pPr>
        <w:pStyle w:val="Caption"/>
      </w:pPr>
      <w:r>
        <w:rPr>
          <w:noProof/>
        </w:rPr>
        <mc:AlternateContent>
          <mc:Choice Requires="wps">
            <w:drawing>
              <wp:anchor distT="45720" distB="45720" distL="114300" distR="114300" simplePos="0" relativeHeight="251658240" behindDoc="0" locked="0" layoutInCell="1" allowOverlap="1" wp14:anchorId="2395167B" wp14:editId="298C2DA6">
                <wp:simplePos x="0" y="0"/>
                <wp:positionH relativeFrom="column">
                  <wp:posOffset>-157480</wp:posOffset>
                </wp:positionH>
                <wp:positionV relativeFrom="paragraph">
                  <wp:posOffset>477520</wp:posOffset>
                </wp:positionV>
                <wp:extent cx="6035040" cy="6481445"/>
                <wp:effectExtent l="0" t="0" r="22860" b="15240"/>
                <wp:wrapTopAndBottom/>
                <wp:docPr id="18644189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481445"/>
                        </a:xfrm>
                        <a:prstGeom prst="rect">
                          <a:avLst/>
                        </a:prstGeom>
                        <a:solidFill>
                          <a:srgbClr val="FFFFFF"/>
                        </a:solidFill>
                        <a:ln w="9525">
                          <a:solidFill>
                            <a:srgbClr val="000000"/>
                          </a:solidFill>
                          <a:miter lim="800000"/>
                          <a:headEnd/>
                          <a:tailEnd/>
                        </a:ln>
                      </wps:spPr>
                      <wps:txbx>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5167B" id="_x0000_t202" coordsize="21600,21600" o:spt="202" path="m,l,21600r21600,l21600,xe">
                <v:stroke joinstyle="miter"/>
                <v:path gradientshapeok="t" o:connecttype="rect"/>
              </v:shapetype>
              <v:shape id="Text Box 1" o:spid="_x0000_s1026" type="#_x0000_t202" style="position:absolute;margin-left:-12.4pt;margin-top:37.6pt;width:475.2pt;height:510.3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">
                <v:textbox style="mso-fit-shape-to-text:t">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v:textbox>
                <w10:wrap type="topAndBottom"/>
              </v:shape>
            </w:pict>
          </mc:Fallback>
        </mc:AlternateContent>
      </w:r>
      <w:r w:rsidRPr="00C32E22">
        <w:t xml:space="preserve">Supplementary File </w:t>
      </w:r>
      <w:r>
        <w:t xml:space="preserve">1. LLM Prompt for Narrative Annotation </w:t>
      </w:r>
    </w:p>
    <w:p w14:paraId="4DCAB2A5" w14:textId="77777777" w:rsidR="000079B2" w:rsidRDefault="000079B2" w:rsidP="000079B2"/>
    <w:p w14:paraId="665956B6" w14:textId="77777777" w:rsidR="0008720F" w:rsidRDefault="0008720F">
      <w:pPr>
        <w:rPr>
          <w:b/>
          <w:bCs/>
        </w:rPr>
      </w:pPr>
      <w:r>
        <w:rPr>
          <w:b/>
          <w:bCs/>
        </w:rPr>
        <w:br w:type="page"/>
      </w:r>
    </w:p>
    <w:p w14:paraId="7434383C" w14:textId="7A81F322" w:rsidR="000079B2" w:rsidRPr="00352B24" w:rsidRDefault="000079B2" w:rsidP="000079B2">
      <w:pPr>
        <w:rPr>
          <w:b/>
          <w:bCs/>
        </w:rPr>
      </w:pPr>
      <w:r w:rsidRPr="00352B24">
        <w:rPr>
          <w:b/>
          <w:bCs/>
        </w:rPr>
        <w:lastRenderedPageBreak/>
        <w:t xml:space="preserve">Table </w:t>
      </w:r>
      <w:r>
        <w:rPr>
          <w:b/>
          <w:bCs/>
        </w:rPr>
        <w:t>S1</w:t>
      </w:r>
      <w:r w:rsidRPr="00352B24">
        <w:rPr>
          <w:b/>
          <w:bCs/>
        </w:rPr>
        <w:t>. Annotation Categories and Definitions</w:t>
      </w:r>
    </w:p>
    <w:tbl>
      <w:tblPr>
        <w:tblStyle w:val="PlainTable3"/>
        <w:tblW w:w="0" w:type="auto"/>
        <w:tblLook w:val="04A0" w:firstRow="1" w:lastRow="0" w:firstColumn="1" w:lastColumn="0" w:noHBand="0" w:noVBand="1"/>
      </w:tblPr>
      <w:tblGrid>
        <w:gridCol w:w="2641"/>
        <w:gridCol w:w="6719"/>
      </w:tblGrid>
      <w:tr w:rsidR="000079B2" w:rsidRPr="00EB3EE8" w14:paraId="433F8180" w14:textId="77777777" w:rsidTr="00FE06B6">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641" w:type="dxa"/>
            <w:hideMark/>
          </w:tcPr>
          <w:p w14:paraId="125E3CE7" w14:textId="77777777" w:rsidR="000079B2" w:rsidRPr="00415620" w:rsidRDefault="000079B2">
            <w:pPr>
              <w:contextualSpacing/>
              <w:rPr>
                <w:sz w:val="18"/>
                <w:szCs w:val="18"/>
              </w:rPr>
            </w:pPr>
            <w:r w:rsidRPr="00415620">
              <w:rPr>
                <w:sz w:val="18"/>
                <w:szCs w:val="18"/>
              </w:rPr>
              <w:t>Clinical Concept </w:t>
            </w:r>
          </w:p>
        </w:tc>
        <w:tc>
          <w:tcPr>
            <w:tcW w:w="6719" w:type="dxa"/>
            <w:hideMark/>
          </w:tcPr>
          <w:p w14:paraId="44531AFF" w14:textId="77777777" w:rsidR="000079B2" w:rsidRPr="00A33A12" w:rsidRDefault="000079B2">
            <w:pPr>
              <w:contextualSpacing/>
              <w:cnfStyle w:val="100000000000" w:firstRow="1" w:lastRow="0" w:firstColumn="0" w:lastColumn="0" w:oddVBand="0" w:evenVBand="0" w:oddHBand="0" w:evenHBand="0" w:firstRowFirstColumn="0" w:firstRowLastColumn="0" w:lastRowFirstColumn="0" w:lastRowLastColumn="0"/>
              <w:rPr>
                <w:b w:val="0"/>
                <w:bCs w:val="0"/>
              </w:rPr>
            </w:pPr>
            <w:r w:rsidRPr="001E1C02">
              <w:t>Definitions</w:t>
            </w:r>
          </w:p>
        </w:tc>
      </w:tr>
      <w:tr w:rsidR="000079B2" w:rsidRPr="00EB3EE8" w14:paraId="3AC1FA8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7657F5AC" w14:textId="77777777" w:rsidR="000079B2" w:rsidRPr="00415620" w:rsidRDefault="000079B2">
            <w:pPr>
              <w:contextualSpacing/>
              <w:rPr>
                <w:b w:val="0"/>
                <w:bCs w:val="0"/>
                <w:sz w:val="18"/>
                <w:szCs w:val="18"/>
              </w:rPr>
            </w:pPr>
            <w:r w:rsidRPr="00415620">
              <w:rPr>
                <w:sz w:val="18"/>
                <w:szCs w:val="18"/>
              </w:rPr>
              <w:t>sDrug: Suspect Drug Products</w:t>
            </w:r>
          </w:p>
          <w:p w14:paraId="2778B016" w14:textId="77777777" w:rsidR="000079B2" w:rsidRPr="00415620" w:rsidRDefault="000079B2">
            <w:pPr>
              <w:contextualSpacing/>
              <w:rPr>
                <w:b w:val="0"/>
                <w:bCs w:val="0"/>
                <w:sz w:val="18"/>
                <w:szCs w:val="18"/>
              </w:rPr>
            </w:pPr>
          </w:p>
        </w:tc>
        <w:tc>
          <w:tcPr>
            <w:tcW w:w="6719" w:type="dxa"/>
            <w:hideMark/>
          </w:tcPr>
          <w:p w14:paraId="5C08055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A drug or biological product believed to have caused, contributed to, or been associated with the adverse event. Often discontinued, changed, or adjusted after the AE. May have explicit causal language linking it to the AE. </w:t>
            </w:r>
          </w:p>
        </w:tc>
      </w:tr>
      <w:tr w:rsidR="000079B2" w:rsidRPr="00EB3EE8" w14:paraId="6E9DBF6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EB3F22B" w14:textId="77777777" w:rsidR="000079B2" w:rsidRPr="00415620" w:rsidRDefault="000079B2">
            <w:pPr>
              <w:contextualSpacing/>
              <w:rPr>
                <w:b w:val="0"/>
                <w:bCs w:val="0"/>
                <w:sz w:val="18"/>
                <w:szCs w:val="18"/>
              </w:rPr>
            </w:pPr>
            <w:r w:rsidRPr="00415620">
              <w:rPr>
                <w:sz w:val="18"/>
                <w:szCs w:val="18"/>
              </w:rPr>
              <w:t>cDrug: Concomitant Drug Products </w:t>
            </w:r>
          </w:p>
        </w:tc>
        <w:tc>
          <w:tcPr>
            <w:tcW w:w="6719" w:type="dxa"/>
            <w:hideMark/>
          </w:tcPr>
          <w:p w14:paraId="185E2428"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Drugs that were concurrently administered with other drugs (e.g., suspect drugs), as part of the patient’s ongoing or routine regimen. May include chronic medications, maintenance therapy, or background treatments. Some may have a potential or implicit causal relationship with the AE, as per applicant report. </w:t>
            </w:r>
          </w:p>
        </w:tc>
      </w:tr>
      <w:tr w:rsidR="000079B2" w:rsidRPr="00EB3EE8" w14:paraId="5DA35D92"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34C517C8" w14:textId="77777777" w:rsidR="000079B2" w:rsidRPr="00415620" w:rsidRDefault="000079B2">
            <w:pPr>
              <w:contextualSpacing/>
              <w:rPr>
                <w:b w:val="0"/>
                <w:bCs w:val="0"/>
                <w:sz w:val="18"/>
                <w:szCs w:val="18"/>
              </w:rPr>
            </w:pPr>
            <w:r w:rsidRPr="00415620">
              <w:rPr>
                <w:sz w:val="18"/>
                <w:szCs w:val="18"/>
              </w:rPr>
              <w:t>oDrug: Other Drug Products </w:t>
            </w:r>
          </w:p>
        </w:tc>
        <w:tc>
          <w:tcPr>
            <w:tcW w:w="6719" w:type="dxa"/>
          </w:tcPr>
          <w:p w14:paraId="082E183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Drugs mentioned but not clearly linked to current adverse event, concomitant drugs or therapy, or explicit treatment purpose. </w:t>
            </w:r>
          </w:p>
          <w:p w14:paraId="6B63D789"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Illicit substances (e.g. Methamphetamine in its non-medical form) should also be included, as they may act as important confounding factors or be relevant to future drug approvals involving such substances (e.g. psychedelics).  </w:t>
            </w:r>
          </w:p>
          <w:p w14:paraId="70508FA3" w14:textId="7A0D6CB6"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xml:space="preserve">Typically </w:t>
            </w:r>
            <w:r w:rsidR="00812F02" w:rsidRPr="00A33A12">
              <w:rPr>
                <w:sz w:val="18"/>
                <w:szCs w:val="18"/>
              </w:rPr>
              <w:t>include</w:t>
            </w:r>
            <w:r w:rsidRPr="00A33A12">
              <w:rPr>
                <w:sz w:val="18"/>
                <w:szCs w:val="18"/>
              </w:rPr>
              <w:t xml:space="preserve"> historical drug use or drug references without any specified clinical context.  </w:t>
            </w:r>
          </w:p>
        </w:tc>
      </w:tr>
      <w:tr w:rsidR="000079B2" w:rsidRPr="00EB3EE8" w14:paraId="3AD537E0"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F497F88" w14:textId="77777777" w:rsidR="000079B2" w:rsidRPr="00415620" w:rsidRDefault="000079B2">
            <w:pPr>
              <w:contextualSpacing/>
              <w:rPr>
                <w:b w:val="0"/>
                <w:bCs w:val="0"/>
                <w:sz w:val="18"/>
                <w:szCs w:val="18"/>
              </w:rPr>
            </w:pPr>
            <w:r w:rsidRPr="00415620">
              <w:rPr>
                <w:sz w:val="18"/>
                <w:szCs w:val="18"/>
              </w:rPr>
              <w:t>Dose: Dose Administered </w:t>
            </w:r>
          </w:p>
        </w:tc>
        <w:tc>
          <w:tcPr>
            <w:tcW w:w="6719" w:type="dxa"/>
            <w:hideMark/>
          </w:tcPr>
          <w:p w14:paraId="21AE67EA"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Explicitly stated dosage information of any drugs. </w:t>
            </w:r>
          </w:p>
        </w:tc>
      </w:tr>
      <w:tr w:rsidR="009C09DC" w:rsidRPr="00EB3EE8" w14:paraId="0FF3E77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BD2B649" w14:textId="6313E616" w:rsidR="009C09DC" w:rsidRPr="00415620" w:rsidRDefault="009C09DC" w:rsidP="009C09DC">
            <w:pPr>
              <w:contextualSpacing/>
              <w:rPr>
                <w:sz w:val="18"/>
                <w:szCs w:val="18"/>
              </w:rPr>
            </w:pPr>
            <w:r w:rsidRPr="00415620">
              <w:rPr>
                <w:sz w:val="18"/>
                <w:szCs w:val="18"/>
              </w:rPr>
              <w:t>IND: indication </w:t>
            </w:r>
          </w:p>
        </w:tc>
        <w:tc>
          <w:tcPr>
            <w:tcW w:w="6719" w:type="dxa"/>
          </w:tcPr>
          <w:p w14:paraId="5DA7F877" w14:textId="0D6EC093"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reason or intended medical purpose for which a drug, treatment, or procedure is used. This includes explicit statements like "used for fever" or "given for infection." Also includes cases where the indication is unknown or unspecified but clearly referenced. </w:t>
            </w:r>
          </w:p>
        </w:tc>
      </w:tr>
      <w:tr w:rsidR="000079B2" w:rsidRPr="00EB3EE8" w14:paraId="6E071FBB"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0CD6B3D" w14:textId="77777777" w:rsidR="000079B2" w:rsidRPr="00415620" w:rsidRDefault="000079B2">
            <w:pPr>
              <w:contextualSpacing/>
              <w:rPr>
                <w:b w:val="0"/>
                <w:bCs w:val="0"/>
                <w:sz w:val="18"/>
                <w:szCs w:val="18"/>
              </w:rPr>
            </w:pPr>
            <w:r w:rsidRPr="00415620">
              <w:rPr>
                <w:sz w:val="18"/>
                <w:szCs w:val="18"/>
              </w:rPr>
              <w:t>Treatment: Drug used for treatment </w:t>
            </w:r>
          </w:p>
        </w:tc>
        <w:tc>
          <w:tcPr>
            <w:tcW w:w="6719" w:type="dxa"/>
            <w:hideMark/>
          </w:tcPr>
          <w:p w14:paraId="0397B4F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 only drug products/ drug administration explicitly described as treatments addressing disease, adverse events or symptoms.   </w:t>
            </w:r>
          </w:p>
        </w:tc>
      </w:tr>
      <w:tr w:rsidR="009C09DC" w:rsidRPr="00EB3EE8" w14:paraId="3CD5EDF6"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240D28B4" w14:textId="77777777" w:rsidR="009C09DC" w:rsidRPr="00415620" w:rsidRDefault="009C09DC">
            <w:pPr>
              <w:contextualSpacing/>
              <w:rPr>
                <w:sz w:val="18"/>
                <w:szCs w:val="18"/>
              </w:rPr>
            </w:pPr>
          </w:p>
        </w:tc>
        <w:tc>
          <w:tcPr>
            <w:tcW w:w="6719" w:type="dxa"/>
            <w:shd w:val="clear" w:color="auto" w:fill="7F7F7F" w:themeFill="text1" w:themeFillTint="80"/>
          </w:tcPr>
          <w:p w14:paraId="27DF4E92"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0079B2" w:rsidRPr="00EB3EE8" w14:paraId="75BC5C86"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2593043" w14:textId="77777777" w:rsidR="000079B2" w:rsidRPr="00415620" w:rsidRDefault="000079B2">
            <w:pPr>
              <w:contextualSpacing/>
              <w:rPr>
                <w:b w:val="0"/>
                <w:bCs w:val="0"/>
                <w:sz w:val="18"/>
                <w:szCs w:val="18"/>
              </w:rPr>
            </w:pPr>
            <w:r w:rsidRPr="00415620">
              <w:rPr>
                <w:sz w:val="18"/>
                <w:szCs w:val="18"/>
              </w:rPr>
              <w:t>AE: Adverse Event </w:t>
            </w:r>
          </w:p>
        </w:tc>
        <w:tc>
          <w:tcPr>
            <w:tcW w:w="6719" w:type="dxa"/>
            <w:hideMark/>
          </w:tcPr>
          <w:p w14:paraId="529D4066"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Any negative health outcome, condition, or symptom that could represent an adverse event, regardless of their relation to the drug or baseline status. This category includes all clinically relevant events, including baseline symptoms, new diagnoses, and patient-reported symptoms. An adverse event may be a formally diagnosed condition or a subjective symptom reported by the patient, indicating a potential impact on the patient’s health. </w:t>
            </w:r>
          </w:p>
        </w:tc>
      </w:tr>
      <w:tr w:rsidR="000079B2" w:rsidRPr="00EB3EE8" w14:paraId="0B61D6A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3667DB" w14:textId="77777777" w:rsidR="000079B2" w:rsidRPr="00415620" w:rsidRDefault="000079B2">
            <w:pPr>
              <w:contextualSpacing/>
              <w:rPr>
                <w:b w:val="0"/>
                <w:bCs w:val="0"/>
                <w:sz w:val="18"/>
                <w:szCs w:val="18"/>
              </w:rPr>
            </w:pPr>
            <w:r w:rsidRPr="00415620">
              <w:rPr>
                <w:sz w:val="18"/>
                <w:szCs w:val="18"/>
              </w:rPr>
              <w:t>mAE: AE Manifestations/Sequelae </w:t>
            </w:r>
          </w:p>
          <w:p w14:paraId="003B1B0C" w14:textId="77777777" w:rsidR="000079B2" w:rsidRPr="00415620" w:rsidRDefault="000079B2">
            <w:pPr>
              <w:contextualSpacing/>
              <w:rPr>
                <w:b w:val="0"/>
                <w:bCs w:val="0"/>
                <w:sz w:val="18"/>
                <w:szCs w:val="18"/>
              </w:rPr>
            </w:pPr>
          </w:p>
        </w:tc>
        <w:tc>
          <w:tcPr>
            <w:tcW w:w="6719" w:type="dxa"/>
            <w:hideMark/>
          </w:tcPr>
          <w:p w14:paraId="768950B5"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A33A12">
              <w:rPr>
                <w:sz w:val="18"/>
                <w:szCs w:val="18"/>
              </w:rPr>
              <w:t>mAE</w:t>
            </w:r>
            <w:proofErr w:type="spellEnd"/>
            <w:r w:rsidRPr="00A33A12">
              <w:rPr>
                <w:sz w:val="18"/>
                <w:szCs w:val="18"/>
              </w:rPr>
              <w:t>-Manifestations: immediate signs, symptoms that appear as part of the adverse event. Observable or measurable effects associated with the AE. May include physiological changes or specific clinical findings. Documented at or near the time of the AE onset. </w:t>
            </w:r>
          </w:p>
          <w:p w14:paraId="0CEA1630"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A33A12">
              <w:rPr>
                <w:sz w:val="18"/>
                <w:szCs w:val="18"/>
              </w:rPr>
              <w:t>mAE</w:t>
            </w:r>
            <w:proofErr w:type="spellEnd"/>
            <w:r w:rsidRPr="00A33A12">
              <w:rPr>
                <w:sz w:val="18"/>
                <w:szCs w:val="18"/>
              </w:rPr>
              <w:t>-Sequelae: consequences or complications resulting from the adverse event. Persistent or secondary effects occurring after the acute phase of the AE. May develop days, weeks, or even years after the AE. </w:t>
            </w:r>
          </w:p>
        </w:tc>
      </w:tr>
      <w:tr w:rsidR="000079B2" w:rsidRPr="00EB3EE8" w14:paraId="530737C4"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0C0BD39" w14:textId="77777777" w:rsidR="000079B2" w:rsidRPr="00415620" w:rsidRDefault="000079B2">
            <w:pPr>
              <w:contextualSpacing/>
              <w:rPr>
                <w:b w:val="0"/>
                <w:bCs w:val="0"/>
                <w:sz w:val="18"/>
                <w:szCs w:val="18"/>
              </w:rPr>
            </w:pPr>
            <w:r w:rsidRPr="00415620">
              <w:rPr>
                <w:sz w:val="18"/>
                <w:szCs w:val="18"/>
              </w:rPr>
              <w:t>Dx: diagnostic test results </w:t>
            </w:r>
          </w:p>
        </w:tc>
        <w:tc>
          <w:tcPr>
            <w:tcW w:w="6719" w:type="dxa"/>
            <w:hideMark/>
          </w:tcPr>
          <w:p w14:paraId="0D2802FC"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Captured only the names of diagnostic procedures performed to evaluate or confirm a medical condition or diagnosis.   </w:t>
            </w:r>
          </w:p>
        </w:tc>
      </w:tr>
      <w:tr w:rsidR="009C09DC" w:rsidRPr="00EB3EE8" w14:paraId="17F2749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6449BE2" w14:textId="02DFBDFA" w:rsidR="009C09DC" w:rsidRPr="00415620" w:rsidRDefault="009C09DC" w:rsidP="009C09DC">
            <w:pPr>
              <w:contextualSpacing/>
              <w:rPr>
                <w:sz w:val="18"/>
                <w:szCs w:val="18"/>
              </w:rPr>
            </w:pPr>
            <w:r w:rsidRPr="00415620">
              <w:rPr>
                <w:sz w:val="18"/>
                <w:szCs w:val="18"/>
              </w:rPr>
              <w:t>Lab: Laboratory Finding </w:t>
            </w:r>
          </w:p>
        </w:tc>
        <w:tc>
          <w:tcPr>
            <w:tcW w:w="6719" w:type="dxa"/>
          </w:tcPr>
          <w:p w14:paraId="411D3120" w14:textId="5C87D026"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Results (test named and specific results) specifically from laboratory tests indicating quantitative measurements or biochemical markers, such as blood tests, enzyme levels, height, weight and other routine or other clinical parameters. Regardless of whether the results are normal, abnormal, positive, or negative. Laboratory findings provide objective data about the patient’s health status and can support the assessment of adverse events when combined with symptoms or diagnoses. This category captures information related to specific measurements, test outcomes, and diagnostic indicators but doesn’t imply an adverse event on its own. </w:t>
            </w:r>
          </w:p>
        </w:tc>
      </w:tr>
      <w:tr w:rsidR="009C09DC" w:rsidRPr="00EB3EE8" w14:paraId="698693CC"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4B6EAC24" w14:textId="2CA5DC66" w:rsidR="009C09DC" w:rsidRPr="00415620" w:rsidRDefault="009C09DC" w:rsidP="009C09DC">
            <w:pPr>
              <w:contextualSpacing/>
              <w:rPr>
                <w:sz w:val="18"/>
                <w:szCs w:val="18"/>
              </w:rPr>
            </w:pPr>
            <w:r w:rsidRPr="00415620">
              <w:rPr>
                <w:sz w:val="18"/>
                <w:szCs w:val="18"/>
              </w:rPr>
              <w:t>Status: patient status </w:t>
            </w:r>
          </w:p>
        </w:tc>
        <w:tc>
          <w:tcPr>
            <w:tcW w:w="6719" w:type="dxa"/>
          </w:tcPr>
          <w:p w14:paraId="6FCEBF1C" w14:textId="7204EE13"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captures statements about the progression or outcome of either the patient’s overall clinical condition or the adverse event status after a treatment, or intervention. This category captures many references to how the patient’s condition has progressed over time, whether they recover, worsened, remained stable, or experienced long-term effects. Outcome data helps to understand the impacts and severity of adverse events and provide insight into the efficacy of treatments. </w:t>
            </w:r>
          </w:p>
        </w:tc>
      </w:tr>
      <w:tr w:rsidR="009C09DC" w:rsidRPr="00EB3EE8" w14:paraId="1D7B8A15"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0CB41EB" w14:textId="353EE646" w:rsidR="009C09DC" w:rsidRPr="00415620" w:rsidRDefault="009C09DC" w:rsidP="009C09DC">
            <w:pPr>
              <w:contextualSpacing/>
              <w:rPr>
                <w:sz w:val="18"/>
                <w:szCs w:val="18"/>
              </w:rPr>
            </w:pPr>
            <w:r w:rsidRPr="00415620">
              <w:rPr>
                <w:sz w:val="18"/>
                <w:szCs w:val="18"/>
              </w:rPr>
              <w:t>R/O: Rule-out diagnosis </w:t>
            </w:r>
          </w:p>
        </w:tc>
        <w:tc>
          <w:tcPr>
            <w:tcW w:w="6719" w:type="dxa"/>
          </w:tcPr>
          <w:p w14:paraId="20ACBA80" w14:textId="4914DCA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Conditions considered but ultimately ruled out as causes of symptoms or adverse events. </w:t>
            </w:r>
          </w:p>
        </w:tc>
      </w:tr>
      <w:tr w:rsidR="000079B2" w:rsidRPr="00EB3EE8" w14:paraId="6C6412F7"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F33936" w14:textId="77777777" w:rsidR="000079B2" w:rsidRPr="00415620" w:rsidRDefault="000079B2">
            <w:pPr>
              <w:contextualSpacing/>
              <w:rPr>
                <w:b w:val="0"/>
                <w:bCs w:val="0"/>
                <w:sz w:val="18"/>
                <w:szCs w:val="18"/>
              </w:rPr>
            </w:pPr>
            <w:r w:rsidRPr="00415620">
              <w:rPr>
                <w:sz w:val="18"/>
                <w:szCs w:val="18"/>
              </w:rPr>
              <w:lastRenderedPageBreak/>
              <w:t>CoD: Cause of Death </w:t>
            </w:r>
          </w:p>
        </w:tc>
        <w:tc>
          <w:tcPr>
            <w:tcW w:w="6719" w:type="dxa"/>
            <w:hideMark/>
          </w:tcPr>
          <w:p w14:paraId="4BE6B2B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Specific cause or reason for patient death that may be related to the drug.  </w:t>
            </w:r>
          </w:p>
        </w:tc>
      </w:tr>
      <w:tr w:rsidR="009C09DC" w:rsidRPr="00EB3EE8" w14:paraId="336290C7"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5EF542DE" w14:textId="77777777" w:rsidR="009C09DC" w:rsidRPr="00415620" w:rsidRDefault="009C09DC">
            <w:pPr>
              <w:contextualSpacing/>
              <w:rPr>
                <w:sz w:val="18"/>
                <w:szCs w:val="18"/>
              </w:rPr>
            </w:pPr>
          </w:p>
        </w:tc>
        <w:tc>
          <w:tcPr>
            <w:tcW w:w="6719" w:type="dxa"/>
            <w:shd w:val="clear" w:color="auto" w:fill="7F7F7F" w:themeFill="text1" w:themeFillTint="80"/>
          </w:tcPr>
          <w:p w14:paraId="02132441"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9C09DC" w:rsidRPr="00EB3EE8" w14:paraId="24C81F9B"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63875CE" w14:textId="49848846" w:rsidR="009C09DC" w:rsidRPr="00415620" w:rsidRDefault="009C09DC" w:rsidP="009C09DC">
            <w:pPr>
              <w:contextualSpacing/>
              <w:rPr>
                <w:b w:val="0"/>
                <w:bCs w:val="0"/>
                <w:sz w:val="18"/>
                <w:szCs w:val="18"/>
              </w:rPr>
            </w:pPr>
            <w:r w:rsidRPr="00415620">
              <w:rPr>
                <w:sz w:val="18"/>
                <w:szCs w:val="18"/>
              </w:rPr>
              <w:t>MHx: Medical History </w:t>
            </w:r>
          </w:p>
        </w:tc>
        <w:tc>
          <w:tcPr>
            <w:tcW w:w="6719" w:type="dxa"/>
          </w:tcPr>
          <w:p w14:paraId="4F0C4537" w14:textId="7C6CC1D0"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Symptoms, conditions, or medical findings that pre-existed before the adverse event and are not caused by it. This includes the patient's past or chronic conditions, prior diagnoses, pre-existing diseases, or stable ongoing symptoms. Helps differentiate between background health status and AE-related events.</w:t>
            </w:r>
          </w:p>
        </w:tc>
      </w:tr>
      <w:tr w:rsidR="009C09DC" w:rsidRPr="00EB3EE8" w14:paraId="55658EC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C7141DF" w14:textId="77777777" w:rsidR="009C09DC" w:rsidRPr="00415620" w:rsidRDefault="009C09DC" w:rsidP="009C09DC">
            <w:pPr>
              <w:contextualSpacing/>
              <w:rPr>
                <w:b w:val="0"/>
                <w:bCs w:val="0"/>
                <w:sz w:val="18"/>
                <w:szCs w:val="18"/>
              </w:rPr>
            </w:pPr>
            <w:r w:rsidRPr="00415620">
              <w:rPr>
                <w:sz w:val="18"/>
                <w:szCs w:val="18"/>
              </w:rPr>
              <w:t>FHx: Family History </w:t>
            </w:r>
          </w:p>
        </w:tc>
        <w:tc>
          <w:tcPr>
            <w:tcW w:w="6719" w:type="dxa"/>
            <w:hideMark/>
          </w:tcPr>
          <w:p w14:paraId="0FF8C335"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Patient’s family medical history, often related to genetic predispositions. </w:t>
            </w:r>
          </w:p>
        </w:tc>
      </w:tr>
      <w:tr w:rsidR="009C09DC" w:rsidRPr="00EB3EE8" w14:paraId="4EAB51C1"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3422A5C2" w14:textId="75A15714" w:rsidR="009C09DC" w:rsidRPr="00415620" w:rsidRDefault="009C09DC" w:rsidP="009C09DC">
            <w:pPr>
              <w:contextualSpacing/>
              <w:rPr>
                <w:b w:val="0"/>
                <w:bCs w:val="0"/>
                <w:sz w:val="18"/>
                <w:szCs w:val="18"/>
              </w:rPr>
            </w:pPr>
          </w:p>
        </w:tc>
        <w:tc>
          <w:tcPr>
            <w:tcW w:w="6719" w:type="dxa"/>
            <w:shd w:val="clear" w:color="auto" w:fill="7F7F7F" w:themeFill="text1" w:themeFillTint="80"/>
          </w:tcPr>
          <w:p w14:paraId="303DD1EE" w14:textId="6BE97102"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p>
        </w:tc>
      </w:tr>
      <w:tr w:rsidR="009C09DC" w:rsidRPr="00EB3EE8" w14:paraId="6AFE6B5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40B2BAF7" w14:textId="77777777" w:rsidR="009C09DC" w:rsidRPr="00415620" w:rsidRDefault="009C09DC" w:rsidP="009C09DC">
            <w:pPr>
              <w:contextualSpacing/>
              <w:rPr>
                <w:b w:val="0"/>
                <w:bCs w:val="0"/>
                <w:sz w:val="18"/>
                <w:szCs w:val="18"/>
              </w:rPr>
            </w:pPr>
            <w:r w:rsidRPr="00415620">
              <w:rPr>
                <w:sz w:val="18"/>
                <w:szCs w:val="18"/>
              </w:rPr>
              <w:t>Age: Age </w:t>
            </w:r>
          </w:p>
        </w:tc>
        <w:tc>
          <w:tcPr>
            <w:tcW w:w="6719" w:type="dxa"/>
            <w:hideMark/>
          </w:tcPr>
          <w:p w14:paraId="23BB7EDB"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age of the patient when the AE occurred or during the described event. </w:t>
            </w:r>
          </w:p>
        </w:tc>
      </w:tr>
      <w:tr w:rsidR="009C09DC" w:rsidRPr="00EB3EE8" w14:paraId="69ACA20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D685234" w14:textId="77777777" w:rsidR="009C09DC" w:rsidRPr="00415620" w:rsidRDefault="009C09DC" w:rsidP="009C09DC">
            <w:pPr>
              <w:contextualSpacing/>
              <w:rPr>
                <w:b w:val="0"/>
                <w:bCs w:val="0"/>
                <w:sz w:val="18"/>
                <w:szCs w:val="18"/>
              </w:rPr>
            </w:pPr>
            <w:r w:rsidRPr="00415620">
              <w:rPr>
                <w:sz w:val="18"/>
                <w:szCs w:val="18"/>
              </w:rPr>
              <w:t>Sex: sex </w:t>
            </w:r>
          </w:p>
        </w:tc>
        <w:tc>
          <w:tcPr>
            <w:tcW w:w="6719" w:type="dxa"/>
            <w:hideMark/>
          </w:tcPr>
          <w:p w14:paraId="662662E4" w14:textId="77777777"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The biological sex of the patient, as described in the clinical narrative. </w:t>
            </w:r>
          </w:p>
        </w:tc>
      </w:tr>
    </w:tbl>
    <w:p w14:paraId="388385D9" w14:textId="77777777" w:rsidR="000079B2" w:rsidRDefault="000079B2" w:rsidP="000079B2"/>
    <w:p w14:paraId="28B29932" w14:textId="77777777" w:rsidR="000079B2" w:rsidRDefault="000079B2" w:rsidP="000079B2">
      <w:pPr>
        <w:rPr>
          <w:b/>
          <w:bCs/>
        </w:rPr>
      </w:pPr>
    </w:p>
    <w:p w14:paraId="66ABD1F4" w14:textId="77777777" w:rsidR="000079B2" w:rsidRPr="00514D02" w:rsidRDefault="000079B2" w:rsidP="000079B2">
      <w:pPr>
        <w:rPr>
          <w:b/>
          <w:bCs/>
        </w:rPr>
      </w:pPr>
      <w:r w:rsidRPr="00514D02">
        <w:rPr>
          <w:b/>
          <w:bCs/>
        </w:rPr>
        <w:t xml:space="preserve">Table </w:t>
      </w:r>
      <w:r>
        <w:rPr>
          <w:b/>
          <w:bCs/>
        </w:rPr>
        <w:t>S2</w:t>
      </w:r>
      <w:r w:rsidRPr="00514D02">
        <w:rPr>
          <w:rFonts w:hint="eastAsia"/>
          <w:b/>
          <w:bCs/>
        </w:rPr>
        <w:t xml:space="preserve">. </w:t>
      </w:r>
      <w:r w:rsidRPr="00514D02">
        <w:rPr>
          <w:b/>
          <w:bCs/>
        </w:rPr>
        <w:t xml:space="preserve">Performance </w:t>
      </w:r>
      <w:r w:rsidRPr="00514D02">
        <w:rPr>
          <w:rFonts w:hint="eastAsia"/>
          <w:b/>
          <w:bCs/>
        </w:rPr>
        <w:t xml:space="preserve">comparison </w:t>
      </w:r>
      <w:r w:rsidRPr="00514D02">
        <w:rPr>
          <w:b/>
          <w:bCs/>
        </w:rPr>
        <w:t>between Bert</w:t>
      </w:r>
      <w:r w:rsidRPr="00514D02">
        <w:rPr>
          <w:rFonts w:hint="eastAsia"/>
          <w:b/>
          <w:bCs/>
        </w:rPr>
        <w:t xml:space="preserve"> </w:t>
      </w:r>
      <w:r w:rsidRPr="00514D02">
        <w:rPr>
          <w:b/>
          <w:bCs/>
        </w:rPr>
        <w:t>models on VAERS Dataset (Regular Metrics).</w:t>
      </w:r>
    </w:p>
    <w:tbl>
      <w:tblPr>
        <w:tblStyle w:val="GridTable1Light"/>
        <w:tblW w:w="5000" w:type="pct"/>
        <w:tblLook w:val="04A0" w:firstRow="1" w:lastRow="0" w:firstColumn="1" w:lastColumn="0" w:noHBand="0" w:noVBand="1"/>
      </w:tblPr>
      <w:tblGrid>
        <w:gridCol w:w="1978"/>
        <w:gridCol w:w="1154"/>
        <w:gridCol w:w="842"/>
        <w:gridCol w:w="819"/>
        <w:gridCol w:w="871"/>
        <w:gridCol w:w="1154"/>
        <w:gridCol w:w="842"/>
        <w:gridCol w:w="819"/>
        <w:gridCol w:w="871"/>
      </w:tblGrid>
      <w:tr w:rsidR="000079B2" w:rsidRPr="00F52214" w14:paraId="7EDC7F4E" w14:textId="7777777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tcPr>
          <w:p w14:paraId="68A25FB8" w14:textId="77777777" w:rsidR="000079B2" w:rsidRPr="00F52214" w:rsidRDefault="000079B2">
            <w:pPr>
              <w:jc w:val="center"/>
            </w:pPr>
          </w:p>
        </w:tc>
        <w:tc>
          <w:tcPr>
            <w:tcW w:w="1971" w:type="pct"/>
            <w:gridSpan w:val="4"/>
            <w:vAlign w:val="center"/>
          </w:tcPr>
          <w:p w14:paraId="383F0D21"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Precisio</w:t>
            </w:r>
            <w:r>
              <w:t>n</w:t>
            </w:r>
          </w:p>
        </w:tc>
        <w:tc>
          <w:tcPr>
            <w:tcW w:w="1971" w:type="pct"/>
            <w:gridSpan w:val="4"/>
            <w:vAlign w:val="center"/>
          </w:tcPr>
          <w:p w14:paraId="65E78B6B"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Recall</w:t>
            </w:r>
          </w:p>
        </w:tc>
      </w:tr>
      <w:tr w:rsidR="000079B2" w:rsidRPr="00F52214" w14:paraId="1A16A90A"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6C0CC1B4" w14:textId="77777777" w:rsidR="000079B2" w:rsidRPr="00F52214" w:rsidRDefault="000079B2">
            <w:pPr>
              <w:jc w:val="center"/>
            </w:pPr>
            <w:r w:rsidRPr="00F52214">
              <w:t>Model</w:t>
            </w:r>
          </w:p>
        </w:tc>
        <w:tc>
          <w:tcPr>
            <w:tcW w:w="617" w:type="pct"/>
            <w:vAlign w:val="center"/>
            <w:hideMark/>
          </w:tcPr>
          <w:p w14:paraId="407005A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2495F43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27C5E6C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w:t>
            </w:r>
            <w:proofErr w:type="spellStart"/>
            <w:r w:rsidRPr="00F52214">
              <w:rPr>
                <w:b/>
                <w:bCs/>
              </w:rPr>
              <w:t>sDX</w:t>
            </w:r>
            <w:proofErr w:type="spellEnd"/>
            <w:r w:rsidRPr="00F52214">
              <w:rPr>
                <w:b/>
                <w:bCs/>
              </w:rPr>
              <w:t>)</w:t>
            </w:r>
          </w:p>
        </w:tc>
        <w:tc>
          <w:tcPr>
            <w:tcW w:w="466" w:type="pct"/>
            <w:vAlign w:val="center"/>
            <w:hideMark/>
          </w:tcPr>
          <w:p w14:paraId="6E3408A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c>
          <w:tcPr>
            <w:tcW w:w="617" w:type="pct"/>
            <w:vAlign w:val="center"/>
            <w:hideMark/>
          </w:tcPr>
          <w:p w14:paraId="5D3C179A"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6562466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06331CD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w:t>
            </w:r>
            <w:proofErr w:type="spellStart"/>
            <w:r w:rsidRPr="00F52214">
              <w:rPr>
                <w:b/>
                <w:bCs/>
              </w:rPr>
              <w:t>sDX</w:t>
            </w:r>
            <w:proofErr w:type="spellEnd"/>
            <w:r w:rsidRPr="00F52214">
              <w:rPr>
                <w:b/>
                <w:bCs/>
              </w:rPr>
              <w:t>)</w:t>
            </w:r>
          </w:p>
        </w:tc>
        <w:tc>
          <w:tcPr>
            <w:tcW w:w="465" w:type="pct"/>
            <w:vAlign w:val="center"/>
            <w:hideMark/>
          </w:tcPr>
          <w:p w14:paraId="71E5DB3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r>
      <w:tr w:rsidR="000079B2" w:rsidRPr="00F52214" w14:paraId="2024CF17"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725FADFC" w14:textId="77777777" w:rsidR="000079B2" w:rsidRPr="00F52214" w:rsidRDefault="000079B2">
            <w:pPr>
              <w:jc w:val="center"/>
            </w:pPr>
            <w:proofErr w:type="spellStart"/>
            <w:r w:rsidRPr="00F52214">
              <w:t>BioBERT</w:t>
            </w:r>
            <w:proofErr w:type="spellEnd"/>
          </w:p>
        </w:tc>
        <w:tc>
          <w:tcPr>
            <w:tcW w:w="617" w:type="pct"/>
            <w:vAlign w:val="center"/>
            <w:hideMark/>
          </w:tcPr>
          <w:p w14:paraId="5BA2961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0.485</w:t>
            </w:r>
          </w:p>
        </w:tc>
        <w:tc>
          <w:tcPr>
            <w:tcW w:w="450" w:type="pct"/>
            <w:vAlign w:val="center"/>
            <w:hideMark/>
          </w:tcPr>
          <w:p w14:paraId="07646F1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0.598</w:t>
            </w:r>
          </w:p>
        </w:tc>
        <w:tc>
          <w:tcPr>
            <w:tcW w:w="438" w:type="pct"/>
            <w:vAlign w:val="center"/>
            <w:hideMark/>
          </w:tcPr>
          <w:p w14:paraId="33064F1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0.462</w:t>
            </w:r>
          </w:p>
        </w:tc>
        <w:tc>
          <w:tcPr>
            <w:tcW w:w="466" w:type="pct"/>
            <w:vAlign w:val="center"/>
            <w:hideMark/>
          </w:tcPr>
          <w:p w14:paraId="14153D17"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0.422</w:t>
            </w:r>
          </w:p>
        </w:tc>
        <w:tc>
          <w:tcPr>
            <w:tcW w:w="617" w:type="pct"/>
            <w:vAlign w:val="center"/>
            <w:hideMark/>
          </w:tcPr>
          <w:p w14:paraId="0DD54804"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0.655</w:t>
            </w:r>
          </w:p>
        </w:tc>
        <w:tc>
          <w:tcPr>
            <w:tcW w:w="450" w:type="pct"/>
            <w:vAlign w:val="center"/>
            <w:hideMark/>
          </w:tcPr>
          <w:p w14:paraId="4A387ED2"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0.858</w:t>
            </w:r>
          </w:p>
        </w:tc>
        <w:tc>
          <w:tcPr>
            <w:tcW w:w="438" w:type="pct"/>
            <w:vAlign w:val="center"/>
            <w:hideMark/>
          </w:tcPr>
          <w:p w14:paraId="74660F0F"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0.561</w:t>
            </w:r>
          </w:p>
        </w:tc>
        <w:tc>
          <w:tcPr>
            <w:tcW w:w="465" w:type="pct"/>
            <w:vAlign w:val="center"/>
            <w:hideMark/>
          </w:tcPr>
          <w:p w14:paraId="0A5CAB5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0.577</w:t>
            </w:r>
          </w:p>
        </w:tc>
      </w:tr>
      <w:tr w:rsidR="000079B2" w:rsidRPr="00F52214" w14:paraId="717B3258"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3F297395" w14:textId="77777777" w:rsidR="000079B2" w:rsidRPr="00F52214" w:rsidRDefault="000079B2">
            <w:pPr>
              <w:jc w:val="center"/>
            </w:pPr>
            <w:proofErr w:type="spellStart"/>
            <w:r w:rsidRPr="00F52214">
              <w:t>ClinicalBERT</w:t>
            </w:r>
            <w:proofErr w:type="spellEnd"/>
          </w:p>
        </w:tc>
        <w:tc>
          <w:tcPr>
            <w:tcW w:w="617" w:type="pct"/>
            <w:vAlign w:val="center"/>
            <w:hideMark/>
          </w:tcPr>
          <w:p w14:paraId="3443E6E2"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0.509</w:t>
            </w:r>
          </w:p>
        </w:tc>
        <w:tc>
          <w:tcPr>
            <w:tcW w:w="450" w:type="pct"/>
            <w:vAlign w:val="center"/>
            <w:hideMark/>
          </w:tcPr>
          <w:p w14:paraId="2BFD3815"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0.610</w:t>
            </w:r>
          </w:p>
        </w:tc>
        <w:tc>
          <w:tcPr>
            <w:tcW w:w="438" w:type="pct"/>
            <w:vAlign w:val="center"/>
            <w:hideMark/>
          </w:tcPr>
          <w:p w14:paraId="2C5D382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0.474</w:t>
            </w:r>
          </w:p>
        </w:tc>
        <w:tc>
          <w:tcPr>
            <w:tcW w:w="466" w:type="pct"/>
            <w:vAlign w:val="center"/>
            <w:hideMark/>
          </w:tcPr>
          <w:p w14:paraId="0F3FDE5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0.450</w:t>
            </w:r>
          </w:p>
        </w:tc>
        <w:tc>
          <w:tcPr>
            <w:tcW w:w="617" w:type="pct"/>
            <w:vAlign w:val="center"/>
            <w:hideMark/>
          </w:tcPr>
          <w:p w14:paraId="2040EBC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0.610</w:t>
            </w:r>
          </w:p>
        </w:tc>
        <w:tc>
          <w:tcPr>
            <w:tcW w:w="450" w:type="pct"/>
            <w:vAlign w:val="center"/>
            <w:hideMark/>
          </w:tcPr>
          <w:p w14:paraId="75A2BC2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0.840</w:t>
            </w:r>
          </w:p>
        </w:tc>
        <w:tc>
          <w:tcPr>
            <w:tcW w:w="438" w:type="pct"/>
            <w:vAlign w:val="center"/>
            <w:hideMark/>
          </w:tcPr>
          <w:p w14:paraId="7F1A576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0.533</w:t>
            </w:r>
          </w:p>
        </w:tc>
        <w:tc>
          <w:tcPr>
            <w:tcW w:w="465" w:type="pct"/>
            <w:vAlign w:val="center"/>
            <w:hideMark/>
          </w:tcPr>
          <w:p w14:paraId="3098D048"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0.507</w:t>
            </w:r>
          </w:p>
        </w:tc>
      </w:tr>
      <w:tr w:rsidR="000079B2" w:rsidRPr="00F52214" w14:paraId="0111D914"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1E475228" w14:textId="77777777" w:rsidR="000079B2" w:rsidRPr="00F52214" w:rsidRDefault="000079B2">
            <w:pPr>
              <w:jc w:val="center"/>
            </w:pPr>
            <w:r w:rsidRPr="00F52214">
              <w:t>BERT</w:t>
            </w:r>
          </w:p>
        </w:tc>
        <w:tc>
          <w:tcPr>
            <w:tcW w:w="617" w:type="pct"/>
            <w:vAlign w:val="center"/>
            <w:hideMark/>
          </w:tcPr>
          <w:p w14:paraId="3127897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0.483</w:t>
            </w:r>
          </w:p>
        </w:tc>
        <w:tc>
          <w:tcPr>
            <w:tcW w:w="450" w:type="pct"/>
            <w:vAlign w:val="center"/>
            <w:hideMark/>
          </w:tcPr>
          <w:p w14:paraId="54D2931E"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0.596</w:t>
            </w:r>
          </w:p>
        </w:tc>
        <w:tc>
          <w:tcPr>
            <w:tcW w:w="438" w:type="pct"/>
            <w:vAlign w:val="center"/>
            <w:hideMark/>
          </w:tcPr>
          <w:p w14:paraId="2D62D8C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0.503</w:t>
            </w:r>
          </w:p>
        </w:tc>
        <w:tc>
          <w:tcPr>
            <w:tcW w:w="466" w:type="pct"/>
            <w:vAlign w:val="center"/>
            <w:hideMark/>
          </w:tcPr>
          <w:p w14:paraId="44229C23"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0.409</w:t>
            </w:r>
          </w:p>
        </w:tc>
        <w:tc>
          <w:tcPr>
            <w:tcW w:w="617" w:type="pct"/>
            <w:vAlign w:val="center"/>
            <w:hideMark/>
          </w:tcPr>
          <w:p w14:paraId="7ECCC8B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0.636</w:t>
            </w:r>
          </w:p>
        </w:tc>
        <w:tc>
          <w:tcPr>
            <w:tcW w:w="450" w:type="pct"/>
            <w:vAlign w:val="center"/>
            <w:hideMark/>
          </w:tcPr>
          <w:p w14:paraId="113E460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0.832</w:t>
            </w:r>
          </w:p>
        </w:tc>
        <w:tc>
          <w:tcPr>
            <w:tcW w:w="438" w:type="pct"/>
            <w:vAlign w:val="center"/>
            <w:hideMark/>
          </w:tcPr>
          <w:p w14:paraId="1D10E06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0.482</w:t>
            </w:r>
          </w:p>
        </w:tc>
        <w:tc>
          <w:tcPr>
            <w:tcW w:w="465" w:type="pct"/>
            <w:vAlign w:val="center"/>
            <w:hideMark/>
          </w:tcPr>
          <w:p w14:paraId="2B7D4D79"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0.592</w:t>
            </w:r>
          </w:p>
        </w:tc>
      </w:tr>
      <w:tr w:rsidR="000079B2" w:rsidRPr="00F52214" w14:paraId="7A0DB02E"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24C177A2" w14:textId="77777777" w:rsidR="000079B2" w:rsidRPr="00F52214" w:rsidRDefault="000079B2">
            <w:pPr>
              <w:jc w:val="center"/>
            </w:pPr>
            <w:proofErr w:type="spellStart"/>
            <w:r w:rsidRPr="00F52214">
              <w:t>Bio_ClinicalBERT</w:t>
            </w:r>
            <w:proofErr w:type="spellEnd"/>
          </w:p>
        </w:tc>
        <w:tc>
          <w:tcPr>
            <w:tcW w:w="617" w:type="pct"/>
            <w:vAlign w:val="center"/>
            <w:hideMark/>
          </w:tcPr>
          <w:p w14:paraId="2D175181"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0.481</w:t>
            </w:r>
          </w:p>
        </w:tc>
        <w:tc>
          <w:tcPr>
            <w:tcW w:w="450" w:type="pct"/>
            <w:vAlign w:val="center"/>
            <w:hideMark/>
          </w:tcPr>
          <w:p w14:paraId="729E840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0.601</w:t>
            </w:r>
          </w:p>
        </w:tc>
        <w:tc>
          <w:tcPr>
            <w:tcW w:w="438" w:type="pct"/>
            <w:vAlign w:val="center"/>
            <w:hideMark/>
          </w:tcPr>
          <w:p w14:paraId="463D32D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0.451</w:t>
            </w:r>
          </w:p>
        </w:tc>
        <w:tc>
          <w:tcPr>
            <w:tcW w:w="466" w:type="pct"/>
            <w:vAlign w:val="center"/>
            <w:hideMark/>
          </w:tcPr>
          <w:p w14:paraId="34D530D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0.414</w:t>
            </w:r>
          </w:p>
        </w:tc>
        <w:tc>
          <w:tcPr>
            <w:tcW w:w="617" w:type="pct"/>
            <w:vAlign w:val="center"/>
            <w:hideMark/>
          </w:tcPr>
          <w:p w14:paraId="71BE5DF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0.641</w:t>
            </w:r>
          </w:p>
        </w:tc>
        <w:tc>
          <w:tcPr>
            <w:tcW w:w="450" w:type="pct"/>
            <w:vAlign w:val="center"/>
            <w:hideMark/>
          </w:tcPr>
          <w:p w14:paraId="2F270A9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0.864</w:t>
            </w:r>
          </w:p>
        </w:tc>
        <w:tc>
          <w:tcPr>
            <w:tcW w:w="438" w:type="pct"/>
            <w:vAlign w:val="center"/>
            <w:hideMark/>
          </w:tcPr>
          <w:p w14:paraId="07CD4E0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0.546</w:t>
            </w:r>
          </w:p>
        </w:tc>
        <w:tc>
          <w:tcPr>
            <w:tcW w:w="465" w:type="pct"/>
            <w:vAlign w:val="center"/>
            <w:hideMark/>
          </w:tcPr>
          <w:p w14:paraId="6A37CF0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0.552</w:t>
            </w:r>
          </w:p>
        </w:tc>
      </w:tr>
    </w:tbl>
    <w:p w14:paraId="7A2CCBD8" w14:textId="77777777" w:rsidR="000079B2" w:rsidRDefault="000079B2" w:rsidP="000079B2"/>
    <w:p w14:paraId="072C7EF5" w14:textId="77777777" w:rsidR="00644DF6" w:rsidRDefault="00644DF6" w:rsidP="00FF70DA"/>
    <w:p w14:paraId="4E819354" w14:textId="77777777" w:rsidR="00644DF6" w:rsidRDefault="00644DF6" w:rsidP="00FF70D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36E6B"/>
    <w:rsid w:val="000408B9"/>
    <w:rsid w:val="0004157E"/>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947"/>
    <w:rsid w:val="0015085A"/>
    <w:rsid w:val="00151E99"/>
    <w:rsid w:val="00153150"/>
    <w:rsid w:val="001544E5"/>
    <w:rsid w:val="0015458F"/>
    <w:rsid w:val="001545EB"/>
    <w:rsid w:val="00154D97"/>
    <w:rsid w:val="00155734"/>
    <w:rsid w:val="00162FD6"/>
    <w:rsid w:val="00163272"/>
    <w:rsid w:val="00166564"/>
    <w:rsid w:val="00166D66"/>
    <w:rsid w:val="00170282"/>
    <w:rsid w:val="00171BE6"/>
    <w:rsid w:val="00171D8D"/>
    <w:rsid w:val="00173186"/>
    <w:rsid w:val="00173F54"/>
    <w:rsid w:val="0017679F"/>
    <w:rsid w:val="0018020E"/>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362C"/>
    <w:rsid w:val="001B457B"/>
    <w:rsid w:val="001B4742"/>
    <w:rsid w:val="001B5DED"/>
    <w:rsid w:val="001B692F"/>
    <w:rsid w:val="001C1FA2"/>
    <w:rsid w:val="001C1FC5"/>
    <w:rsid w:val="001C2C23"/>
    <w:rsid w:val="001C3A74"/>
    <w:rsid w:val="001C5354"/>
    <w:rsid w:val="001C79D3"/>
    <w:rsid w:val="001D445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3FF4"/>
    <w:rsid w:val="002D71C6"/>
    <w:rsid w:val="002E2163"/>
    <w:rsid w:val="002E2AB9"/>
    <w:rsid w:val="002E2EA5"/>
    <w:rsid w:val="002E34BE"/>
    <w:rsid w:val="002E3C2C"/>
    <w:rsid w:val="002E6DF0"/>
    <w:rsid w:val="002E70EF"/>
    <w:rsid w:val="002E7300"/>
    <w:rsid w:val="002E7C52"/>
    <w:rsid w:val="002E7D0D"/>
    <w:rsid w:val="002F2545"/>
    <w:rsid w:val="002F3436"/>
    <w:rsid w:val="002F6718"/>
    <w:rsid w:val="002F7410"/>
    <w:rsid w:val="00300A06"/>
    <w:rsid w:val="00301848"/>
    <w:rsid w:val="00301D42"/>
    <w:rsid w:val="00303366"/>
    <w:rsid w:val="003038A2"/>
    <w:rsid w:val="003039A7"/>
    <w:rsid w:val="00303BAD"/>
    <w:rsid w:val="00304222"/>
    <w:rsid w:val="00305957"/>
    <w:rsid w:val="00305CC6"/>
    <w:rsid w:val="00306AA9"/>
    <w:rsid w:val="00306D43"/>
    <w:rsid w:val="0031132B"/>
    <w:rsid w:val="003122A5"/>
    <w:rsid w:val="00313F76"/>
    <w:rsid w:val="003144FF"/>
    <w:rsid w:val="0032239E"/>
    <w:rsid w:val="00325804"/>
    <w:rsid w:val="00326ABB"/>
    <w:rsid w:val="003275E6"/>
    <w:rsid w:val="003279DF"/>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60D68"/>
    <w:rsid w:val="003705C2"/>
    <w:rsid w:val="003737AD"/>
    <w:rsid w:val="0037517F"/>
    <w:rsid w:val="00375858"/>
    <w:rsid w:val="00377547"/>
    <w:rsid w:val="003806D8"/>
    <w:rsid w:val="00380B65"/>
    <w:rsid w:val="0038289A"/>
    <w:rsid w:val="00384920"/>
    <w:rsid w:val="003911BF"/>
    <w:rsid w:val="00392439"/>
    <w:rsid w:val="00394FC9"/>
    <w:rsid w:val="00396B16"/>
    <w:rsid w:val="00397019"/>
    <w:rsid w:val="00397EF3"/>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2A01"/>
    <w:rsid w:val="0048577A"/>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7634"/>
    <w:rsid w:val="004C08B3"/>
    <w:rsid w:val="004C0AF5"/>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584F"/>
    <w:rsid w:val="00595C3A"/>
    <w:rsid w:val="0059664C"/>
    <w:rsid w:val="005A1202"/>
    <w:rsid w:val="005A12BB"/>
    <w:rsid w:val="005A6418"/>
    <w:rsid w:val="005A67B0"/>
    <w:rsid w:val="005A6A57"/>
    <w:rsid w:val="005A711E"/>
    <w:rsid w:val="005B25F5"/>
    <w:rsid w:val="005B2B1B"/>
    <w:rsid w:val="005B2DBA"/>
    <w:rsid w:val="005B437A"/>
    <w:rsid w:val="005B53AB"/>
    <w:rsid w:val="005B64F5"/>
    <w:rsid w:val="005C3794"/>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50BA"/>
    <w:rsid w:val="00625D39"/>
    <w:rsid w:val="006262B2"/>
    <w:rsid w:val="0062750A"/>
    <w:rsid w:val="00627C99"/>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B33D3"/>
    <w:rsid w:val="006C0B31"/>
    <w:rsid w:val="006C143C"/>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704"/>
    <w:rsid w:val="007247DA"/>
    <w:rsid w:val="0072508A"/>
    <w:rsid w:val="007278C6"/>
    <w:rsid w:val="00732614"/>
    <w:rsid w:val="0073635B"/>
    <w:rsid w:val="00736E23"/>
    <w:rsid w:val="00736F27"/>
    <w:rsid w:val="007441BD"/>
    <w:rsid w:val="00744428"/>
    <w:rsid w:val="0074537C"/>
    <w:rsid w:val="00750398"/>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EDD"/>
    <w:rsid w:val="008406B8"/>
    <w:rsid w:val="00840C76"/>
    <w:rsid w:val="00840E06"/>
    <w:rsid w:val="00843655"/>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2D08"/>
    <w:rsid w:val="008C5DAD"/>
    <w:rsid w:val="008C7919"/>
    <w:rsid w:val="008D0C52"/>
    <w:rsid w:val="008D1DBD"/>
    <w:rsid w:val="008D4423"/>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6A82"/>
    <w:rsid w:val="00936F00"/>
    <w:rsid w:val="00936F38"/>
    <w:rsid w:val="00937C38"/>
    <w:rsid w:val="009427AB"/>
    <w:rsid w:val="00942D82"/>
    <w:rsid w:val="009438BD"/>
    <w:rsid w:val="009445BD"/>
    <w:rsid w:val="00944784"/>
    <w:rsid w:val="00944B33"/>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70A18"/>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438"/>
    <w:rsid w:val="009C607B"/>
    <w:rsid w:val="009C77D0"/>
    <w:rsid w:val="009D01E9"/>
    <w:rsid w:val="009D0F8E"/>
    <w:rsid w:val="009D20BE"/>
    <w:rsid w:val="009D2F27"/>
    <w:rsid w:val="009D30CA"/>
    <w:rsid w:val="009D4EA7"/>
    <w:rsid w:val="009D574D"/>
    <w:rsid w:val="009D6055"/>
    <w:rsid w:val="009E009E"/>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6322"/>
    <w:rsid w:val="00A57EF6"/>
    <w:rsid w:val="00A6186E"/>
    <w:rsid w:val="00A64732"/>
    <w:rsid w:val="00A650AC"/>
    <w:rsid w:val="00A655F9"/>
    <w:rsid w:val="00A66DF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13EE"/>
    <w:rsid w:val="00BE1A8A"/>
    <w:rsid w:val="00BE4668"/>
    <w:rsid w:val="00BE4B5B"/>
    <w:rsid w:val="00BE4CE4"/>
    <w:rsid w:val="00BE5166"/>
    <w:rsid w:val="00BE6D64"/>
    <w:rsid w:val="00BE75A9"/>
    <w:rsid w:val="00BF0279"/>
    <w:rsid w:val="00BF147A"/>
    <w:rsid w:val="00BF4671"/>
    <w:rsid w:val="00C007C2"/>
    <w:rsid w:val="00C00AAF"/>
    <w:rsid w:val="00C01C54"/>
    <w:rsid w:val="00C01E36"/>
    <w:rsid w:val="00C026D8"/>
    <w:rsid w:val="00C02A60"/>
    <w:rsid w:val="00C02CA1"/>
    <w:rsid w:val="00C04CE9"/>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90C70"/>
    <w:rsid w:val="00C92A4B"/>
    <w:rsid w:val="00C97446"/>
    <w:rsid w:val="00C97867"/>
    <w:rsid w:val="00CA0929"/>
    <w:rsid w:val="00CA0E01"/>
    <w:rsid w:val="00CA262B"/>
    <w:rsid w:val="00CA2BB4"/>
    <w:rsid w:val="00CA4727"/>
    <w:rsid w:val="00CA519B"/>
    <w:rsid w:val="00CA5594"/>
    <w:rsid w:val="00CA617A"/>
    <w:rsid w:val="00CA63BA"/>
    <w:rsid w:val="00CB013D"/>
    <w:rsid w:val="00CB130B"/>
    <w:rsid w:val="00CB20F0"/>
    <w:rsid w:val="00CB22DA"/>
    <w:rsid w:val="00CB4997"/>
    <w:rsid w:val="00CC1581"/>
    <w:rsid w:val="00CC2879"/>
    <w:rsid w:val="00CC2BA7"/>
    <w:rsid w:val="00CC4DBB"/>
    <w:rsid w:val="00CD06EC"/>
    <w:rsid w:val="00CD0715"/>
    <w:rsid w:val="00CD12A5"/>
    <w:rsid w:val="00CD2F50"/>
    <w:rsid w:val="00CD3EFF"/>
    <w:rsid w:val="00CD4A9A"/>
    <w:rsid w:val="00CD6C34"/>
    <w:rsid w:val="00CE0368"/>
    <w:rsid w:val="00CE0AC4"/>
    <w:rsid w:val="00CE0F11"/>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17D0"/>
    <w:rsid w:val="00D02538"/>
    <w:rsid w:val="00D02547"/>
    <w:rsid w:val="00D0256D"/>
    <w:rsid w:val="00D02F9C"/>
    <w:rsid w:val="00D03848"/>
    <w:rsid w:val="00D03AB7"/>
    <w:rsid w:val="00D045C2"/>
    <w:rsid w:val="00D04A20"/>
    <w:rsid w:val="00D07919"/>
    <w:rsid w:val="00D1091A"/>
    <w:rsid w:val="00D11FC8"/>
    <w:rsid w:val="00D12072"/>
    <w:rsid w:val="00D13299"/>
    <w:rsid w:val="00D14FE6"/>
    <w:rsid w:val="00D1553F"/>
    <w:rsid w:val="00D17DE5"/>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739B"/>
    <w:rsid w:val="00D87E23"/>
    <w:rsid w:val="00D91267"/>
    <w:rsid w:val="00D91389"/>
    <w:rsid w:val="00D91B22"/>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D0E6C"/>
    <w:rsid w:val="00DD345F"/>
    <w:rsid w:val="00DD4A2D"/>
    <w:rsid w:val="00DD689A"/>
    <w:rsid w:val="00DD6EB4"/>
    <w:rsid w:val="00DE1B06"/>
    <w:rsid w:val="00DE37FF"/>
    <w:rsid w:val="00DE644B"/>
    <w:rsid w:val="00DE7634"/>
    <w:rsid w:val="00DF2076"/>
    <w:rsid w:val="00DF302E"/>
    <w:rsid w:val="00DF3E77"/>
    <w:rsid w:val="00DF5609"/>
    <w:rsid w:val="00DF5DD7"/>
    <w:rsid w:val="00DF7C70"/>
    <w:rsid w:val="00E017EE"/>
    <w:rsid w:val="00E04912"/>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9B9"/>
    <w:rsid w:val="00E92C16"/>
    <w:rsid w:val="00E93768"/>
    <w:rsid w:val="00E96352"/>
    <w:rsid w:val="00EA0ED3"/>
    <w:rsid w:val="00EA2EEF"/>
    <w:rsid w:val="00EA3281"/>
    <w:rsid w:val="00EA4168"/>
    <w:rsid w:val="00EB1258"/>
    <w:rsid w:val="00EB5006"/>
    <w:rsid w:val="00EB59BA"/>
    <w:rsid w:val="00EC0CBC"/>
    <w:rsid w:val="00EC0D10"/>
    <w:rsid w:val="00EC3536"/>
    <w:rsid w:val="00EC40E4"/>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E30"/>
    <w:rsid w:val="00EF4E51"/>
    <w:rsid w:val="00EF5966"/>
    <w:rsid w:val="00EF5C7F"/>
    <w:rsid w:val="00EF6048"/>
    <w:rsid w:val="00EF6319"/>
    <w:rsid w:val="00EF63A1"/>
    <w:rsid w:val="00EF6AE3"/>
    <w:rsid w:val="00F02033"/>
    <w:rsid w:val="00F02A52"/>
    <w:rsid w:val="00F05829"/>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4C0"/>
    <w:rsid w:val="00FC0890"/>
    <w:rsid w:val="00FC1B37"/>
    <w:rsid w:val="00FC2638"/>
    <w:rsid w:val="00FC2DF7"/>
    <w:rsid w:val="00FC33F6"/>
    <w:rsid w:val="00FC4104"/>
    <w:rsid w:val="00FC5989"/>
    <w:rsid w:val="00FC5DD6"/>
    <w:rsid w:val="00FD1DB3"/>
    <w:rsid w:val="00FD596F"/>
    <w:rsid w:val="00FD5B6E"/>
    <w:rsid w:val="00FD60AA"/>
    <w:rsid w:val="00FE06B6"/>
    <w:rsid w:val="00FE0F1A"/>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BA0ED"/>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www.fda.gov/drugs/surveillance/fdas-adverse-event-reporting-system-faers" TargetMode="External"/><Relationship Id="rId2" Type="http://schemas.openxmlformats.org/officeDocument/2006/relationships/numbering" Target="numbering.xml"/><Relationship Id="rId16" Type="http://schemas.openxmlformats.org/officeDocument/2006/relationships/hyperlink" Target="https://github.com/seldas/LLM4AE" TargetMode="Externa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Template>
  <TotalTime>10</TotalTime>
  <Pages>27</Pages>
  <Words>10008</Words>
  <Characters>57046</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66921</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6</cp:revision>
  <dcterms:created xsi:type="dcterms:W3CDTF">2026-08-31T18:35:00Z</dcterms:created>
  <dcterms:modified xsi:type="dcterms:W3CDTF">2026-08-31T18:56:00Z</dcterms:modified>
</cp:coreProperties>
</file>