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1875"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2A2E0584" w14:textId="77777777" w:rsidR="00FF70DA" w:rsidRDefault="00FF70DA" w:rsidP="00FF70DA">
      <w:pPr>
        <w:jc w:val="center"/>
        <w:rPr>
          <w:i/>
          <w:iCs/>
        </w:rPr>
      </w:pPr>
    </w:p>
    <w:p w14:paraId="42965798"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1CAB365E"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6F5166F2" w14:textId="77777777" w:rsidR="00FF70DA" w:rsidRDefault="00FF70DA" w:rsidP="00FF70DA">
      <w:pPr>
        <w:rPr>
          <w:i/>
          <w:iCs/>
        </w:rPr>
      </w:pPr>
    </w:p>
    <w:p w14:paraId="20E757F7"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626508E"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66ED4FC5" w14:textId="77777777" w:rsidR="002559AB" w:rsidRDefault="002559AB" w:rsidP="00FF70DA">
      <w:pPr>
        <w:rPr>
          <w:i/>
          <w:iCs/>
        </w:rPr>
      </w:pPr>
    </w:p>
    <w:p w14:paraId="391A1FE5"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3A465A2D" w14:textId="77777777" w:rsidR="00FF70DA" w:rsidRDefault="00FF70DA" w:rsidP="00FF70DA">
      <w:pPr>
        <w:rPr>
          <w:i/>
          <w:iCs/>
        </w:rPr>
      </w:pPr>
      <w:r>
        <w:rPr>
          <w:i/>
          <w:iCs/>
        </w:rPr>
        <w:br w:type="page"/>
      </w:r>
    </w:p>
    <w:p w14:paraId="37FE3CDA" w14:textId="77777777" w:rsidR="001A60A2" w:rsidRDefault="001A60A2" w:rsidP="001A60A2">
      <w:pPr>
        <w:pStyle w:val="Heading1"/>
      </w:pPr>
      <w:r>
        <w:lastRenderedPageBreak/>
        <w:t>Abstract</w:t>
      </w:r>
    </w:p>
    <w:p w14:paraId="2F713C21"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261C9C06"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329A6A72"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68F27034"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37C75E19" w14:textId="77777777" w:rsidR="00D33BA7" w:rsidRDefault="00D33BA7">
      <w:r>
        <w:br w:type="page"/>
      </w:r>
    </w:p>
    <w:p w14:paraId="7671AB70" w14:textId="77777777" w:rsidR="00F542BE" w:rsidRDefault="00F542BE">
      <w:r w:rsidRPr="00F542BE">
        <w:rPr>
          <w:b/>
          <w:bCs/>
        </w:rPr>
        <w:lastRenderedPageBreak/>
        <w:t>Key</w:t>
      </w:r>
      <w:r w:rsidR="00D13299">
        <w:rPr>
          <w:b/>
          <w:bCs/>
        </w:rPr>
        <w:t xml:space="preserve"> </w:t>
      </w:r>
      <w:r w:rsidRPr="00F542BE">
        <w:rPr>
          <w:b/>
          <w:bCs/>
        </w:rPr>
        <w:t>points</w:t>
      </w:r>
      <w:r>
        <w:t>:</w:t>
      </w:r>
    </w:p>
    <w:p w14:paraId="01CAD709"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5DA824BF"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1696A13D"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2BB45037" w14:textId="77777777" w:rsidR="00C75F64" w:rsidRDefault="00C75F64" w:rsidP="00C75F64"/>
    <w:p w14:paraId="3F762A84" w14:textId="77777777" w:rsidR="00533B1D" w:rsidRPr="00533B1D" w:rsidRDefault="00533B1D" w:rsidP="00533B1D">
      <w:pPr>
        <w:pStyle w:val="Heading1"/>
      </w:pPr>
      <w:r w:rsidRPr="00533B1D">
        <w:t>1. Introduction</w:t>
      </w:r>
    </w:p>
    <w:p w14:paraId="3349F04E"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3694BED2"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03695A01"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7BAE986C" w14:textId="77777777"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741A730C"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35BC9177"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1E2550AF" w14:textId="77777777" w:rsidR="00446306" w:rsidRDefault="00446306" w:rsidP="00E36A28">
      <w:pPr>
        <w:pStyle w:val="Heading1"/>
      </w:pPr>
      <w:r w:rsidRPr="00446306">
        <w:lastRenderedPageBreak/>
        <w:t>2. Materials and Methods</w:t>
      </w:r>
    </w:p>
    <w:p w14:paraId="189503DF" w14:textId="77777777" w:rsidR="00182ADC" w:rsidRDefault="00182ADC" w:rsidP="00182ADC">
      <w:pPr>
        <w:pStyle w:val="Heading2"/>
      </w:pPr>
      <w:r w:rsidRPr="00182ADC">
        <w:t>2.1 Datasets</w:t>
      </w:r>
    </w:p>
    <w:p w14:paraId="27C241A1" w14:textId="77777777"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625C7921" w14:textId="77777777" w:rsidR="00C05C07" w:rsidRDefault="00C05C07" w:rsidP="00514A36"/>
    <w:p w14:paraId="109FD74F" w14:textId="7777777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22526A7A"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F13AFE3" w14:textId="77777777" w:rsidR="00960837" w:rsidRPr="00960837" w:rsidRDefault="00960837" w:rsidP="00960837">
            <w:pPr>
              <w:spacing w:after="160" w:line="278" w:lineRule="auto"/>
            </w:pPr>
            <w:r w:rsidRPr="00960837">
              <w:t>Statistic</w:t>
            </w:r>
          </w:p>
        </w:tc>
        <w:tc>
          <w:tcPr>
            <w:tcW w:w="2276" w:type="dxa"/>
            <w:hideMark/>
          </w:tcPr>
          <w:p w14:paraId="114F8E8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341B9C92"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6FC73519"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ECB9134" w14:textId="77777777" w:rsidR="00960837" w:rsidRPr="00960837" w:rsidRDefault="00AA0747" w:rsidP="00960837">
            <w:pPr>
              <w:spacing w:after="160" w:line="278" w:lineRule="auto"/>
            </w:pPr>
            <w:r>
              <w:t>#R</w:t>
            </w:r>
            <w:r w:rsidR="00960837" w:rsidRPr="00960837">
              <w:t>eports</w:t>
            </w:r>
          </w:p>
        </w:tc>
        <w:tc>
          <w:tcPr>
            <w:tcW w:w="2276" w:type="dxa"/>
            <w:hideMark/>
          </w:tcPr>
          <w:p w14:paraId="728E4B48"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57EB0FB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7BDC3A01"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84CFAD0" w14:textId="77777777" w:rsidR="00960837" w:rsidRPr="00960837" w:rsidRDefault="00960837" w:rsidP="00960837">
            <w:pPr>
              <w:spacing w:after="160" w:line="278" w:lineRule="auto"/>
            </w:pPr>
            <w:r w:rsidRPr="00960837">
              <w:t>Total tokens</w:t>
            </w:r>
          </w:p>
        </w:tc>
        <w:tc>
          <w:tcPr>
            <w:tcW w:w="2276" w:type="dxa"/>
            <w:hideMark/>
          </w:tcPr>
          <w:p w14:paraId="4C3EEBC8"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24E838EA"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6F88EB77"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AAA1FC4" w14:textId="77777777" w:rsidR="00960837" w:rsidRPr="00960837" w:rsidRDefault="00960837" w:rsidP="00960837">
            <w:pPr>
              <w:spacing w:after="160" w:line="278" w:lineRule="auto"/>
            </w:pPr>
            <w:r w:rsidRPr="00960837">
              <w:t>Total sentences</w:t>
            </w:r>
          </w:p>
        </w:tc>
        <w:tc>
          <w:tcPr>
            <w:tcW w:w="2276" w:type="dxa"/>
            <w:hideMark/>
          </w:tcPr>
          <w:p w14:paraId="7B916F27"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156219E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5F685D25"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2BE1CAE" w14:textId="77777777"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025F2125"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16874B81"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34E38C5A"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1CA37A6" w14:textId="77777777"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05C5A1A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9D7BFBE"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7675A0B2"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188C389B" w14:textId="77777777" w:rsidR="00C1414F" w:rsidRPr="00960837" w:rsidRDefault="00C1414F" w:rsidP="00C1414F">
            <w:r>
              <w:t>SME</w:t>
            </w:r>
            <w:r w:rsidRPr="00FF17F1">
              <w:t xml:space="preserve"> annotations</w:t>
            </w:r>
          </w:p>
        </w:tc>
        <w:tc>
          <w:tcPr>
            <w:tcW w:w="2276" w:type="dxa"/>
          </w:tcPr>
          <w:p w14:paraId="566458F7" w14:textId="77777777" w:rsidR="00C1414F" w:rsidRPr="009353BE" w:rsidRDefault="009353BE" w:rsidP="00C1414F">
            <w:pPr>
              <w:cnfStyle w:val="000000000000" w:firstRow="0" w:lastRow="0" w:firstColumn="0" w:lastColumn="0" w:oddVBand="0" w:evenVBand="0" w:oddHBand="0" w:evenHBand="0" w:firstRowFirstColumn="0" w:firstRowLastColumn="0" w:lastRowFirstColumn="0" w:lastRowLastColumn="0"/>
            </w:pPr>
            <w:r w:rsidRPr="009353BE">
              <w:t>30,163</w:t>
            </w:r>
          </w:p>
        </w:tc>
        <w:tc>
          <w:tcPr>
            <w:tcW w:w="2835" w:type="dxa"/>
          </w:tcPr>
          <w:p w14:paraId="62B5E095" w14:textId="77777777"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167E506B"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19A2D470" w14:textId="77777777" w:rsidR="0050465D" w:rsidRPr="00960837" w:rsidRDefault="0050465D" w:rsidP="0050465D">
            <w:r>
              <w:t>Unique AE terms</w:t>
            </w:r>
          </w:p>
        </w:tc>
        <w:tc>
          <w:tcPr>
            <w:tcW w:w="2276" w:type="dxa"/>
          </w:tcPr>
          <w:p w14:paraId="16BC8543" w14:textId="77777777"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59511422" w14:textId="77777777"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4BB2B6DA"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06DFDA36" w14:textId="77777777" w:rsidR="0050465D" w:rsidRPr="00960837" w:rsidRDefault="0050465D" w:rsidP="0050465D">
            <w:r>
              <w:t>Unique Drug</w:t>
            </w:r>
            <w:r w:rsidR="0080492C">
              <w:t xml:space="preserve">/Vaccine </w:t>
            </w:r>
            <w:r>
              <w:t>terms</w:t>
            </w:r>
          </w:p>
        </w:tc>
        <w:tc>
          <w:tcPr>
            <w:tcW w:w="2276" w:type="dxa"/>
          </w:tcPr>
          <w:p w14:paraId="54C30C14" w14:textId="7777777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59B33986" w14:textId="7777777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221D95A0" w14:textId="77777777" w:rsidR="00960837" w:rsidRPr="00766689" w:rsidRDefault="00960837" w:rsidP="00514A36"/>
    <w:p w14:paraId="6401D917" w14:textId="77777777"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w:t>
      </w:r>
      <w:proofErr w:type="spellStart"/>
      <w:r w:rsidR="00827CB2" w:rsidRPr="00182ADC">
        <w:t>Erenumab</w:t>
      </w:r>
      <w:proofErr w:type="spellEnd"/>
      <w:r w:rsidR="00827CB2" w:rsidRPr="00182ADC">
        <w:t>–stroke.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35F22983"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262F5E7C" w14:textId="77777777" w:rsidR="0010317B" w:rsidRPr="00C31354" w:rsidRDefault="0010317B" w:rsidP="009C1AEA"/>
    <w:p w14:paraId="02487100" w14:textId="77777777" w:rsidR="00182ADC" w:rsidRPr="00182ADC" w:rsidRDefault="00182ADC" w:rsidP="00182ADC">
      <w:pPr>
        <w:pStyle w:val="Heading2"/>
      </w:pPr>
      <w:r w:rsidRPr="00182ADC">
        <w:t>2.2 Human Annotation Protocol</w:t>
      </w:r>
    </w:p>
    <w:p w14:paraId="3023B816" w14:textId="77777777"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6559E87A"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453881E9"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23DCAF92" w14:textId="77777777" w:rsidR="00415620" w:rsidRDefault="00415620" w:rsidP="00415620"/>
    <w:p w14:paraId="64484B67"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4481A6AE"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3CE42925" w14:textId="77777777" w:rsidR="00F81AD3" w:rsidRPr="00182ADC" w:rsidRDefault="00F81AD3" w:rsidP="00182ADC"/>
    <w:p w14:paraId="180B324E" w14:textId="77777777" w:rsidR="00182ADC" w:rsidRDefault="00182ADC" w:rsidP="00182ADC">
      <w:pPr>
        <w:pStyle w:val="Heading2"/>
      </w:pPr>
      <w:r w:rsidRPr="00182ADC">
        <w:t xml:space="preserve">2.3 </w:t>
      </w:r>
      <w:r w:rsidR="00CE0AC4">
        <w:t xml:space="preserve">Automated </w:t>
      </w:r>
      <w:r w:rsidRPr="00182ADC">
        <w:t>Annotation Approaches</w:t>
      </w:r>
    </w:p>
    <w:p w14:paraId="0095A737"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083CAA66" w14:textId="77777777"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155B9B" w:rsidRPr="002E2FF1">
        <w:rPr>
          <w:lang w:val="it-IT"/>
        </w:rPr>
        <w:t xml:space="preserve">Llama 4 (Llama-4-Maverick-17B-128E-Instruct-FP8, </w:t>
      </w:r>
      <w:r w:rsidR="00155B9B">
        <w:fldChar w:fldCharType="begin"/>
      </w:r>
      <w:r w:rsidR="00155B9B" w:rsidRPr="002E2FF1">
        <w:rPr>
          <w:lang w:val="it-IT"/>
        </w:rPr>
        <w:instrText>HYPERLINK "https://huggingface.co/collections/meta-llama/llama-4" \h</w:instrText>
      </w:r>
      <w:r w:rsidR="00155B9B">
        <w:fldChar w:fldCharType="separate"/>
      </w:r>
      <w:r w:rsidR="00155B9B" w:rsidRPr="002E2FF1">
        <w:rPr>
          <w:rStyle w:val="Hyperlink"/>
          <w:lang w:val="it-IT"/>
        </w:rPr>
        <w:t>https://huggingface.co/collections/meta-llama/llama-4</w:t>
      </w:r>
      <w:r w:rsidR="00155B9B">
        <w:fldChar w:fldCharType="end"/>
      </w:r>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CE151E" w:rsidRPr="00CE151E">
        <w:rPr>
          <w:b/>
          <w:bCs/>
        </w:rPr>
        <w:t>Supplementary File 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r w:rsidR="00182ADC" w:rsidRPr="00182ADC">
        <w:t xml:space="preserve">SequenceMatcher function from the </w:t>
      </w:r>
      <w:r w:rsidR="00182ADC" w:rsidRPr="00182ADC">
        <w:rPr>
          <w:i/>
          <w:iCs/>
        </w:rPr>
        <w:t>difflib</w:t>
      </w:r>
      <w:r w:rsidR="00182ADC" w:rsidRPr="00182ADC">
        <w:t xml:space="preserve"> Python library </w:t>
      </w:r>
      <w:r w:rsidR="00C76D5A">
        <w:t>(</w:t>
      </w:r>
      <w:hyperlink r:id="rId10">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1A61AE20" w14:textId="77777777" w:rsidR="00353FAE" w:rsidRDefault="00353FAE" w:rsidP="00182ADC"/>
    <w:p w14:paraId="3061C0E7"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1"/>
                    <a:stretch>
                      <a:fillRect/>
                    </a:stretch>
                  </pic:blipFill>
                  <pic:spPr>
                    <a:xfrm>
                      <a:off x="0" y="0"/>
                      <a:ext cx="5943600" cy="2683510"/>
                    </a:xfrm>
                    <a:prstGeom prst="rect">
                      <a:avLst/>
                    </a:prstGeom>
                  </pic:spPr>
                </pic:pic>
              </a:graphicData>
            </a:graphic>
          </wp:inline>
        </w:drawing>
      </w:r>
    </w:p>
    <w:p w14:paraId="313233C0"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6DF81611" w14:textId="77777777" w:rsidR="00353FAE" w:rsidRDefault="00353FAE" w:rsidP="00182ADC"/>
    <w:p w14:paraId="61736D0B" w14:textId="77777777"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242B1F95" w14:textId="77777777"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5674FC7" w14:textId="77777777"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076C4510" w14:textId="77777777" w:rsidR="00514D02" w:rsidRDefault="00514D02" w:rsidP="00514D02"/>
    <w:p w14:paraId="5FA21A07" w14:textId="77777777" w:rsidR="00182ADC" w:rsidRPr="00182ADC" w:rsidRDefault="00182ADC" w:rsidP="00182ADC">
      <w:pPr>
        <w:pStyle w:val="Heading2"/>
      </w:pPr>
      <w:r w:rsidRPr="00182ADC">
        <w:t>2.</w:t>
      </w:r>
      <w:r w:rsidR="00B112F7">
        <w:t>4</w:t>
      </w:r>
      <w:r w:rsidRPr="00182ADC">
        <w:t xml:space="preserve"> Evaluation Metrics</w:t>
      </w:r>
    </w:p>
    <w:p w14:paraId="68CD669E"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2AE6A0B4"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t>
      </w:r>
      <w:r w:rsidRPr="005064A1">
        <w:rPr>
          <w:iCs/>
        </w:rPr>
        <w:lastRenderedPageBreak/>
        <w:t xml:space="preserve">with any reference entity, whereas Null (N) represents a reference entity for which no overlapping prediction is produced, such as failing to identify </w:t>
      </w:r>
      <w:r w:rsidRPr="005064A1">
        <w:rPr>
          <w:i/>
          <w:iCs/>
        </w:rPr>
        <w:t>“somnolence”</w:t>
      </w:r>
      <w:r w:rsidRPr="005064A1">
        <w:rPr>
          <w:iCs/>
        </w:rPr>
        <w:t>.</w:t>
      </w:r>
    </w:p>
    <w:p w14:paraId="6CAFE30B"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32A60C0A"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2728BCF7"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60E627B2" w14:textId="77777777" w:rsidR="00FC0890" w:rsidRPr="005064A1" w:rsidRDefault="00FC0890" w:rsidP="00D87E23">
      <w:pPr>
        <w:rPr>
          <w:iCs/>
        </w:rPr>
      </w:pPr>
    </w:p>
    <w:p w14:paraId="788DBAF1"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7049A33D"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54084662"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5C80F4BE" w14:textId="77777777" w:rsidR="004B03A5" w:rsidRPr="005064A1" w:rsidRDefault="004B03A5" w:rsidP="00595C3A">
      <w:pPr>
        <w:rPr>
          <w:iCs/>
        </w:rPr>
      </w:pPr>
    </w:p>
    <w:p w14:paraId="5A3A0061" w14:textId="77777777"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7E2D5D87" w14:textId="77777777" w:rsidR="002F7410" w:rsidRDefault="002F7410" w:rsidP="00600CBF"/>
    <w:p w14:paraId="2D6A1182" w14:textId="77777777" w:rsidR="00446306" w:rsidRPr="00446306" w:rsidRDefault="00446306" w:rsidP="007C18AB">
      <w:pPr>
        <w:pStyle w:val="Heading1"/>
      </w:pPr>
      <w:r w:rsidRPr="00446306">
        <w:t>3. Results</w:t>
      </w:r>
    </w:p>
    <w:p w14:paraId="592E7FAB" w14:textId="77777777" w:rsidR="00AA53A2" w:rsidRPr="00AA53A2" w:rsidRDefault="00AA53A2" w:rsidP="00AA53A2">
      <w:pPr>
        <w:pStyle w:val="Heading2"/>
      </w:pPr>
      <w:r w:rsidRPr="00AA53A2">
        <w:t>3.1 Annotation Statistics</w:t>
      </w:r>
    </w:p>
    <w:p w14:paraId="67E49BFC" w14:textId="77777777"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4840FCB8" w14:textId="77777777"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PlainTable2"/>
        <w:tblW w:w="0" w:type="auto"/>
        <w:tblLook w:val="04A0" w:firstRow="1" w:lastRow="0" w:firstColumn="1" w:lastColumn="0" w:noHBand="0" w:noVBand="1"/>
      </w:tblPr>
      <w:tblGrid>
        <w:gridCol w:w="1440"/>
        <w:gridCol w:w="1440"/>
        <w:gridCol w:w="1440"/>
        <w:gridCol w:w="1440"/>
      </w:tblGrid>
      <w:tr w:rsidR="001A1E2A" w:rsidRPr="001A1E2A" w14:paraId="6696616E" w14:textId="77777777" w:rsidTr="00DC7883">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02C0773" w14:textId="77777777" w:rsidR="001A1E2A" w:rsidRPr="001A1E2A" w:rsidRDefault="001A1E2A" w:rsidP="00DC7883">
            <w:pPr>
              <w:contextualSpacing/>
              <w:jc w:val="center"/>
              <w:rPr>
                <w:b w:val="0"/>
                <w:bCs w:val="0"/>
              </w:rPr>
            </w:pPr>
            <w:r w:rsidRPr="001A1E2A">
              <w:t>Category</w:t>
            </w:r>
          </w:p>
        </w:tc>
        <w:tc>
          <w:tcPr>
            <w:tcW w:w="1440" w:type="dxa"/>
            <w:vAlign w:val="center"/>
            <w:hideMark/>
          </w:tcPr>
          <w:p w14:paraId="342669C5"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Human</w:t>
            </w:r>
          </w:p>
        </w:tc>
        <w:tc>
          <w:tcPr>
            <w:tcW w:w="1440" w:type="dxa"/>
            <w:vAlign w:val="center"/>
            <w:hideMark/>
          </w:tcPr>
          <w:p w14:paraId="40B47DBD"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ETHER</w:t>
            </w:r>
          </w:p>
        </w:tc>
        <w:tc>
          <w:tcPr>
            <w:tcW w:w="1440" w:type="dxa"/>
            <w:vAlign w:val="center"/>
            <w:hideMark/>
          </w:tcPr>
          <w:p w14:paraId="67489559"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LLM</w:t>
            </w:r>
          </w:p>
        </w:tc>
      </w:tr>
      <w:tr w:rsidR="008011B4" w:rsidRPr="001A1E2A" w14:paraId="70B8216F"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2249A98" w14:textId="77777777" w:rsidR="008011B4" w:rsidRPr="001A1E2A" w:rsidRDefault="008011B4" w:rsidP="00DC7883">
            <w:pPr>
              <w:contextualSpacing/>
              <w:jc w:val="center"/>
            </w:pPr>
            <w:proofErr w:type="spellStart"/>
            <w:r w:rsidRPr="001A1E2A">
              <w:t>SDrug</w:t>
            </w:r>
            <w:proofErr w:type="spellEnd"/>
          </w:p>
        </w:tc>
        <w:tc>
          <w:tcPr>
            <w:tcW w:w="1440" w:type="dxa"/>
            <w:vAlign w:val="center"/>
            <w:hideMark/>
          </w:tcPr>
          <w:p w14:paraId="414B86B2"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3,501</w:t>
            </w:r>
          </w:p>
        </w:tc>
        <w:tc>
          <w:tcPr>
            <w:tcW w:w="1440" w:type="dxa"/>
            <w:vMerge w:val="restart"/>
            <w:vAlign w:val="center"/>
            <w:hideMark/>
          </w:tcPr>
          <w:p w14:paraId="097B2D77"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t>17164</w:t>
            </w:r>
            <w:r w:rsidRPr="001A1E2A">
              <w:t>†</w:t>
            </w:r>
          </w:p>
        </w:tc>
        <w:tc>
          <w:tcPr>
            <w:tcW w:w="1440" w:type="dxa"/>
            <w:vAlign w:val="center"/>
            <w:hideMark/>
          </w:tcPr>
          <w:p w14:paraId="558BD6B1"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2,181</w:t>
            </w:r>
          </w:p>
        </w:tc>
      </w:tr>
      <w:tr w:rsidR="008011B4" w:rsidRPr="001A1E2A" w14:paraId="06966CB3"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2E7970F" w14:textId="77777777" w:rsidR="008011B4" w:rsidRPr="001A1E2A" w:rsidRDefault="008011B4" w:rsidP="00DC7883">
            <w:pPr>
              <w:contextualSpacing/>
              <w:jc w:val="center"/>
            </w:pPr>
            <w:proofErr w:type="spellStart"/>
            <w:r w:rsidRPr="001A1E2A">
              <w:t>CDrug</w:t>
            </w:r>
            <w:proofErr w:type="spellEnd"/>
          </w:p>
        </w:tc>
        <w:tc>
          <w:tcPr>
            <w:tcW w:w="1440" w:type="dxa"/>
            <w:vAlign w:val="center"/>
            <w:hideMark/>
          </w:tcPr>
          <w:p w14:paraId="699AFE7A"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2,928</w:t>
            </w:r>
          </w:p>
        </w:tc>
        <w:tc>
          <w:tcPr>
            <w:tcW w:w="1440" w:type="dxa"/>
            <w:vMerge/>
            <w:vAlign w:val="center"/>
            <w:hideMark/>
          </w:tcPr>
          <w:p w14:paraId="7A217AF7"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71773E1A"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2,491</w:t>
            </w:r>
          </w:p>
        </w:tc>
      </w:tr>
      <w:tr w:rsidR="008011B4" w:rsidRPr="001A1E2A" w14:paraId="3AB805BE"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3D4CF3D" w14:textId="77777777" w:rsidR="008011B4" w:rsidRPr="001A1E2A" w:rsidRDefault="008011B4" w:rsidP="00DC7883">
            <w:pPr>
              <w:contextualSpacing/>
              <w:jc w:val="center"/>
            </w:pPr>
            <w:proofErr w:type="spellStart"/>
            <w:r>
              <w:t>Odrug</w:t>
            </w:r>
            <w:proofErr w:type="spellEnd"/>
          </w:p>
        </w:tc>
        <w:tc>
          <w:tcPr>
            <w:tcW w:w="1440" w:type="dxa"/>
            <w:vAlign w:val="center"/>
            <w:hideMark/>
          </w:tcPr>
          <w:p w14:paraId="261F4A8D"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245</w:t>
            </w:r>
          </w:p>
        </w:tc>
        <w:tc>
          <w:tcPr>
            <w:tcW w:w="1440" w:type="dxa"/>
            <w:vMerge/>
            <w:vAlign w:val="center"/>
            <w:hideMark/>
          </w:tcPr>
          <w:p w14:paraId="197BD293"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p>
        </w:tc>
        <w:tc>
          <w:tcPr>
            <w:tcW w:w="1440" w:type="dxa"/>
            <w:vAlign w:val="center"/>
            <w:hideMark/>
          </w:tcPr>
          <w:p w14:paraId="3E4A1297"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1,310</w:t>
            </w:r>
          </w:p>
        </w:tc>
      </w:tr>
      <w:tr w:rsidR="001A1E2A" w:rsidRPr="001A1E2A" w14:paraId="35BEAE7C"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0C13087" w14:textId="77777777" w:rsidR="001A1E2A" w:rsidRPr="001A1E2A" w:rsidRDefault="001A1E2A" w:rsidP="00DC7883">
            <w:pPr>
              <w:contextualSpacing/>
              <w:jc w:val="center"/>
            </w:pPr>
            <w:r w:rsidRPr="001A1E2A">
              <w:t>Dose</w:t>
            </w:r>
          </w:p>
        </w:tc>
        <w:tc>
          <w:tcPr>
            <w:tcW w:w="1440" w:type="dxa"/>
            <w:vAlign w:val="center"/>
            <w:hideMark/>
          </w:tcPr>
          <w:p w14:paraId="4E6F711A"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1,621</w:t>
            </w:r>
          </w:p>
        </w:tc>
        <w:tc>
          <w:tcPr>
            <w:tcW w:w="1440" w:type="dxa"/>
            <w:vAlign w:val="center"/>
            <w:hideMark/>
          </w:tcPr>
          <w:p w14:paraId="2452C5EB"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167F8930"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2,057</w:t>
            </w:r>
          </w:p>
        </w:tc>
      </w:tr>
      <w:tr w:rsidR="00BF4671" w:rsidRPr="001A1E2A" w14:paraId="279DDFB7"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F389FCA" w14:textId="77777777" w:rsidR="001A1E2A" w:rsidRPr="001A1E2A" w:rsidRDefault="001A1E2A" w:rsidP="00DC7883">
            <w:pPr>
              <w:contextualSpacing/>
              <w:jc w:val="center"/>
            </w:pPr>
            <w:r w:rsidRPr="001A1E2A">
              <w:t>Indication</w:t>
            </w:r>
          </w:p>
        </w:tc>
        <w:tc>
          <w:tcPr>
            <w:tcW w:w="1440" w:type="dxa"/>
            <w:vAlign w:val="center"/>
            <w:hideMark/>
          </w:tcPr>
          <w:p w14:paraId="6A56F2EE"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162</w:t>
            </w:r>
          </w:p>
        </w:tc>
        <w:tc>
          <w:tcPr>
            <w:tcW w:w="1440" w:type="dxa"/>
            <w:vAlign w:val="center"/>
            <w:hideMark/>
          </w:tcPr>
          <w:p w14:paraId="24B279B1"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6DF33DFC"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1,368</w:t>
            </w:r>
          </w:p>
        </w:tc>
      </w:tr>
      <w:tr w:rsidR="001A1E2A" w:rsidRPr="001A1E2A" w14:paraId="000F6047"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E9C29FF" w14:textId="77777777" w:rsidR="001A1E2A" w:rsidRPr="001A1E2A" w:rsidRDefault="001A1E2A" w:rsidP="00DC7883">
            <w:pPr>
              <w:contextualSpacing/>
              <w:jc w:val="center"/>
            </w:pPr>
            <w:r w:rsidRPr="001A1E2A">
              <w:t>Treatment</w:t>
            </w:r>
          </w:p>
        </w:tc>
        <w:tc>
          <w:tcPr>
            <w:tcW w:w="1440" w:type="dxa"/>
            <w:vAlign w:val="center"/>
            <w:hideMark/>
          </w:tcPr>
          <w:p w14:paraId="78041684"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1,479</w:t>
            </w:r>
          </w:p>
        </w:tc>
        <w:tc>
          <w:tcPr>
            <w:tcW w:w="1440" w:type="dxa"/>
            <w:vAlign w:val="center"/>
            <w:hideMark/>
          </w:tcPr>
          <w:p w14:paraId="4FE0C1F5"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7C7DC584"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1,472</w:t>
            </w:r>
          </w:p>
        </w:tc>
      </w:tr>
      <w:tr w:rsidR="006839FB" w:rsidRPr="001A1E2A" w14:paraId="438189DB"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8ED3911" w14:textId="77777777" w:rsidR="006839FB" w:rsidRPr="001A1E2A" w:rsidRDefault="006839FB" w:rsidP="00DC7883">
            <w:pPr>
              <w:contextualSpacing/>
              <w:jc w:val="center"/>
            </w:pPr>
            <w:r w:rsidRPr="001A1E2A">
              <w:t>AE</w:t>
            </w:r>
          </w:p>
        </w:tc>
        <w:tc>
          <w:tcPr>
            <w:tcW w:w="1440" w:type="dxa"/>
            <w:vAlign w:val="center"/>
            <w:hideMark/>
          </w:tcPr>
          <w:p w14:paraId="6FB320A2"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9,080</w:t>
            </w:r>
          </w:p>
        </w:tc>
        <w:tc>
          <w:tcPr>
            <w:tcW w:w="1440" w:type="dxa"/>
            <w:vMerge w:val="restart"/>
            <w:vAlign w:val="center"/>
            <w:hideMark/>
          </w:tcPr>
          <w:p w14:paraId="45F7DE10"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25,031†</w:t>
            </w:r>
          </w:p>
        </w:tc>
        <w:tc>
          <w:tcPr>
            <w:tcW w:w="1440" w:type="dxa"/>
            <w:vAlign w:val="center"/>
            <w:hideMark/>
          </w:tcPr>
          <w:p w14:paraId="510EE55A"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6,311</w:t>
            </w:r>
          </w:p>
        </w:tc>
      </w:tr>
      <w:tr w:rsidR="006839FB" w:rsidRPr="001A1E2A" w14:paraId="284F24F0"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92806E" w14:textId="77777777" w:rsidR="006839FB" w:rsidRPr="001A1E2A" w:rsidRDefault="006839FB" w:rsidP="00DC7883">
            <w:pPr>
              <w:contextualSpacing/>
              <w:jc w:val="center"/>
            </w:pPr>
            <w:r w:rsidRPr="001A1E2A">
              <w:t>mAE</w:t>
            </w:r>
          </w:p>
        </w:tc>
        <w:tc>
          <w:tcPr>
            <w:tcW w:w="1440" w:type="dxa"/>
            <w:vAlign w:val="center"/>
            <w:hideMark/>
          </w:tcPr>
          <w:p w14:paraId="1E55EF0E"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112</w:t>
            </w:r>
          </w:p>
        </w:tc>
        <w:tc>
          <w:tcPr>
            <w:tcW w:w="1440" w:type="dxa"/>
            <w:vMerge/>
            <w:vAlign w:val="center"/>
            <w:hideMark/>
          </w:tcPr>
          <w:p w14:paraId="61C09F8F"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35B628FC"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1,015</w:t>
            </w:r>
          </w:p>
        </w:tc>
      </w:tr>
      <w:tr w:rsidR="00BF4671" w:rsidRPr="001A1E2A" w14:paraId="16411E1D"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F48D969" w14:textId="77777777" w:rsidR="001A1E2A" w:rsidRPr="001A1E2A" w:rsidRDefault="001A1E2A" w:rsidP="00DC7883">
            <w:pPr>
              <w:contextualSpacing/>
              <w:jc w:val="center"/>
            </w:pPr>
            <w:r w:rsidRPr="001A1E2A">
              <w:t>Dx</w:t>
            </w:r>
          </w:p>
        </w:tc>
        <w:tc>
          <w:tcPr>
            <w:tcW w:w="1440" w:type="dxa"/>
            <w:vAlign w:val="center"/>
            <w:hideMark/>
          </w:tcPr>
          <w:p w14:paraId="28C98343" w14:textId="77777777" w:rsidR="001A1E2A" w:rsidRPr="001A1E2A" w:rsidRDefault="004448C9" w:rsidP="00DC7883">
            <w:pPr>
              <w:contextualSpacing/>
              <w:jc w:val="center"/>
              <w:cnfStyle w:val="000000100000" w:firstRow="0" w:lastRow="0" w:firstColumn="0" w:lastColumn="0" w:oddVBand="0" w:evenVBand="0" w:oddHBand="1" w:evenHBand="0" w:firstRowFirstColumn="0" w:firstRowLastColumn="0" w:lastRowFirstColumn="0" w:lastRowLastColumn="0"/>
            </w:pPr>
            <w:r>
              <w:t>1783</w:t>
            </w:r>
          </w:p>
        </w:tc>
        <w:tc>
          <w:tcPr>
            <w:tcW w:w="1440" w:type="dxa"/>
            <w:vAlign w:val="center"/>
            <w:hideMark/>
          </w:tcPr>
          <w:p w14:paraId="55BD6D64"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4,344</w:t>
            </w:r>
          </w:p>
        </w:tc>
        <w:tc>
          <w:tcPr>
            <w:tcW w:w="1440" w:type="dxa"/>
            <w:vAlign w:val="center"/>
            <w:hideMark/>
          </w:tcPr>
          <w:p w14:paraId="5F1A7D2D"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w:t>
            </w:r>
            <w:r w:rsidR="004448C9">
              <w:t>41</w:t>
            </w:r>
          </w:p>
        </w:tc>
      </w:tr>
      <w:tr w:rsidR="001A1E2A" w:rsidRPr="001A1E2A" w14:paraId="5D3A3054"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2CEE30" w14:textId="77777777" w:rsidR="001A1E2A" w:rsidRPr="001A1E2A" w:rsidRDefault="001A1E2A" w:rsidP="00DC7883">
            <w:pPr>
              <w:contextualSpacing/>
              <w:jc w:val="center"/>
            </w:pPr>
            <w:r w:rsidRPr="001A1E2A">
              <w:t>Lab</w:t>
            </w:r>
          </w:p>
        </w:tc>
        <w:tc>
          <w:tcPr>
            <w:tcW w:w="1440" w:type="dxa"/>
            <w:vAlign w:val="center"/>
            <w:hideMark/>
          </w:tcPr>
          <w:p w14:paraId="65BA955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3,480</w:t>
            </w:r>
          </w:p>
        </w:tc>
        <w:tc>
          <w:tcPr>
            <w:tcW w:w="1440" w:type="dxa"/>
            <w:vAlign w:val="center"/>
            <w:hideMark/>
          </w:tcPr>
          <w:p w14:paraId="4200AFCE"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2F655352"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2,362</w:t>
            </w:r>
          </w:p>
        </w:tc>
      </w:tr>
      <w:tr w:rsidR="00BF4671" w:rsidRPr="001A1E2A" w14:paraId="51598BE5"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C5CE18E" w14:textId="77777777" w:rsidR="001A1E2A" w:rsidRPr="001A1E2A" w:rsidRDefault="001A1E2A" w:rsidP="00DC7883">
            <w:pPr>
              <w:contextualSpacing/>
              <w:jc w:val="center"/>
            </w:pPr>
            <w:r w:rsidRPr="001A1E2A">
              <w:t>Status</w:t>
            </w:r>
          </w:p>
        </w:tc>
        <w:tc>
          <w:tcPr>
            <w:tcW w:w="1440" w:type="dxa"/>
            <w:vAlign w:val="center"/>
            <w:hideMark/>
          </w:tcPr>
          <w:p w14:paraId="3245D2AA"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1,796</w:t>
            </w:r>
          </w:p>
        </w:tc>
        <w:tc>
          <w:tcPr>
            <w:tcW w:w="1440" w:type="dxa"/>
            <w:vAlign w:val="center"/>
            <w:hideMark/>
          </w:tcPr>
          <w:p w14:paraId="3BAF8193"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570AB89F"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2,275</w:t>
            </w:r>
          </w:p>
        </w:tc>
      </w:tr>
      <w:tr w:rsidR="001A1E2A" w:rsidRPr="001A1E2A" w14:paraId="03DA1A9C"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358ABC0" w14:textId="77777777" w:rsidR="001A1E2A" w:rsidRPr="001A1E2A" w:rsidRDefault="001A1E2A" w:rsidP="00DC7883">
            <w:pPr>
              <w:contextualSpacing/>
              <w:jc w:val="center"/>
            </w:pPr>
            <w:r w:rsidRPr="001A1E2A">
              <w:t>R/O</w:t>
            </w:r>
          </w:p>
        </w:tc>
        <w:tc>
          <w:tcPr>
            <w:tcW w:w="1440" w:type="dxa"/>
            <w:vAlign w:val="center"/>
            <w:hideMark/>
          </w:tcPr>
          <w:p w14:paraId="2BC1E39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9</w:t>
            </w:r>
          </w:p>
        </w:tc>
        <w:tc>
          <w:tcPr>
            <w:tcW w:w="1440" w:type="dxa"/>
            <w:vAlign w:val="center"/>
            <w:hideMark/>
          </w:tcPr>
          <w:p w14:paraId="484578B7"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33</w:t>
            </w:r>
          </w:p>
        </w:tc>
        <w:tc>
          <w:tcPr>
            <w:tcW w:w="1440" w:type="dxa"/>
            <w:vAlign w:val="center"/>
            <w:hideMark/>
          </w:tcPr>
          <w:p w14:paraId="2C34E24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83</w:t>
            </w:r>
          </w:p>
        </w:tc>
      </w:tr>
      <w:tr w:rsidR="00BF4671" w:rsidRPr="001A1E2A" w14:paraId="45852684"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13B9176" w14:textId="77777777" w:rsidR="001A1E2A" w:rsidRPr="001A1E2A" w:rsidRDefault="001A1E2A" w:rsidP="00DC7883">
            <w:pPr>
              <w:contextualSpacing/>
              <w:jc w:val="center"/>
            </w:pPr>
            <w:proofErr w:type="spellStart"/>
            <w:r w:rsidRPr="001A1E2A">
              <w:t>CoD</w:t>
            </w:r>
            <w:proofErr w:type="spellEnd"/>
          </w:p>
        </w:tc>
        <w:tc>
          <w:tcPr>
            <w:tcW w:w="1440" w:type="dxa"/>
            <w:vAlign w:val="center"/>
            <w:hideMark/>
          </w:tcPr>
          <w:p w14:paraId="45483DF3"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w:t>
            </w:r>
          </w:p>
        </w:tc>
        <w:tc>
          <w:tcPr>
            <w:tcW w:w="1440" w:type="dxa"/>
            <w:vAlign w:val="center"/>
            <w:hideMark/>
          </w:tcPr>
          <w:p w14:paraId="7F7D6432"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125</w:t>
            </w:r>
          </w:p>
        </w:tc>
        <w:tc>
          <w:tcPr>
            <w:tcW w:w="1440" w:type="dxa"/>
            <w:vAlign w:val="center"/>
            <w:hideMark/>
          </w:tcPr>
          <w:p w14:paraId="0879D8F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220</w:t>
            </w:r>
          </w:p>
        </w:tc>
      </w:tr>
      <w:tr w:rsidR="00BF4671" w:rsidRPr="001A1E2A" w14:paraId="450343ED"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02364EE" w14:textId="77777777" w:rsidR="001A1E2A" w:rsidRPr="001A1E2A" w:rsidRDefault="001A1E2A" w:rsidP="00DC7883">
            <w:pPr>
              <w:contextualSpacing/>
              <w:jc w:val="center"/>
            </w:pPr>
            <w:r w:rsidRPr="001A1E2A">
              <w:t>MHx</w:t>
            </w:r>
          </w:p>
        </w:tc>
        <w:tc>
          <w:tcPr>
            <w:tcW w:w="1440" w:type="dxa"/>
            <w:vAlign w:val="center"/>
            <w:hideMark/>
          </w:tcPr>
          <w:p w14:paraId="08E3C32D"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2,304</w:t>
            </w:r>
          </w:p>
        </w:tc>
        <w:tc>
          <w:tcPr>
            <w:tcW w:w="1440" w:type="dxa"/>
            <w:vAlign w:val="center"/>
            <w:hideMark/>
          </w:tcPr>
          <w:p w14:paraId="24C3381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755</w:t>
            </w:r>
          </w:p>
        </w:tc>
        <w:tc>
          <w:tcPr>
            <w:tcW w:w="1440" w:type="dxa"/>
            <w:vAlign w:val="center"/>
            <w:hideMark/>
          </w:tcPr>
          <w:p w14:paraId="704C9529"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2,830</w:t>
            </w:r>
          </w:p>
        </w:tc>
      </w:tr>
      <w:tr w:rsidR="001A1E2A" w:rsidRPr="001A1E2A" w14:paraId="0088509B"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951A2A8" w14:textId="77777777" w:rsidR="001A1E2A" w:rsidRPr="001A1E2A" w:rsidRDefault="001A1E2A" w:rsidP="00DC7883">
            <w:pPr>
              <w:contextualSpacing/>
              <w:jc w:val="center"/>
            </w:pPr>
            <w:proofErr w:type="spellStart"/>
            <w:r w:rsidRPr="001A1E2A">
              <w:t>FHx</w:t>
            </w:r>
            <w:proofErr w:type="spellEnd"/>
          </w:p>
        </w:tc>
        <w:tc>
          <w:tcPr>
            <w:tcW w:w="1440" w:type="dxa"/>
            <w:vAlign w:val="center"/>
            <w:hideMark/>
          </w:tcPr>
          <w:p w14:paraId="3BD9CC6A"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105</w:t>
            </w:r>
          </w:p>
        </w:tc>
        <w:tc>
          <w:tcPr>
            <w:tcW w:w="1440" w:type="dxa"/>
            <w:vAlign w:val="center"/>
            <w:hideMark/>
          </w:tcPr>
          <w:p w14:paraId="2D83DFFE"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w:t>
            </w:r>
          </w:p>
        </w:tc>
        <w:tc>
          <w:tcPr>
            <w:tcW w:w="1440" w:type="dxa"/>
            <w:vAlign w:val="center"/>
            <w:hideMark/>
          </w:tcPr>
          <w:p w14:paraId="3734D2D0"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w:t>
            </w:r>
          </w:p>
        </w:tc>
      </w:tr>
      <w:tr w:rsidR="001A1E2A" w:rsidRPr="001A1E2A" w14:paraId="3A7BC81E"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888F206" w14:textId="77777777" w:rsidR="001A1E2A" w:rsidRPr="001A1E2A" w:rsidRDefault="001A1E2A" w:rsidP="00DC7883">
            <w:pPr>
              <w:contextualSpacing/>
              <w:jc w:val="center"/>
            </w:pPr>
            <w:r w:rsidRPr="001A1E2A">
              <w:t>Age</w:t>
            </w:r>
          </w:p>
        </w:tc>
        <w:tc>
          <w:tcPr>
            <w:tcW w:w="1440" w:type="dxa"/>
            <w:vAlign w:val="center"/>
            <w:hideMark/>
          </w:tcPr>
          <w:p w14:paraId="08B98E00"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787</w:t>
            </w:r>
          </w:p>
        </w:tc>
        <w:tc>
          <w:tcPr>
            <w:tcW w:w="1440" w:type="dxa"/>
            <w:vAlign w:val="center"/>
            <w:hideMark/>
          </w:tcPr>
          <w:p w14:paraId="51894F5B"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1BB644D8"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811</w:t>
            </w:r>
          </w:p>
        </w:tc>
      </w:tr>
      <w:tr w:rsidR="00BF4671" w:rsidRPr="001A1E2A" w14:paraId="17618255"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9B902D6" w14:textId="77777777" w:rsidR="001A1E2A" w:rsidRPr="001A1E2A" w:rsidRDefault="001A1E2A" w:rsidP="00DC7883">
            <w:pPr>
              <w:contextualSpacing/>
              <w:jc w:val="center"/>
            </w:pPr>
            <w:r w:rsidRPr="001A1E2A">
              <w:t>Sex</w:t>
            </w:r>
          </w:p>
        </w:tc>
        <w:tc>
          <w:tcPr>
            <w:tcW w:w="1440" w:type="dxa"/>
            <w:vAlign w:val="center"/>
            <w:hideMark/>
          </w:tcPr>
          <w:p w14:paraId="09AEA0B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c>
          <w:tcPr>
            <w:tcW w:w="1440" w:type="dxa"/>
            <w:vAlign w:val="center"/>
            <w:hideMark/>
          </w:tcPr>
          <w:p w14:paraId="0B583F36"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537DACF8"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r>
    </w:tbl>
    <w:p w14:paraId="12D1C15C" w14:textId="77777777" w:rsidR="007D7591" w:rsidRDefault="007D7591" w:rsidP="0018289A">
      <w:pPr>
        <w:spacing w:line="240" w:lineRule="auto"/>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13F3AF08" w14:textId="77777777" w:rsidR="0018289A" w:rsidRPr="00C20936" w:rsidRDefault="0018289A" w:rsidP="0018289A">
      <w:pPr>
        <w:spacing w:line="240" w:lineRule="auto"/>
        <w:rPr>
          <w:sz w:val="20"/>
          <w:szCs w:val="20"/>
        </w:rPr>
      </w:pPr>
    </w:p>
    <w:p w14:paraId="068E79C3" w14:textId="77777777" w:rsidR="00AD2CE2" w:rsidRDefault="00AD2CE2" w:rsidP="00AD2CE2">
      <w:pPr>
        <w:pStyle w:val="Heading2"/>
      </w:pPr>
      <w:r>
        <w:t>3.2 LLM performs significantly better than ETHER</w:t>
      </w:r>
    </w:p>
    <w:p w14:paraId="22E1D5A1" w14:textId="77777777"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4CCD4646" w14:textId="77777777"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7A0DBB86" w14:textId="77777777" w:rsidR="007D5693" w:rsidRDefault="007D5693" w:rsidP="00AD2CE2"/>
    <w:p w14:paraId="7BE00A8C" w14:textId="77777777" w:rsidR="007D5693" w:rsidRDefault="00DD0E6C" w:rsidP="00AD2CE2">
      <w:r>
        <w:rPr>
          <w:noProof/>
        </w:rPr>
        <w:lastRenderedPageBreak/>
        <w:drawing>
          <wp:inline distT="0" distB="0" distL="0" distR="0" wp14:anchorId="229BBBF4" wp14:editId="47D36EA2">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5D019B43" w14:textId="7777777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Across Three Evaluation Schemes on FAERS Narratives (N = 829). Grouped bar chart comparing the rule-based baseline ETHER (Gray), Claude 4.6 Sonnet (</w:t>
      </w:r>
      <w:r w:rsidR="00FE2720">
        <w:rPr>
          <w:sz w:val="20"/>
          <w:szCs w:val="20"/>
        </w:rPr>
        <w:t>R</w:t>
      </w:r>
      <w:r w:rsidRPr="009377D9">
        <w:rPr>
          <w:sz w:val="20"/>
          <w:szCs w:val="20"/>
        </w:rPr>
        <w:t>ed)</w:t>
      </w:r>
      <w:r w:rsidR="00042525">
        <w:rPr>
          <w:sz w:val="20"/>
          <w:szCs w:val="20"/>
        </w:rPr>
        <w:t xml:space="preserve">, and </w:t>
      </w:r>
      <w:r w:rsidR="00042525" w:rsidRPr="009377D9">
        <w:rPr>
          <w:sz w:val="20"/>
          <w:szCs w:val="20"/>
        </w:rPr>
        <w:t>LLaMA 4 (Pink)</w:t>
      </w:r>
      <w:r w:rsidRPr="009377D9">
        <w:rPr>
          <w:sz w:val="20"/>
          <w:szCs w:val="20"/>
        </w:rPr>
        <w:t xml:space="preserve"> across Adapted ADE-Eval </w:t>
      </w:r>
      <w:r w:rsidR="00D92AF9">
        <w:rPr>
          <w:sz w:val="20"/>
          <w:szCs w:val="20"/>
        </w:rPr>
        <w:t xml:space="preserve">F1 </w:t>
      </w:r>
      <w:r w:rsidRPr="009377D9">
        <w:rPr>
          <w:sz w:val="20"/>
          <w:szCs w:val="20"/>
        </w:rPr>
        <w:t xml:space="preserve">and Strict Exact-Match </w:t>
      </w:r>
      <w:r w:rsidR="00D92AF9">
        <w:rPr>
          <w:sz w:val="20"/>
          <w:szCs w:val="20"/>
        </w:rPr>
        <w:t>F1</w:t>
      </w:r>
      <w:r w:rsidRPr="009377D9">
        <w:rPr>
          <w:sz w:val="20"/>
          <w:szCs w:val="20"/>
        </w:rPr>
        <w:t>.</w:t>
      </w:r>
      <w:r w:rsidR="009455C7">
        <w:rPr>
          <w:sz w:val="20"/>
          <w:szCs w:val="20"/>
        </w:rPr>
        <w:t xml:space="preserve"> (a) Per-category analysis between Llama 4 and Sonnet 4.6; (b) comparative </w:t>
      </w:r>
      <w:r w:rsidR="0083594F">
        <w:rPr>
          <w:sz w:val="20"/>
          <w:szCs w:val="20"/>
        </w:rPr>
        <w:t>result between ETHER and LLMs; to comply with ETHER’s labeling groups, some categories in LLMs are combined.</w:t>
      </w:r>
    </w:p>
    <w:p w14:paraId="21AE43AA" w14:textId="77777777" w:rsidR="00F37A56" w:rsidRDefault="00F37A56" w:rsidP="00F37A56"/>
    <w:p w14:paraId="3566A0EF" w14:textId="77777777" w:rsidR="00E7527C" w:rsidRDefault="00E7527C" w:rsidP="00E7527C">
      <w:pPr>
        <w:pStyle w:val="Heading2"/>
      </w:pPr>
      <w:r>
        <w:t xml:space="preserve">3.3 BERT-based NER model </w:t>
      </w:r>
      <w:r w:rsidR="005A67B0">
        <w:t>performance</w:t>
      </w:r>
    </w:p>
    <w:p w14:paraId="3D38B1F0" w14:textId="77777777" w:rsidR="00B73B5B" w:rsidRDefault="00D02538" w:rsidP="00D02538">
      <w:r>
        <w:t>We trained and evaluated a supervised BioBERT named entity recognition (NER) model using a 4-fold Leave-One-Drug-Event-Pair-Out cross-validation design on the 829 FAERS narratives across all 17 clinical concept categories. Table 3 summarizes the overall benchmark comparison across model families, input paradigms, and evaluation tiers. BioBERT achieved a strict exact-match F1 of 0.5685 ± 0.0080 and an adapted ADE-Eval F1 of 0.7463 ± 0.0076, which substantially outperformed few-shot LLaMA 4 (0.4043 Strict, 0.6249 Adapted), Claude 4.6 Sonnet (0.4667 Strict, 0.6443 Adapted), and baseline ETHER system (0.1147 Strict, 0.2447 Adapted).</w:t>
      </w:r>
    </w:p>
    <w:p w14:paraId="430F181B" w14:textId="77777777" w:rsidR="00541E83" w:rsidRDefault="00541E83" w:rsidP="00D02538"/>
    <w:p w14:paraId="351CAE6F" w14:textId="77777777" w:rsidR="00541E83" w:rsidRDefault="00541E83" w:rsidP="00D02538"/>
    <w:p w14:paraId="285C9E02" w14:textId="77777777" w:rsidR="00541E83" w:rsidRDefault="00541E83" w:rsidP="00D02538"/>
    <w:p w14:paraId="042689B9"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(4-Fold LOO)</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 Tagged)</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ETHER (Baseline, used=Yes)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0.1147</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0.2447</w:t>
            </w:r>
          </w:p>
        </w:tc>
      </w:tr>
    </w:tbl>
    <w:p w14:paraId="0C06646A" w14:textId="77777777" w:rsidR="00CF4EAD" w:rsidRDefault="00CF4EAD" w:rsidP="00CF4EAD"/>
    <w:p w14:paraId="6C46DAC5" w14:textId="77777777" w:rsidR="00FC123B" w:rsidRDefault="00FC123B" w:rsidP="00CF4EAD">
      <w:r w:rsidRPr="008D472B">
        <w:rPr>
          <w:b/>
          <w:bCs/>
        </w:rPr>
        <w:t>Figure 4</w:t>
      </w:r>
      <w:r>
        <w:t xml:space="preserve"> details the fine-grained category-level performance breakdown across all 17 clinical concept categories.</w:t>
      </w:r>
      <w:r w:rsidR="00B473D8">
        <w:t xml:space="preserve"> Among these 17 categories, some of them (</w:t>
      </w:r>
      <w:proofErr w:type="spellStart"/>
      <w:r w:rsidR="00B473D8">
        <w:t>oDrug</w:t>
      </w:r>
      <w:proofErr w:type="spellEnd"/>
      <w:r w:rsidR="00B473D8">
        <w:t xml:space="preserve">, </w:t>
      </w:r>
      <w:proofErr w:type="spellStart"/>
      <w:r w:rsidR="002D218E">
        <w:t>mAE</w:t>
      </w:r>
      <w:proofErr w:type="spellEnd"/>
      <w:r w:rsidR="002D218E">
        <w:t xml:space="preserve">, </w:t>
      </w:r>
      <w:r w:rsidR="001B36FA">
        <w:t xml:space="preserve">Dx, R/O, </w:t>
      </w:r>
      <w:proofErr w:type="spellStart"/>
      <w:r w:rsidR="001B36FA">
        <w:t>CoD</w:t>
      </w:r>
      <w:proofErr w:type="spellEnd"/>
      <w:r w:rsidR="001B36FA">
        <w:t xml:space="preserve">) has close-to-zero </w:t>
      </w:r>
      <w:r w:rsidR="001656FD">
        <w:t xml:space="preserve">strict F1 across all LLMs and BERT models, implying </w:t>
      </w:r>
      <w:r w:rsidR="00E97017">
        <w:t xml:space="preserve">accurately tagging these categories are challenging regardless of the selected algorithm. On the other side, they showed </w:t>
      </w:r>
      <w:r w:rsidR="0075247E">
        <w:t>higher (nearly 0.5) F</w:t>
      </w:r>
      <w:r w:rsidR="00F06D96">
        <w:t>1 under adapted ADE-Eval F1</w:t>
      </w:r>
      <w:r w:rsidR="00802A4B">
        <w:t xml:space="preserve"> in Llama 4 and Sonnet 4.6</w:t>
      </w:r>
      <w:r w:rsidR="00F06D96">
        <w:t xml:space="preserve">, indicating some of the terms were found </w:t>
      </w:r>
      <w:r w:rsidR="00802A4B">
        <w:t xml:space="preserve">by LLMs </w:t>
      </w:r>
      <w:r w:rsidR="00F06D96">
        <w:t xml:space="preserve">however with inaccurate boundaries or </w:t>
      </w:r>
      <w:r w:rsidR="008D472B">
        <w:t xml:space="preserve">mislabeled to a different category (i.e., Conflation). </w:t>
      </w:r>
      <w:r w:rsidR="00802A4B">
        <w:t>However, BERT kept</w:t>
      </w:r>
      <w:r w:rsidR="009C51A0">
        <w:t xml:space="preserve"> the nearly-zero performance for </w:t>
      </w:r>
      <w:r w:rsidR="00386FC3">
        <w:t>4 of 5</w:t>
      </w:r>
      <w:r w:rsidR="009C51A0">
        <w:t xml:space="preserve"> categories</w:t>
      </w:r>
      <w:r w:rsidR="001B05FD">
        <w:t xml:space="preserve"> (</w:t>
      </w:r>
      <w:proofErr w:type="spellStart"/>
      <w:r w:rsidR="001B05FD">
        <w:t>oDrug</w:t>
      </w:r>
      <w:proofErr w:type="spellEnd"/>
      <w:r w:rsidR="001B05FD">
        <w:t xml:space="preserve">, </w:t>
      </w:r>
      <w:proofErr w:type="spellStart"/>
      <w:r w:rsidR="001B05FD">
        <w:t>mAE</w:t>
      </w:r>
      <w:proofErr w:type="spellEnd"/>
      <w:r w:rsidR="001B05FD">
        <w:t xml:space="preserve">, R/O, </w:t>
      </w:r>
      <w:proofErr w:type="spellStart"/>
      <w:r w:rsidR="001B05FD">
        <w:t>CoD</w:t>
      </w:r>
      <w:proofErr w:type="spellEnd"/>
      <w:r w:rsidR="001B05FD">
        <w:t>)</w:t>
      </w:r>
      <w:r w:rsidR="009C51A0">
        <w:t>, i</w:t>
      </w:r>
      <w:r w:rsidR="002D218E">
        <w:t>mplying its weakness on these challenging annotation categories.</w:t>
      </w:r>
    </w:p>
    <w:p w14:paraId="7543B478" w14:textId="77777777" w:rsidR="006A7617" w:rsidRDefault="006A7617" w:rsidP="00CF4EAD">
      <w:r>
        <w:rPr>
          <w:noProof/>
        </w:rPr>
        <w:drawing>
          <wp:inline distT="0" distB="0" distL="0" distR="0" wp14:anchorId="2A31942A" wp14:editId="208C778F">
            <wp:extent cx="5937885" cy="2573020"/>
            <wp:effectExtent l="0" t="0" r="5715" b="0"/>
            <wp:docPr id="1721116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2573020"/>
                    </a:xfrm>
                    <a:prstGeom prst="rect">
                      <a:avLst/>
                    </a:prstGeom>
                    <a:noFill/>
                    <a:ln>
                      <a:noFill/>
                    </a:ln>
                  </pic:spPr>
                </pic:pic>
              </a:graphicData>
            </a:graphic>
          </wp:inline>
        </w:drawing>
      </w:r>
    </w:p>
    <w:p w14:paraId="416F5801" w14:textId="77777777" w:rsidR="0064673F" w:rsidRPr="002E2FF1" w:rsidRDefault="0064673F" w:rsidP="00541E83">
      <w:pPr>
        <w:spacing w:line="240" w:lineRule="auto"/>
        <w:rPr>
          <w:sz w:val="16"/>
          <w:szCs w:val="16"/>
        </w:rPr>
      </w:pPr>
      <w:r>
        <w:t>Figure 4. Comparative Concept Extraction Performance Across All 17 Clinical Concept Categories on the FAERS Benchmark Corpus (N = 829 Reports) for Fine-Tuned BioBERT (Blue Diamond / Bar), Claude 4.6 Sonnet (Red Circle / Bar), and LLaMA 4 (Pink Square / Bar).</w:t>
      </w:r>
    </w:p>
    <w:p w14:paraId="678FF44E" w14:textId="77777777" w:rsidR="00541E83" w:rsidRPr="00541E83" w:rsidRDefault="00541E83" w:rsidP="00541E83">
      <w:pPr>
        <w:spacing w:line="240" w:lineRule="auto"/>
        <w:rPr>
          <w:sz w:val="20"/>
          <w:szCs w:val="20"/>
        </w:rPr>
      </w:pPr>
    </w:p>
    <w:p w14:paraId="189C3B4A" w14:textId="77777777" w:rsidR="00472A41" w:rsidRPr="00472A41" w:rsidRDefault="00831330" w:rsidP="00472A41">
      <w:pPr>
        <w:pStyle w:val="Heading2"/>
      </w:pPr>
      <w:r>
        <w:lastRenderedPageBreak/>
        <w:t xml:space="preserve">3.4 </w:t>
      </w:r>
      <w:r w:rsidR="00472A41" w:rsidRPr="00472A41">
        <w:t>Error analysis</w:t>
      </w:r>
    </w:p>
    <w:p w14:paraId="2D416A13" w14:textId="1B917FDC" w:rsidR="00155734" w:rsidRPr="00155734" w:rsidRDefault="00413F31" w:rsidP="00155734">
      <w:r>
        <w:t xml:space="preserve">Next, we conducted a detailed error analysis on the FAERS </w:t>
      </w:r>
      <w:r w:rsidR="009F28E6">
        <w:rPr>
          <w:rFonts w:hint="eastAsia"/>
          <w:lang w:eastAsia="zh-CN"/>
        </w:rPr>
        <w:t>dataset</w:t>
      </w:r>
      <w:r>
        <w:t xml:space="preserve"> to characterize how the BERT and the LLM differ in their failure modes. </w:t>
      </w:r>
      <w:r w:rsidR="00155734" w:rsidRPr="009F28E6">
        <w:rPr>
          <w:b/>
          <w:bCs/>
        </w:rPr>
        <w:t>Figure 5a</w:t>
      </w:r>
      <w:r w:rsidR="00155734">
        <w:t xml:space="preserve"> shows that BERT produces more exact matches</w:t>
      </w:r>
      <w:r w:rsidR="00045C0D">
        <w:rPr>
          <w:rFonts w:hint="eastAsia"/>
          <w:lang w:eastAsia="zh-CN"/>
        </w:rPr>
        <w:t>,</w:t>
      </w:r>
      <w:r w:rsidR="00155734">
        <w:t xml:space="preserve"> and fewer conflation and </w:t>
      </w:r>
      <w:r w:rsidR="009F28E6">
        <w:rPr>
          <w:rFonts w:hint="eastAsia"/>
          <w:lang w:eastAsia="zh-CN"/>
        </w:rPr>
        <w:t>spurious</w:t>
      </w:r>
      <w:r w:rsidR="00155734">
        <w:t xml:space="preserve"> errors than the LLM. For BERT, 58.0% of spans are exact matches (26,891), compared with 31.6% (17,396) for the LLM. The LLM, in contrast, exhibits more than double the proportion of coverage errors (29.7% vs 14.0%; 16,358 vs 6,485 spans). The LLM also produces significantly more spurious spans (25.7% vs 15.5%; 14,185 vs 7,195), reflecting </w:t>
      </w:r>
      <w:r w:rsidR="00045C0D">
        <w:rPr>
          <w:rFonts w:hint="eastAsia"/>
          <w:lang w:eastAsia="zh-CN"/>
        </w:rPr>
        <w:t>non-overlapped</w:t>
      </w:r>
      <w:r w:rsidR="00155734">
        <w:t xml:space="preserve"> entities </w:t>
      </w:r>
      <w:r w:rsidR="00045C0D">
        <w:rPr>
          <w:rFonts w:hint="eastAsia"/>
          <w:lang w:eastAsia="zh-CN"/>
        </w:rPr>
        <w:t>reported by human SME</w:t>
      </w:r>
      <w:r w:rsidR="00155734">
        <w:t xml:space="preserve">. Missed spans (N) show comparable proportions between both paradigms (13.0% vs 12.5%; 7,156 vs 5,793 spans), which is consistent with the recall patterns observed in </w:t>
      </w:r>
      <w:r w:rsidR="00155734" w:rsidRPr="00045C0D">
        <w:rPr>
          <w:b/>
          <w:bCs/>
        </w:rPr>
        <w:t>Figure 4</w:t>
      </w:r>
      <w:r w:rsidR="00155734">
        <w:t>, while the much larger excess of coverage and spurious errors for the LLM reflects its tendency to over-segment entities rather than leaving spans unannotated.</w:t>
      </w:r>
    </w:p>
    <w:p w14:paraId="745F73DE" w14:textId="77777777" w:rsidR="00FC7AE4" w:rsidRDefault="00A344F6" w:rsidP="00A344F6">
      <w:r>
        <w:t>The top confusion pairs for both systems (Figure 5b and 5c) demonstrate that errors cluster within clinically related concept types rather than dispersing randomly. For BERT, misclassifications primarily involve context-dependent clinical boundaries, notably medical history conflated with therapeutic indications (MHx → Indication: 345), adverse events confused with laboratory findings (AE → Lab: 191), and bidirectional medical history versus AE boundary ambiguities (MHx → AE: 172; AE → MHx: 168), typically occurring when chronic comorbidities and acute symptoms are documented within the same sentence. For the LLM, the single largest error mode is the misclassification of concomitant medications as primary suspect drugs (cDrug → sDrug: 2,737), followed by treatment interventions labeled as suspect drugs (Treatment → sDrug: 847). Additional prominent LLM confusions include medical history categorized as current diagnoses (MHx → Dx: 364) or adverse events (MHx → AE: 342), laboratory values labeled as dosages (Lab → Dose: 328), and laboratory findings classified as adverse events (Lab → AE: 230). While BERT errors are concentrated in a tight set of adjacent clinical categories, the LLM exhibits widespread role conflation across pharmacological and historical categories.</w:t>
      </w:r>
    </w:p>
    <w:p w14:paraId="418F1DF7" w14:textId="7BFE0894" w:rsidR="00A344F6" w:rsidRPr="00A344F6" w:rsidRDefault="00A344F6" w:rsidP="00A344F6">
      <w:r>
        <w:t>For the LLM, the single largest error mode is the misclassification of concomitant medications as primary suspect drugs (</w:t>
      </w:r>
      <w:proofErr w:type="spellStart"/>
      <w:r>
        <w:t>cDrug</w:t>
      </w:r>
      <w:proofErr w:type="spellEnd"/>
      <w:r>
        <w:t xml:space="preserve"> </w:t>
      </w:r>
      <w:r w:rsidR="00FC7AE4">
        <w:rPr>
          <w:rFonts w:hint="eastAsia"/>
          <w:lang w:eastAsia="zh-CN"/>
        </w:rPr>
        <w:t>to</w:t>
      </w:r>
      <w:r>
        <w:t xml:space="preserve"> </w:t>
      </w:r>
      <w:proofErr w:type="spellStart"/>
      <w:r>
        <w:t>sDrug</w:t>
      </w:r>
      <w:proofErr w:type="spellEnd"/>
      <w:r>
        <w:t xml:space="preserve">: 2,737), followed by treatment interventions labeled as suspect drugs (Treatment </w:t>
      </w:r>
      <w:r w:rsidR="00B46E4A">
        <w:rPr>
          <w:rFonts w:hint="eastAsia"/>
          <w:lang w:eastAsia="zh-CN"/>
        </w:rPr>
        <w:t>to</w:t>
      </w:r>
      <w:r>
        <w:t xml:space="preserve"> sDrug: 847). Additional prominent LLM confusions include medical history categorized as current diagnoses (MHx </w:t>
      </w:r>
      <w:r w:rsidR="00AA2185">
        <w:rPr>
          <w:rFonts w:hint="eastAsia"/>
          <w:lang w:eastAsia="zh-CN"/>
        </w:rPr>
        <w:t>to</w:t>
      </w:r>
      <w:r>
        <w:t xml:space="preserve"> Dx: 364) or adverse events (MHx </w:t>
      </w:r>
      <w:r w:rsidR="00AA2185">
        <w:rPr>
          <w:rFonts w:hint="eastAsia"/>
          <w:lang w:eastAsia="zh-CN"/>
        </w:rPr>
        <w:t>to</w:t>
      </w:r>
      <w:r>
        <w:t xml:space="preserve"> AE: 342), laboratory values labeled as dosages (Lab </w:t>
      </w:r>
      <w:r w:rsidR="00814A20">
        <w:rPr>
          <w:rFonts w:hint="eastAsia"/>
          <w:lang w:eastAsia="zh-CN"/>
        </w:rPr>
        <w:t>to</w:t>
      </w:r>
      <w:r>
        <w:t xml:space="preserve"> Dose: 328), and laboratory findings classified as adverse events (Lab </w:t>
      </w:r>
      <w:r w:rsidR="00814A20">
        <w:rPr>
          <w:rFonts w:hint="eastAsia"/>
          <w:lang w:eastAsia="zh-CN"/>
        </w:rPr>
        <w:t>to</w:t>
      </w:r>
      <w:r>
        <w:t xml:space="preserve"> AE: 230). While BERT errors are concentrated in a tight set of adjacent clinical categories, the LLM exhibits widespread role conflation across pharmacological and historical categories.</w:t>
      </w:r>
    </w:p>
    <w:p w14:paraId="2A7D5603" w14:textId="12C13362" w:rsidR="00CA63BA" w:rsidRDefault="00577354" w:rsidP="00CA63BA">
      <w:r>
        <w:t>We applied word-cloud visualizations on the primary LLM misclassification categories to clarify these failure modes at the entity level. For concomitant and treatment spans misclassified as suspect drug (sDrug) by the LLM (</w:t>
      </w:r>
      <w:r w:rsidRPr="005535C4">
        <w:rPr>
          <w:b/>
          <w:bCs/>
        </w:rPr>
        <w:t>Figure 5d</w:t>
      </w:r>
      <w:r>
        <w:t>), the most prominent tokens were common co-administered medications and supportive therapies, including methylprednisolone, methotrexate, prednisone, esomeprazole, folic acid, and dexamethasone. In contrast, clinical spans exhibiting medical history and diagnosis/AE confusions (</w:t>
      </w:r>
      <w:r w:rsidRPr="003C70DB">
        <w:rPr>
          <w:b/>
          <w:bCs/>
        </w:rPr>
        <w:t>Figure 5e</w:t>
      </w:r>
      <w:r>
        <w:t>) were dominated by prevalent chronic conditions and comorbidities, such as hypertension, myelodysplastic syndrome, pneumonia, rheumatoid arthritis, osteoporosis, and recurrent infections.</w:t>
      </w:r>
    </w:p>
    <w:p w14:paraId="25597D4B" w14:textId="70F74718" w:rsidR="00CA63BA" w:rsidRDefault="00CA63BA" w:rsidP="00CA63BA">
      <w:pPr>
        <w:rPr>
          <w:rFonts w:hint="eastAsia"/>
          <w:lang w:eastAsia="zh-CN"/>
        </w:rPr>
      </w:pPr>
      <w:r>
        <w:lastRenderedPageBreak/>
        <w:t xml:space="preserve">Overall, the few-shot LLM annotations are prone to spurious </w:t>
      </w:r>
      <w:r w:rsidR="001F64C4">
        <w:rPr>
          <w:rFonts w:hint="eastAsia"/>
          <w:lang w:eastAsia="zh-CN"/>
        </w:rPr>
        <w:t>predictions</w:t>
      </w:r>
      <w:r>
        <w:t>, boundary drift, and drug role conflation (</w:t>
      </w:r>
      <w:proofErr w:type="spellStart"/>
      <w:r>
        <w:t>cDrug</w:t>
      </w:r>
      <w:proofErr w:type="spellEnd"/>
      <w:r>
        <w:t xml:space="preserve">/Treatment → </w:t>
      </w:r>
      <w:proofErr w:type="spellStart"/>
      <w:r>
        <w:t>sDrug</w:t>
      </w:r>
      <w:proofErr w:type="spellEnd"/>
      <w:r>
        <w:t xml:space="preserve">). </w:t>
      </w:r>
      <w:r w:rsidR="009433EC">
        <w:rPr>
          <w:rFonts w:hint="eastAsia"/>
          <w:lang w:eastAsia="zh-CN"/>
        </w:rPr>
        <w:t xml:space="preserve">However, LLM is better to annotate uncommon categories like </w:t>
      </w:r>
      <w:proofErr w:type="spellStart"/>
      <w:r w:rsidR="009433EC">
        <w:rPr>
          <w:rFonts w:hint="eastAsia"/>
          <w:lang w:eastAsia="zh-CN"/>
        </w:rPr>
        <w:t>oDrug</w:t>
      </w:r>
      <w:proofErr w:type="spellEnd"/>
      <w:r w:rsidR="009433EC">
        <w:rPr>
          <w:rFonts w:hint="eastAsia"/>
          <w:lang w:eastAsia="zh-CN"/>
        </w:rPr>
        <w:t xml:space="preserve">, </w:t>
      </w:r>
      <w:proofErr w:type="spellStart"/>
      <w:r w:rsidR="009433EC">
        <w:rPr>
          <w:rFonts w:hint="eastAsia"/>
          <w:lang w:eastAsia="zh-CN"/>
        </w:rPr>
        <w:t>mAE</w:t>
      </w:r>
      <w:proofErr w:type="spellEnd"/>
      <w:r w:rsidR="009433EC">
        <w:rPr>
          <w:rFonts w:hint="eastAsia"/>
          <w:lang w:eastAsia="zh-CN"/>
        </w:rPr>
        <w:t xml:space="preserve">, RO and </w:t>
      </w:r>
      <w:proofErr w:type="spellStart"/>
      <w:r w:rsidR="009433EC">
        <w:rPr>
          <w:rFonts w:hint="eastAsia"/>
          <w:lang w:eastAsia="zh-CN"/>
        </w:rPr>
        <w:t>CoD</w:t>
      </w:r>
      <w:proofErr w:type="spellEnd"/>
      <w:r w:rsidR="009433EC">
        <w:rPr>
          <w:rFonts w:hint="eastAsia"/>
          <w:lang w:eastAsia="zh-CN"/>
        </w:rPr>
        <w:t xml:space="preserve"> by conflation through inaccurate boundary or mislabeled category, therefore retrieved higher adapted ADE-Eval F1 in these uncommon categories (</w:t>
      </w:r>
      <w:r w:rsidR="009433EC" w:rsidRPr="009433EC">
        <w:rPr>
          <w:rFonts w:hint="eastAsia"/>
          <w:b/>
          <w:bCs/>
          <w:lang w:eastAsia="zh-CN"/>
        </w:rPr>
        <w:t>Figure 4</w:t>
      </w:r>
      <w:r w:rsidR="009433EC">
        <w:rPr>
          <w:rFonts w:hint="eastAsia"/>
          <w:lang w:eastAsia="zh-CN"/>
        </w:rPr>
        <w:t xml:space="preserve">). </w:t>
      </w:r>
    </w:p>
    <w:p w14:paraId="752875AB" w14:textId="77777777" w:rsidR="0034182A" w:rsidRDefault="0034182A" w:rsidP="00924F71"/>
    <w:p w14:paraId="2C370FA4" w14:textId="77777777" w:rsidR="00924F71" w:rsidRPr="00924F71" w:rsidRDefault="009E09BC" w:rsidP="00432731">
      <w:pPr>
        <w:jc w:val="center"/>
      </w:pPr>
      <w:r>
        <w:rPr>
          <w:noProof/>
        </w:rPr>
        <w:drawing>
          <wp:inline distT="0" distB="0" distL="0" distR="0" wp14:anchorId="5210EEBB" wp14:editId="3ACB33BC">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575FDD6B" w14:textId="77777777" w:rsidR="003B3AC7" w:rsidRPr="0073558C" w:rsidRDefault="009E09BC" w:rsidP="0034182A">
      <w:pPr>
        <w:spacing w:line="240" w:lineRule="auto"/>
        <w:rPr>
          <w:sz w:val="16"/>
          <w:szCs w:val="16"/>
        </w:rPr>
      </w:pPr>
      <w:r>
        <w:t>Figure 5. Error Anatomy and Extraction Discrepancy Breakdown for Supervised BERT versus Few-Shot LLM (LLaMA 4) on the Full FAERS Benchmark Corpus (N = 829 Reports). (a) Overall M/C/S/N error distribution (M: exact match; C: coverage error; S: spurious prediction; N: miss). (b) Top label misclassifications for BERT. (c) Top label misclassifications for LLM. (d) Typical concomitant drug and treatment terms misclassified as suspect drug (sDrug) by LLM. (e) Typical clinical terms exhibiting medical history (MHx) versus diagnosis (Dx) or adverse event (AE) confusions by LLM.</w:t>
      </w:r>
    </w:p>
    <w:p w14:paraId="13BE3FB8" w14:textId="77777777" w:rsidR="009E09BC" w:rsidRPr="009E09BC" w:rsidRDefault="009E09BC" w:rsidP="0034182A">
      <w:pPr>
        <w:spacing w:line="240" w:lineRule="auto"/>
      </w:pPr>
    </w:p>
    <w:p w14:paraId="049F3443" w14:textId="77777777" w:rsidR="00413F31" w:rsidRDefault="00413F31" w:rsidP="00EC4E8F">
      <w:pPr>
        <w:pStyle w:val="Heading2"/>
      </w:pPr>
      <w:r>
        <w:lastRenderedPageBreak/>
        <w:t>3.5 VAER</w:t>
      </w:r>
      <w:r w:rsidR="00B019D5">
        <w:t>S</w:t>
      </w:r>
      <w:r>
        <w:t xml:space="preserve"> </w:t>
      </w:r>
      <w:r w:rsidR="00B07BC3">
        <w:t>Evaluation</w:t>
      </w:r>
    </w:p>
    <w:p w14:paraId="4FFC4F5F" w14:textId="77777777" w:rsidR="007B7450" w:rsidRDefault="00426F20" w:rsidP="00426F20">
      <w:r>
        <w:t>To evaluate cross-domain generalization beyond the FAERS dataset, we further analyzed the public VAERS corpus (N = 1,000 narratives). As reported in Table 4, BioBERT fine-tuned via 10-fold cross-validation achieved a strict exact-match F1 of 0.7015 ± 0.0174 (0.8370 ± 0.0095 Adapted ADE-Eval F1). In contrast, the 1-shot LLaMA 4 baseline evaluated under the official 11-category annotation guidance achieved a strict F1 of 0.3383 and an adapted ADE-Eval F1 of 0.6400 (with 0.6691 Precision and 0.6134 Recall).</w:t>
      </w:r>
    </w:p>
    <w:p w14:paraId="4AA3EC4B" w14:textId="77777777" w:rsidR="00E928CC" w:rsidRDefault="00E928CC" w:rsidP="00426F20"/>
    <w:p w14:paraId="0DACD7CF" w14:textId="77777777" w:rsidR="00426F20" w:rsidRPr="007B7450" w:rsidRDefault="00426F20" w:rsidP="00413F31">
      <w:pPr>
        <w:rPr>
          <w:sz w:val="16"/>
          <w:szCs w:val="16"/>
        </w:rPr>
      </w:pPr>
      <w:r>
        <w:t>Table 4. Master Performance Benchmark on the VAERS Dataset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(10-Fold CV)</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0.7015 ± 0.0174</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0.8370 ± 0.0095</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P2_TAG_VAERS)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0.3383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0.6400</w:t>
            </w:r>
          </w:p>
        </w:tc>
      </w:tr>
    </w:tbl>
    <w:p w14:paraId="05DC5011" w14:textId="77777777" w:rsidR="00594F72" w:rsidRDefault="00594F72" w:rsidP="00413F31"/>
    <w:p w14:paraId="6FF83D11" w14:textId="7C0246C8" w:rsidR="00E928CC" w:rsidRDefault="00E928CC" w:rsidP="00E928CC">
      <w:r>
        <w:t>Category-level analysis (Figure 6a) across all 11 clinical concept categories confirmed strong supervised encoder advantages across vaccines (VAX: 0.93 vs 0.85), treatments (TX: 0.92 vs 0.76), secondary diagnoses (sDx: 0.87 vs 0.62), medical history (MHx: 0.85 vs 0.58), patient clinical status (STATUS: 0.83 vs 0.61), primary diagnoses (pDx: 0.83 vs 0.70), adverse-event symptoms (SYM: 0.78 vs 0.57), laboratory findings (Lab: 0.76 vs 0.56), and family history (FHx: 0.65 vs 0.51). Notably, few-shot LLaMA 4 successfully extracted specialized categories unmodeled by the encoder, including cause of death (CoD: 0.70 F1; P = 0.67, R = 0.73) and rule-out diagnoses (RO: 0.53 F1), while overall micro-average performance reached 0.84 for BioBERT versus 0.64 for LLaMA 4. Error anatomy (Figure 6b) on the complete VAERS corpus (N = 1,000 reports) evaluated under 1-to-1 best-overlap matching revealed that BioBERT achieved 64.5% exact matches (15,068 spans) and 19.3% coverage errors (4,506 spans), with only 8.9% spurious spans (2,081) and 7.3% misses (1,711). In contrast, LLaMA 4 produced 30.4% exact matches (12,015 spans) and 49.3% coverage errors (19,476 spans), while spurious hallucinations (10.3%; 4,079 spans) and true unpredicted omissions (10.0%; 3,972 spans) remained balanced. Confusion breakdowns (Figure 6c &amp; 6d) demonstrated that the predominant error mode for LLaMA 4 was subsuming secondary diagnoses under adverse symptoms (sDx → SYM: 4,452), accompanied by reciprocal symptom-to-diagnosis misclassifications (SYM → sDx: 1,093), symptom conflation with medical history (SYM → MHx: 758), and symptom labeling of laboratory results (SYM → Lab: 745). For BioBERT, confusions similarly peaked at sDx → SYM (782) and SYM → sDx (350), but at markedly lower absolute frequencies.</w:t>
      </w:r>
    </w:p>
    <w:p w14:paraId="214BAB6A" w14:textId="77777777" w:rsidR="00E928CC" w:rsidRDefault="00E928CC" w:rsidP="00413F31"/>
    <w:p w14:paraId="6EFBCD42" w14:textId="77777777" w:rsidR="00413F31" w:rsidRPr="0085396C" w:rsidRDefault="00871950" w:rsidP="00413F31">
      <w:r>
        <w:rPr>
          <w:noProof/>
        </w:rPr>
        <w:lastRenderedPageBreak/>
        <w:drawing>
          <wp:inline distT="0" distB="0" distL="0" distR="0" wp14:anchorId="7F29C378" wp14:editId="5FB8420F">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4CFE4F51" w14:textId="77777777" w:rsidR="00413F31" w:rsidRPr="005064A1" w:rsidRDefault="00413F31" w:rsidP="00413F31">
      <w:pPr>
        <w:rPr>
          <w:sz w:val="20"/>
          <w:szCs w:val="20"/>
        </w:rPr>
      </w:pPr>
      <w:r>
        <w:t>Figure 6. Cross-Domain Annotation Benchmark and Error Anatomy on the Full VAERS Vaccine Safety Corpus Across 11 Concept Categories (N = 1,000 Reports). (a) Per-category performance across all 11 clinical concept categories and overall micro-average for BioBERT (Blue) vs. LLaMA 4 (Pink-Coral), showing F1 bars and precision/recall trajectories. (b) M/C/S/N error distribution for BioBERT vs. LLaMA 4 evaluated using 1-to-1 best-overlap matching (M: exact match; C: coverage and conflation error; S: spurious prediction; N: miss). (c) BioBERT top label misclassifications (X-axis: 0–5,200). (d) LLaMA 4 top label misclassifications (X-axis: 0–5,200, aligned with panel c).</w:t>
      </w:r>
    </w:p>
    <w:p w14:paraId="5335B775" w14:textId="77777777" w:rsidR="00CD0715" w:rsidRDefault="00CD0715" w:rsidP="00413F31"/>
    <w:p w14:paraId="4ECBE5F6" w14:textId="77777777" w:rsidR="003C4EB5" w:rsidRDefault="003C4EB5" w:rsidP="00787130">
      <w:pPr>
        <w:pStyle w:val="Heading2"/>
      </w:pPr>
      <w:r>
        <w:t xml:space="preserve">3.6 </w:t>
      </w:r>
      <w:r w:rsidR="00355FD6">
        <w:t>Ablation Studies</w:t>
      </w:r>
    </w:p>
    <w:p w14:paraId="7F41DBC4" w14:textId="77777777" w:rsidR="00303BAD" w:rsidRPr="00303BAD" w:rsidRDefault="00303BAD" w:rsidP="005064A1">
      <w:pPr>
        <w:pStyle w:val="Heading3"/>
      </w:pPr>
      <w:r>
        <w:t xml:space="preserve">Leave-One-Drug-Event-Pair-Out </w:t>
      </w:r>
      <w:r w:rsidR="007B374C">
        <w:t>in BERT</w:t>
      </w:r>
    </w:p>
    <w:p w14:paraId="1C98E065" w14:textId="77777777" w:rsidR="00303BAD" w:rsidRDefault="00303BAD" w:rsidP="00303BAD">
      <w:r>
        <w:t>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0.0114 for azacitidine–QT prolongation (N = 200), 0.6367 ± 0.0201 for baricitinib–hypersensitivity (N = 200), 0.5289 ± 0.0093 for tramadol–hypoglycemia (N = 229), and 0.5084 ± 0.0122 for erenumab–stroke (N = 200), yielding a macro-average F1 of 0.5685 ± 0.0080 across folds (0.7463 ± 0.0076 Adapted F1). The between-series performance variance exceeded within-fold variation, demonstrating that narrative complexity and therapeutic vocabulary differences contribute more variation than stochastic model initialization.</w:t>
      </w:r>
    </w:p>
    <w:p w14:paraId="2FE555A3" w14:textId="77777777" w:rsidR="00303BAD" w:rsidRDefault="00303BAD" w:rsidP="00303BAD">
      <w:r>
        <w:t>Table 5. Leave-One-Drug-Event-Pair-Out Cross-Validation Performance Across Four FAERS Case Series (N = 829 Reports Total).</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Drug–Event Case Series</w:t>
            </w:r>
          </w:p>
        </w:tc>
        <w:tc>
          <w:tcPr>
            <w:tcW w:type="dxa" w:w="216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Cohort Size</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Azacitidine – QT Prolongation</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0.6002 ± 0.0114</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0.7733 ± 0.0092</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Baricitinib – Hypersensitivity</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0.6367 ± 0.0201</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0.7751 ± 0.0128</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Tramadol – Hypoglycemia</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229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0.5289 ± 0.0093</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0.7242 ± 0.0036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Erenumab – Stroke</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0.5084 ± 0.0122</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0.7126 ± 0.0077</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Macro-Average (All 4 Folds)</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829 reports total</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bl>
    <w:p w14:paraId="46B63671" w14:textId="77777777" w:rsidR="00E50399" w:rsidRPr="00E50399" w:rsidRDefault="00E50399" w:rsidP="005064A1"/>
    <w:p w14:paraId="575363E4" w14:textId="77777777" w:rsidR="00977ABD" w:rsidRDefault="005E7BC1" w:rsidP="00587C00">
      <w:pPr>
        <w:pStyle w:val="Heading3"/>
      </w:pPr>
      <w:r>
        <w:t>Random seed</w:t>
      </w:r>
      <w:r w:rsidR="00BE1A8A">
        <w:t xml:space="preserve"> in BERT Training</w:t>
      </w:r>
    </w:p>
    <w:p w14:paraId="352C0FAD" w14:textId="77777777" w:rsidR="008A16A5" w:rsidRDefault="00BE1A8A" w:rsidP="00BE1A8A">
      <w:r>
        <w:t>To rigorously verify neural network optimization stability, we conducted 5 independent training runs using random initialization seeds (42, 123, 456, 789, 1011) across both FAERS 4-fold LOO (20 total model runs, 17 categories) and VAERS 10-fold CV (50 total model runs). As summarized in Table 6, cross-seed variance was exceptionally low across both datasets. On FAERS, strict F1 averaged 0.5685 ± 0.0080 (0.7463 ± 0.0076 Adapted F1) across the 5 seeds. On VAERS, strict F1 averaged 0.7009 ± 0.0016 (0.8397 ± 0.0018 Adapted F1) across the 5 seeds. These findings confirm that supervised BioBERT convergence is remarkably robust to stochastic weight initialization, with between-series clinical diversity accounting for substantially greater performance variance than random initialization.</w:t>
      </w:r>
    </w:p>
    <w:p w14:paraId="76621E43" w14:textId="77777777" w:rsidR="00723359" w:rsidRDefault="003250B5" w:rsidP="00594F72">
      <w:r>
        <w:t>Table 6. BioBERT Optimization Stability and Performance Invariance Across Five Independent Random Initialization Seeds on FAERS (4-Fold LOO) and VAERS (10-Fold CV).</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Dataset &amp; Evaluation Protocol</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Random Seed</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0.5582 ± 0.0649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0.7431 ± 0.0295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0.5652 ± 0.0509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0.7402 ± 0.0293</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0.5783 ± 0.0697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0.7586 ± 0.0355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0.5662 ± 0.0476</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0.7413 ± 0.0324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0.5748 ± 0.0694</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0.7484 ± 0.0371</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0.7015 ± 0.0174</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0.8370 ± 0.0095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0.7013 ± 0.0156</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0.8405 ± 0.0070</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0.7008 ± 0.0202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0.8400 ± 0.0113</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0.7026 ± 0.0152</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0.8419 ± 0.0082</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0.6983 ± 0.0159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0.8389 ± 0.0091</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0.7009 ± 0.0016</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0.8397 ± 0.0018</w:t>
            </w:r>
          </w:p>
        </w:tc>
      </w:tr>
    </w:tbl>
    <w:p w14:paraId="5CA0D62B" w14:textId="77777777" w:rsidR="008A16A5" w:rsidRDefault="008A16A5" w:rsidP="00BE1A8A"/>
    <w:p w14:paraId="21451B98" w14:textId="77777777" w:rsidR="00BE1A8A" w:rsidRPr="00BE1A8A" w:rsidRDefault="008A16A5" w:rsidP="005064A1">
      <w:pPr>
        <w:pStyle w:val="Heading3"/>
      </w:pPr>
      <w:r>
        <w:t xml:space="preserve">LLM Output Format Impact </w:t>
      </w:r>
    </w:p>
    <w:p w14:paraId="7340663D" w14:textId="77777777"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across the 17 clinical concept categories. The inline XML tagging approach achieved higher adapted ADE F1 (0.6249 vs. 0.5995) and higher recall (0.5796 vs. 0.5232) with a 100.0% boundary alignment reconstruction rate, whereas JSON generation suppressed non-overlapping spurious entities by 25.9% (yielding higher strict precision, 0.3785 vs. 0.3470) but suffered from a 6.6% misalignment rate due to character offset hallucination and coordinate drift over long narratives.</w:t>
      </w:r>
    </w:p>
    <w:p w14:paraId="089F3211" w14:textId="77777777" w:rsidR="00EF6AE3" w:rsidRPr="00C926B1" w:rsidRDefault="00EF6AE3" w:rsidP="00413F31">
      <w:pPr>
        <w:rPr>
          <w:sz w:val="20"/>
          <w:szCs w:val="20"/>
        </w:rPr>
      </w:pPr>
      <w:r>
        <w:t>Table 7. Impact of LLM Output Format Paradigm (Inline Tagged XML vs. Structured JSON Schema Offsets) on Entity Extraction and Offset Alignment.</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w:t>
            </w:r>
          </w:p>
        </w:tc>
        <w:tc>
          <w:tcPr>
            <w:tcW w:type="dxa" w:w="331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Prompt Strategy &amp; Output Paradigm</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Strict Exact-Match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Adapted ADE-Eval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Boundary Alignment Success</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r>
        <w:tc>
          <w:tcPr>
            <w:tcW w:type="dxa" w:w="2304"/>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Schema (Structured Span Offsets)</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0.4071</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0.5995</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93.4%</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bl>
    <w:p w14:paraId="44230C29" w14:textId="77777777" w:rsidR="00C96FE9" w:rsidRDefault="00C96FE9" w:rsidP="00C96FE9">
      <w:pPr>
        <w:pStyle w:val="Heading3"/>
      </w:pPr>
    </w:p>
    <w:p w14:paraId="0F966706" w14:textId="77777777" w:rsidR="00C96FE9" w:rsidRDefault="00C96FE9" w:rsidP="00C96FE9">
      <w:pPr>
        <w:pStyle w:val="Heading3"/>
      </w:pPr>
      <w:r>
        <w:t>Pretrained Transformer Encoder Architecture Ablation</w:t>
      </w:r>
    </w:p>
    <w:p w14:paraId="17FB1AC3" w14:textId="77777777" w:rsidR="00C96FE9" w:rsidRDefault="00C96FE9" w:rsidP="00C96FE9">
      <w:pPr>
        <w:rPr>
          <w:lang w:eastAsia="zh-CN"/>
        </w:rPr>
      </w:pPr>
      <w:r>
        <w:t>To investigate the impact of underlying pretraining corpora on pharmacovigilance concept extraction, we conducted an ablation study comparing four transformer encoder architectures (BERT-Base, BioBERT, Bio_ClinicalBERT, and ClinicalBERT) on the VAERS dataset across 5 independent random initialization seeds (Table 8). BioBERT achieved the highest validation F1 (0.8471 ± 0.0058, Precision = 0.8666, Recall = 0.8285), confirming its selection as the primary encoder architecture. All four models demonstrated close performance with minimal variance across seeds (SD &lt; 0.009).</w:t>
      </w:r>
    </w:p>
    <w:p w14:paraId="173E6C8E" w14:textId="77777777" w:rsidR="00C96FE9" w:rsidRDefault="00C96FE9" w:rsidP="00C96FE9">
      <w:pPr>
        <w:spacing w:before="120" w:after="60"/>
      </w:pPr>
      <w:r>
        <w:t>Table 8. Pretrained Transformer Encoder Architecture Ablation on the VAERS Dataset Across Five Independent Random Initialization Seeds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Architecture</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F1 (Mean ± SD)</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Precision</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Recall</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Clinical Score</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v1.1</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0.8471 ± 0.0058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0.8666 ± 0.0048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0.8285 ± 0.0089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0.8500 ± 0.0071</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Bio_ClinicalBERT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0.8433 ± 0.0070</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0.8610 ± 0.0078</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0.8264 ± 0.0104</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0.8440 ± 0.0055</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BERT-Base</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0.8382 ± 0.0047</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0.8596 ± 0.0055</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0.8179 ± 0.0061</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0.8420 ± 0.0045</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0.8369 ± 0.0086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0.8615 ± 0.0106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0.8140 ± 0.0167</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0.8400 ± 0.0071</w:t>
            </w:r>
          </w:p>
        </w:tc>
      </w:tr>
    </w:tbl>
    <w:p w14:paraId="1B11FF29" w14:textId="77777777" w:rsidR="00C96FE9" w:rsidRDefault="00C96FE9" w:rsidP="00C96FE9"/>
    <w:p w14:paraId="1C767F0B" w14:textId="77777777" w:rsidR="00C96FE9" w:rsidRDefault="00C96FE9" w:rsidP="007D319B">
      <w:pPr>
        <w:pStyle w:val="Heading1"/>
      </w:pPr>
    </w:p>
    <w:p w14:paraId="08F496DA"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A4BD21C"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39C83664"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 xml:space="preserve">supervised BERT model trained on high-quality annotations achieved consistently higher overall performance across both FAERS and VAERS datasets, with especially large gains for context-dependent categories such as STATUS, HX, and laboratory and diagnostic entities. </w:t>
      </w:r>
      <w:r w:rsidR="00443EF3" w:rsidRPr="00443EF3">
        <w:lastRenderedPageBreak/>
        <w:t>These findings reinforce the value of domain-specific supervised models for structured extraction tasks.</w:t>
      </w:r>
    </w:p>
    <w:p w14:paraId="50DB7956" w14:textId="77777777" w:rsidR="6D769565" w:rsidRDefault="35D5FCA7">
      <w:r>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0ECABE5F"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2F60C18"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043AB66F"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5B757F43" w14:textId="77777777" w:rsidR="00443EF3" w:rsidRPr="00443EF3" w:rsidRDefault="00443EF3" w:rsidP="00443EF3">
      <w:r w:rsidRPr="00443EF3">
        <w:lastRenderedPageBreak/>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45A01D5C"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2A931B1B"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688395A0" w14:textId="77777777" w:rsidR="00A66DFF" w:rsidRPr="00C65167" w:rsidRDefault="00A66DFF" w:rsidP="00A66DFF">
      <w:pPr>
        <w:pStyle w:val="Heading1"/>
      </w:pPr>
      <w:r w:rsidRPr="00AB1D9A">
        <w:t>Acknowledgement</w:t>
      </w:r>
    </w:p>
    <w:p w14:paraId="1B100B85"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5196B279"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1D49BEE6"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312D4975" w14:textId="77777777" w:rsidR="00A66DFF" w:rsidRDefault="00A66DFF" w:rsidP="00A66DFF">
      <w:pPr>
        <w:pStyle w:val="Heading1"/>
      </w:pPr>
      <w:r w:rsidRPr="003548A8">
        <w:lastRenderedPageBreak/>
        <w:t>Declarations</w:t>
      </w:r>
    </w:p>
    <w:p w14:paraId="3167E76B" w14:textId="77777777" w:rsidR="00A66DFF" w:rsidRDefault="00A66DFF" w:rsidP="00A66DFF">
      <w:pPr>
        <w:pStyle w:val="Heading2"/>
        <w:rPr>
          <w:shd w:val="clear" w:color="auto" w:fill="FFFFFF"/>
        </w:rPr>
      </w:pPr>
      <w:r>
        <w:rPr>
          <w:shd w:val="clear" w:color="auto" w:fill="FFFFFF"/>
        </w:rPr>
        <w:t>Funding</w:t>
      </w:r>
    </w:p>
    <w:p w14:paraId="7A25CC82" w14:textId="77777777" w:rsidR="00A66DFF" w:rsidRDefault="00A66DFF" w:rsidP="00A66DFF">
      <w:pPr>
        <w:rPr>
          <w:shd w:val="clear" w:color="auto" w:fill="FFFFFF"/>
        </w:rPr>
      </w:pPr>
      <w:r w:rsidRPr="00296BF7">
        <w:t>This work was funded by the U.S. Food and Drug Administration</w:t>
      </w:r>
      <w:r>
        <w:t xml:space="preserve">. </w:t>
      </w:r>
    </w:p>
    <w:p w14:paraId="172392DC"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4AC5D0AC"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21E32CA7" w14:textId="77777777" w:rsidR="00A66DFF" w:rsidRDefault="00A66DFF" w:rsidP="00A66DFF">
      <w:pPr>
        <w:pStyle w:val="Heading2"/>
        <w:rPr>
          <w:shd w:val="clear" w:color="auto" w:fill="FFFFFF"/>
        </w:rPr>
      </w:pPr>
      <w:r>
        <w:rPr>
          <w:shd w:val="clear" w:color="auto" w:fill="FFFFFF"/>
        </w:rPr>
        <w:t>Ethics approval</w:t>
      </w:r>
    </w:p>
    <w:p w14:paraId="2334D82A" w14:textId="77777777" w:rsidR="00A66DFF" w:rsidRDefault="00A66DFF" w:rsidP="00A66DFF">
      <w:pPr>
        <w:rPr>
          <w:shd w:val="clear" w:color="auto" w:fill="FFFFFF"/>
        </w:rPr>
      </w:pPr>
      <w:r>
        <w:rPr>
          <w:shd w:val="clear" w:color="auto" w:fill="FFFFFF"/>
        </w:rPr>
        <w:t>Not Applicable</w:t>
      </w:r>
    </w:p>
    <w:p w14:paraId="3D558066" w14:textId="77777777" w:rsidR="00A66DFF" w:rsidRDefault="00A66DFF" w:rsidP="00A66DFF">
      <w:pPr>
        <w:pStyle w:val="Heading2"/>
        <w:rPr>
          <w:shd w:val="clear" w:color="auto" w:fill="FFFFFF"/>
        </w:rPr>
      </w:pPr>
      <w:r>
        <w:rPr>
          <w:shd w:val="clear" w:color="auto" w:fill="FFFFFF"/>
        </w:rPr>
        <w:t>Consent to participate</w:t>
      </w:r>
    </w:p>
    <w:p w14:paraId="142BAB4A" w14:textId="77777777" w:rsidR="00A66DFF" w:rsidRPr="000532EA" w:rsidRDefault="00A66DFF" w:rsidP="00A66DFF">
      <w:pPr>
        <w:rPr>
          <w:shd w:val="clear" w:color="auto" w:fill="FFFFFF"/>
        </w:rPr>
      </w:pPr>
      <w:r>
        <w:t xml:space="preserve">Not </w:t>
      </w:r>
      <w:r>
        <w:rPr>
          <w:shd w:val="clear" w:color="auto" w:fill="FFFFFF"/>
        </w:rPr>
        <w:t>Applicable.</w:t>
      </w:r>
    </w:p>
    <w:p w14:paraId="6A56EE60" w14:textId="77777777" w:rsidR="00A66DFF" w:rsidRDefault="00A66DFF" w:rsidP="00A66DFF">
      <w:pPr>
        <w:pStyle w:val="Heading2"/>
        <w:rPr>
          <w:shd w:val="clear" w:color="auto" w:fill="FFFFFF"/>
        </w:rPr>
      </w:pPr>
      <w:r>
        <w:rPr>
          <w:shd w:val="clear" w:color="auto" w:fill="FFFFFF"/>
        </w:rPr>
        <w:t>Consent for publication</w:t>
      </w:r>
    </w:p>
    <w:p w14:paraId="2403D76E" w14:textId="77777777" w:rsidR="00A66DFF" w:rsidRPr="000532EA" w:rsidRDefault="00A66DFF" w:rsidP="00A66DFF">
      <w:pPr>
        <w:rPr>
          <w:shd w:val="clear" w:color="auto" w:fill="FFFFFF"/>
        </w:rPr>
      </w:pPr>
      <w:r>
        <w:rPr>
          <w:shd w:val="clear" w:color="auto" w:fill="FFFFFF"/>
        </w:rPr>
        <w:t>Not Applicable.</w:t>
      </w:r>
    </w:p>
    <w:p w14:paraId="426C68C8" w14:textId="77777777" w:rsidR="00A66DFF" w:rsidRDefault="00A66DFF" w:rsidP="00A66DFF">
      <w:pPr>
        <w:pStyle w:val="Heading2"/>
        <w:rPr>
          <w:shd w:val="clear" w:color="auto" w:fill="FFFFFF"/>
        </w:rPr>
      </w:pPr>
      <w:r>
        <w:rPr>
          <w:shd w:val="clear" w:color="auto" w:fill="FFFFFF"/>
        </w:rPr>
        <w:t>Availability of data and materials</w:t>
      </w:r>
    </w:p>
    <w:p w14:paraId="53FCA7FB"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1EC53488" w14:textId="77777777" w:rsidR="00A66DFF" w:rsidRDefault="00A66DFF" w:rsidP="00A66DFF">
      <w:pPr>
        <w:pStyle w:val="Heading2"/>
        <w:rPr>
          <w:shd w:val="clear" w:color="auto" w:fill="FFFFFF"/>
        </w:rPr>
      </w:pPr>
      <w:r>
        <w:rPr>
          <w:shd w:val="clear" w:color="auto" w:fill="FFFFFF"/>
        </w:rPr>
        <w:t>Code availability</w:t>
      </w:r>
    </w:p>
    <w:p w14:paraId="0E7D11E9"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6"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6F24DC93" w14:textId="77777777" w:rsidR="00A66DFF" w:rsidRDefault="00A66DFF" w:rsidP="00A66DFF">
      <w:pPr>
        <w:pStyle w:val="Heading2"/>
        <w:rPr>
          <w:shd w:val="clear" w:color="auto" w:fill="FFFFFF"/>
        </w:rPr>
      </w:pPr>
      <w:r>
        <w:rPr>
          <w:shd w:val="clear" w:color="auto" w:fill="FFFFFF"/>
        </w:rPr>
        <w:t>Author contributions</w:t>
      </w:r>
    </w:p>
    <w:p w14:paraId="742EF7CC"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48E54BD0" w14:textId="77777777" w:rsidR="00A66DFF" w:rsidRPr="00D11112" w:rsidRDefault="00A66DFF" w:rsidP="00A66DFF"/>
    <w:p w14:paraId="1F9A4A66"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7D24EABE" w14:textId="77777777" w:rsidR="007D319B" w:rsidRDefault="007D319B" w:rsidP="007D319B"/>
    <w:p w14:paraId="0C4E6400" w14:textId="77777777" w:rsidR="00936F00" w:rsidRDefault="00936F00" w:rsidP="00936F00">
      <w:pPr>
        <w:pStyle w:val="Heading1"/>
      </w:pPr>
      <w:r>
        <w:t>Reference</w:t>
      </w:r>
    </w:p>
    <w:p w14:paraId="365F19E9"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7" w:history="1">
        <w:r w:rsidR="00C04CE9" w:rsidRPr="00C04CE9">
          <w:rPr>
            <w:rStyle w:val="Hyperlink"/>
          </w:rPr>
          <w:t>https://www.fda.gov/drugs/surveillance/fdas-adverse-event-reporting-system-faers</w:t>
        </w:r>
      </w:hyperlink>
      <w:r w:rsidR="00C04CE9" w:rsidRPr="00C04CE9">
        <w:t>.</w:t>
      </w:r>
    </w:p>
    <w:p w14:paraId="7971C52D"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1CA63EC5"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30C2C2F1"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3ABD53F2"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0C4A2DD4"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14CCD95D"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11BB72DF"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5F327D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2EFEA85A"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7A8D5E4E"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1C67DFD5"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5802ADD8"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79D40B89"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56CB7F54"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57E09D65"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5F030A66"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12B2DBAD" w14:textId="77777777" w:rsidR="000079B2" w:rsidRDefault="006434F9" w:rsidP="00623D6A">
      <w:r>
        <w:fldChar w:fldCharType="end"/>
      </w:r>
    </w:p>
    <w:p w14:paraId="72A22F8C" w14:textId="77777777" w:rsidR="00644DF6" w:rsidRDefault="00644DF6" w:rsidP="00623D6A"/>
    <w:p w14:paraId="5306F46F"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0AE9"/>
    <w:rsid w:val="0004157E"/>
    <w:rsid w:val="00042525"/>
    <w:rsid w:val="00045C0D"/>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6B0"/>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738"/>
    <w:rsid w:val="00147947"/>
    <w:rsid w:val="0015085A"/>
    <w:rsid w:val="00151E99"/>
    <w:rsid w:val="00153150"/>
    <w:rsid w:val="001544E5"/>
    <w:rsid w:val="0015458F"/>
    <w:rsid w:val="001545EB"/>
    <w:rsid w:val="00154D97"/>
    <w:rsid w:val="00155734"/>
    <w:rsid w:val="00155B9B"/>
    <w:rsid w:val="00162FD6"/>
    <w:rsid w:val="00163272"/>
    <w:rsid w:val="001656FD"/>
    <w:rsid w:val="00166564"/>
    <w:rsid w:val="00166D66"/>
    <w:rsid w:val="00170282"/>
    <w:rsid w:val="00171BE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05FD"/>
    <w:rsid w:val="001B362C"/>
    <w:rsid w:val="001B36FA"/>
    <w:rsid w:val="001B457B"/>
    <w:rsid w:val="001B4742"/>
    <w:rsid w:val="001B5DED"/>
    <w:rsid w:val="001B692F"/>
    <w:rsid w:val="001C1FA2"/>
    <w:rsid w:val="001C1FC5"/>
    <w:rsid w:val="001C2C23"/>
    <w:rsid w:val="001C3A74"/>
    <w:rsid w:val="001C79D3"/>
    <w:rsid w:val="001D445C"/>
    <w:rsid w:val="001D673C"/>
    <w:rsid w:val="001D71D2"/>
    <w:rsid w:val="001E2424"/>
    <w:rsid w:val="001E24C1"/>
    <w:rsid w:val="001E299D"/>
    <w:rsid w:val="001E54EC"/>
    <w:rsid w:val="001E55A0"/>
    <w:rsid w:val="001F0ABF"/>
    <w:rsid w:val="001F0D03"/>
    <w:rsid w:val="001F2997"/>
    <w:rsid w:val="001F543E"/>
    <w:rsid w:val="001F64C4"/>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218E"/>
    <w:rsid w:val="002D3FF4"/>
    <w:rsid w:val="002D71C6"/>
    <w:rsid w:val="002E2163"/>
    <w:rsid w:val="002E2AB9"/>
    <w:rsid w:val="002E2EA5"/>
    <w:rsid w:val="002E2FF1"/>
    <w:rsid w:val="002E34BE"/>
    <w:rsid w:val="002E3C2C"/>
    <w:rsid w:val="002E6DF0"/>
    <w:rsid w:val="002E70EF"/>
    <w:rsid w:val="002E7300"/>
    <w:rsid w:val="002E7C52"/>
    <w:rsid w:val="002E7D0D"/>
    <w:rsid w:val="002F2545"/>
    <w:rsid w:val="002F3436"/>
    <w:rsid w:val="002F4B09"/>
    <w:rsid w:val="002F6718"/>
    <w:rsid w:val="002F7410"/>
    <w:rsid w:val="00300A06"/>
    <w:rsid w:val="00301848"/>
    <w:rsid w:val="00301D42"/>
    <w:rsid w:val="00303366"/>
    <w:rsid w:val="003038A2"/>
    <w:rsid w:val="003039A7"/>
    <w:rsid w:val="00303BAD"/>
    <w:rsid w:val="00304222"/>
    <w:rsid w:val="00304873"/>
    <w:rsid w:val="00305957"/>
    <w:rsid w:val="00305CC6"/>
    <w:rsid w:val="00306AA9"/>
    <w:rsid w:val="00306D43"/>
    <w:rsid w:val="0031132B"/>
    <w:rsid w:val="003122A5"/>
    <w:rsid w:val="00313F76"/>
    <w:rsid w:val="003144FF"/>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57D49"/>
    <w:rsid w:val="00360D68"/>
    <w:rsid w:val="00363D32"/>
    <w:rsid w:val="003705C2"/>
    <w:rsid w:val="003737AD"/>
    <w:rsid w:val="0037517F"/>
    <w:rsid w:val="00375858"/>
    <w:rsid w:val="00377547"/>
    <w:rsid w:val="003806D8"/>
    <w:rsid w:val="00380B65"/>
    <w:rsid w:val="0038289A"/>
    <w:rsid w:val="00384920"/>
    <w:rsid w:val="00386FC3"/>
    <w:rsid w:val="003911BF"/>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0DB"/>
    <w:rsid w:val="003C76A3"/>
    <w:rsid w:val="003D12FA"/>
    <w:rsid w:val="003D27CA"/>
    <w:rsid w:val="003D3825"/>
    <w:rsid w:val="003D3B82"/>
    <w:rsid w:val="003D3E6C"/>
    <w:rsid w:val="003D422D"/>
    <w:rsid w:val="003D5261"/>
    <w:rsid w:val="003D5965"/>
    <w:rsid w:val="003D70AD"/>
    <w:rsid w:val="003E0748"/>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1C86"/>
    <w:rsid w:val="00482A01"/>
    <w:rsid w:val="0048577A"/>
    <w:rsid w:val="00491279"/>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5C4"/>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64F5"/>
    <w:rsid w:val="005C3794"/>
    <w:rsid w:val="005C4CA9"/>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A7617"/>
    <w:rsid w:val="006A7874"/>
    <w:rsid w:val="006B33D3"/>
    <w:rsid w:val="006B74B5"/>
    <w:rsid w:val="006C0B31"/>
    <w:rsid w:val="006C143C"/>
    <w:rsid w:val="006C1DFF"/>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359"/>
    <w:rsid w:val="00723704"/>
    <w:rsid w:val="007247DA"/>
    <w:rsid w:val="0072508A"/>
    <w:rsid w:val="007278C6"/>
    <w:rsid w:val="00732614"/>
    <w:rsid w:val="0073558C"/>
    <w:rsid w:val="0073635B"/>
    <w:rsid w:val="00736E23"/>
    <w:rsid w:val="00736F27"/>
    <w:rsid w:val="00737565"/>
    <w:rsid w:val="007441BD"/>
    <w:rsid w:val="00744428"/>
    <w:rsid w:val="0074537C"/>
    <w:rsid w:val="00750398"/>
    <w:rsid w:val="0075247E"/>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450"/>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2A4B"/>
    <w:rsid w:val="0080492C"/>
    <w:rsid w:val="008059C5"/>
    <w:rsid w:val="00806606"/>
    <w:rsid w:val="00807104"/>
    <w:rsid w:val="00811D2F"/>
    <w:rsid w:val="00811FCC"/>
    <w:rsid w:val="00812F02"/>
    <w:rsid w:val="0081318F"/>
    <w:rsid w:val="0081329E"/>
    <w:rsid w:val="00813F6F"/>
    <w:rsid w:val="00814A20"/>
    <w:rsid w:val="00815FCB"/>
    <w:rsid w:val="008210EB"/>
    <w:rsid w:val="008220EF"/>
    <w:rsid w:val="00823B01"/>
    <w:rsid w:val="00825B64"/>
    <w:rsid w:val="00827CB2"/>
    <w:rsid w:val="00830D9B"/>
    <w:rsid w:val="00831330"/>
    <w:rsid w:val="008317F5"/>
    <w:rsid w:val="0083594F"/>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315"/>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16A5"/>
    <w:rsid w:val="008C2D08"/>
    <w:rsid w:val="008C5DAD"/>
    <w:rsid w:val="008C7919"/>
    <w:rsid w:val="008D0C52"/>
    <w:rsid w:val="008D1DBD"/>
    <w:rsid w:val="008D4423"/>
    <w:rsid w:val="008D472B"/>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53BE"/>
    <w:rsid w:val="009357B7"/>
    <w:rsid w:val="00936A82"/>
    <w:rsid w:val="00936F00"/>
    <w:rsid w:val="00936F38"/>
    <w:rsid w:val="009377D9"/>
    <w:rsid w:val="00937C38"/>
    <w:rsid w:val="009427AB"/>
    <w:rsid w:val="00942D82"/>
    <w:rsid w:val="009433EC"/>
    <w:rsid w:val="009438BD"/>
    <w:rsid w:val="009445BD"/>
    <w:rsid w:val="00944784"/>
    <w:rsid w:val="00944B33"/>
    <w:rsid w:val="009455C7"/>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67C76"/>
    <w:rsid w:val="00970A18"/>
    <w:rsid w:val="00972C69"/>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7D0"/>
    <w:rsid w:val="009D01E9"/>
    <w:rsid w:val="009D0F8E"/>
    <w:rsid w:val="009D20BE"/>
    <w:rsid w:val="009D2F27"/>
    <w:rsid w:val="009D30CA"/>
    <w:rsid w:val="009D4EA7"/>
    <w:rsid w:val="009D574D"/>
    <w:rsid w:val="009D6055"/>
    <w:rsid w:val="009E009E"/>
    <w:rsid w:val="009E09BC"/>
    <w:rsid w:val="009E0CB1"/>
    <w:rsid w:val="009E1DE2"/>
    <w:rsid w:val="009E3FAD"/>
    <w:rsid w:val="009E4503"/>
    <w:rsid w:val="009E4974"/>
    <w:rsid w:val="009F00E8"/>
    <w:rsid w:val="009F03E7"/>
    <w:rsid w:val="009F28E6"/>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50AC"/>
    <w:rsid w:val="00A655F9"/>
    <w:rsid w:val="00A66DFF"/>
    <w:rsid w:val="00A67BEF"/>
    <w:rsid w:val="00A70787"/>
    <w:rsid w:val="00A709C3"/>
    <w:rsid w:val="00A72A0F"/>
    <w:rsid w:val="00A7420B"/>
    <w:rsid w:val="00A74415"/>
    <w:rsid w:val="00A81E1E"/>
    <w:rsid w:val="00A8375B"/>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2185"/>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21CF"/>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46E4A"/>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0CCF"/>
    <w:rsid w:val="00BE13EE"/>
    <w:rsid w:val="00BE1A8A"/>
    <w:rsid w:val="00BE4668"/>
    <w:rsid w:val="00BE4B5B"/>
    <w:rsid w:val="00BE4CE4"/>
    <w:rsid w:val="00BE5166"/>
    <w:rsid w:val="00BE6D64"/>
    <w:rsid w:val="00BE75A9"/>
    <w:rsid w:val="00BF0207"/>
    <w:rsid w:val="00BF0279"/>
    <w:rsid w:val="00BF147A"/>
    <w:rsid w:val="00BF4671"/>
    <w:rsid w:val="00C007C2"/>
    <w:rsid w:val="00C00AAF"/>
    <w:rsid w:val="00C01C54"/>
    <w:rsid w:val="00C01E36"/>
    <w:rsid w:val="00C02601"/>
    <w:rsid w:val="00C026D8"/>
    <w:rsid w:val="00C02A60"/>
    <w:rsid w:val="00C02CA1"/>
    <w:rsid w:val="00C04CE9"/>
    <w:rsid w:val="00C04D3E"/>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2F50"/>
    <w:rsid w:val="00CD3EFF"/>
    <w:rsid w:val="00CD4A9A"/>
    <w:rsid w:val="00CD6C34"/>
    <w:rsid w:val="00CD7B71"/>
    <w:rsid w:val="00CE0368"/>
    <w:rsid w:val="00CE0AC4"/>
    <w:rsid w:val="00CE0F11"/>
    <w:rsid w:val="00CE151E"/>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0673"/>
    <w:rsid w:val="00D017D0"/>
    <w:rsid w:val="00D02538"/>
    <w:rsid w:val="00D02547"/>
    <w:rsid w:val="00D0256D"/>
    <w:rsid w:val="00D02F9C"/>
    <w:rsid w:val="00D03848"/>
    <w:rsid w:val="00D03AB7"/>
    <w:rsid w:val="00D04125"/>
    <w:rsid w:val="00D045C2"/>
    <w:rsid w:val="00D04A20"/>
    <w:rsid w:val="00D07919"/>
    <w:rsid w:val="00D1091A"/>
    <w:rsid w:val="00D11FC8"/>
    <w:rsid w:val="00D12072"/>
    <w:rsid w:val="00D13299"/>
    <w:rsid w:val="00D14FE6"/>
    <w:rsid w:val="00D1553F"/>
    <w:rsid w:val="00D17DE5"/>
    <w:rsid w:val="00D24E7F"/>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64EF"/>
    <w:rsid w:val="00D8739B"/>
    <w:rsid w:val="00D87E23"/>
    <w:rsid w:val="00D91267"/>
    <w:rsid w:val="00D91389"/>
    <w:rsid w:val="00D91B22"/>
    <w:rsid w:val="00D92AF9"/>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C7883"/>
    <w:rsid w:val="00DD0E6C"/>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4912"/>
    <w:rsid w:val="00E05C14"/>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B1258"/>
    <w:rsid w:val="00EB5006"/>
    <w:rsid w:val="00EB59BA"/>
    <w:rsid w:val="00EC0CBC"/>
    <w:rsid w:val="00EC0D10"/>
    <w:rsid w:val="00EC2569"/>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2033"/>
    <w:rsid w:val="00F02A52"/>
    <w:rsid w:val="00F05829"/>
    <w:rsid w:val="00F06D96"/>
    <w:rsid w:val="00F072FF"/>
    <w:rsid w:val="00F11CE4"/>
    <w:rsid w:val="00F14618"/>
    <w:rsid w:val="00F15862"/>
    <w:rsid w:val="00F15BDB"/>
    <w:rsid w:val="00F165F9"/>
    <w:rsid w:val="00F167D2"/>
    <w:rsid w:val="00F16CD2"/>
    <w:rsid w:val="00F217F8"/>
    <w:rsid w:val="00F21832"/>
    <w:rsid w:val="00F230EE"/>
    <w:rsid w:val="00F2340A"/>
    <w:rsid w:val="00F24467"/>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547D"/>
    <w:rsid w:val="00FB74C0"/>
    <w:rsid w:val="00FC0890"/>
    <w:rsid w:val="00FC123B"/>
    <w:rsid w:val="00FC1B37"/>
    <w:rsid w:val="00FC2638"/>
    <w:rsid w:val="00FC2DF7"/>
    <w:rsid w:val="00FC33F6"/>
    <w:rsid w:val="00FC4104"/>
    <w:rsid w:val="00FC5989"/>
    <w:rsid w:val="00FC5DD6"/>
    <w:rsid w:val="00FC742C"/>
    <w:rsid w:val="00FC7AE4"/>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DF5E3"/>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3.png"/><Relationship Id="rId17" Type="http://schemas.openxmlformats.org/officeDocument/2006/relationships/hyperlink" Target="https://www.fda.gov/drugs/surveillance/fdas-adverse-event-reporting-system-faers" TargetMode="External"/><Relationship Id="rId2" Type="http://schemas.openxmlformats.org/officeDocument/2006/relationships/numbering" Target="numbering.xml"/><Relationship Id="rId16" Type="http://schemas.openxmlformats.org/officeDocument/2006/relationships/hyperlink" Target="https://github.com/seldas/LLM4AE" TargetMode="Externa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docs.python.org/3/library/difflib.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213</TotalTime>
  <Pages>26</Pages>
  <Words>9588</Words>
  <Characters>54655</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64115</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104</cp:revision>
  <dcterms:created xsi:type="dcterms:W3CDTF">2026-08-31T18:35:00Z</dcterms:created>
  <dcterms:modified xsi:type="dcterms:W3CDTF">2026-09-01T00:37:00Z</dcterms:modified>
</cp:coreProperties>
</file>