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2E0AB995" w:rsidR="00846008" w:rsidRPr="00287F74" w:rsidRDefault="00D91E36" w:rsidP="00D36C3A">
      <w:pPr>
        <w:spacing w:after="0"/>
        <w:ind w:left="720" w:right="720"/>
        <w:jc w:val="both"/>
        <w:rPr>
          <w:rFonts w:ascii="Lato Light" w:hAnsi="Lato Light"/>
          <w:i/>
          <w:iCs/>
        </w:rPr>
      </w:pPr>
      <w:r>
        <w:rPr>
          <w:rFonts w:ascii="Lato Light" w:hAnsi="Lato Light"/>
          <w:i/>
          <w:iCs/>
        </w:rPr>
        <w:lastRenderedPageBreak/>
        <w:t xml:space="preserve">Abstract: </w:t>
      </w:r>
      <w:r w:rsidR="001A523F" w:rsidRPr="001A523F">
        <w:rPr>
          <w:rFonts w:ascii="Lato Light" w:hAnsi="Lato Light"/>
          <w:i/>
          <w:iCs/>
        </w:rPr>
        <w:t>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that occur between sites and assemblages. The quantitative analysis of raw material color provides a consistent, and replicable means of assigning the bifaces to distinct raw material color groups. To evaluate elliptical biface morphology as a function of raw material color, each elliptical biface from 41AN13 was first assigned to a raw material color group, then analyzed using the tools of geometric morphometrics. Results demonstrate that elliptical bifaces differ significantly in shape, but not size, by raw material color group. This finding supports the interpretation that extralocal producers—and local Caddo users/knappers—conditioned elliptical biface shape not based upon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3346DE6A"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C45B13">
        <w:rPr>
          <w:rFonts w:ascii="Lato Light" w:hAnsi="Lato Light"/>
        </w:rPr>
        <w:t>that link</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4C21659C"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w:t>
      </w:r>
      <w:r w:rsidR="000409EC">
        <w:rPr>
          <w:rFonts w:ascii="Lato Light" w:hAnsi="Lato Light"/>
        </w:rPr>
        <w:t>were</w:t>
      </w:r>
      <w:r w:rsidR="00EC052A">
        <w:rPr>
          <w:rFonts w:ascii="Lato Light" w:hAnsi="Lato Light"/>
        </w:rPr>
        <w:t xml:space="preserve">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w:t>
      </w:r>
      <w:r>
        <w:rPr>
          <w:rFonts w:ascii="Lato Light" w:hAnsi="Lato Light"/>
        </w:rPr>
        <w:lastRenderedPageBreak/>
        <w:t xml:space="preserve">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Douglass et al. (2021)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AC47713"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 xml:space="preserve">Due </w:t>
      </w:r>
      <w:r w:rsidR="000409EC">
        <w:rPr>
          <w:rFonts w:ascii="Lato Light" w:hAnsi="Lato Light"/>
        </w:rPr>
        <w:t xml:space="preserve">to the absence of evidence for local production and </w:t>
      </w:r>
      <w:r w:rsidR="00FF6F86">
        <w:rPr>
          <w:rFonts w:ascii="Lato Light" w:hAnsi="Lato Light"/>
        </w:rPr>
        <w:t>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81ADB9C"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F67B98">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For the purpose of the seriation, </w:t>
      </w:r>
      <w:r w:rsidR="00692623">
        <w:rPr>
          <w:rFonts w:ascii="Lato Light" w:hAnsi="Lato Light"/>
        </w:rPr>
        <w:t xml:space="preserve">the Poynor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4BEB1F67" w:rsidR="00BA3B9F" w:rsidRDefault="001A2E7E" w:rsidP="008C6829">
      <w:pPr>
        <w:jc w:val="both"/>
        <w:rPr>
          <w:rFonts w:ascii="Lato Light" w:hAnsi="Lato Light"/>
        </w:rPr>
      </w:pPr>
      <w:r>
        <w:rPr>
          <w:rFonts w:ascii="Lato Light" w:hAnsi="Lato Light"/>
        </w:rPr>
        <w:t>The 1</w:t>
      </w:r>
      <w:r w:rsidR="00273598">
        <w:rPr>
          <w:rFonts w:ascii="Lato Light" w:hAnsi="Lato Light"/>
        </w:rPr>
        <w:t>3</w:t>
      </w:r>
      <w:r>
        <w:rPr>
          <w:rFonts w:ascii="Lato Light" w:hAnsi="Lato Light"/>
        </w:rPr>
        <w:t xml:space="preserve"> complete el</w:t>
      </w:r>
      <w:r w:rsidR="008C6829">
        <w:rPr>
          <w:rFonts w:ascii="Lato Light" w:hAnsi="Lato Light"/>
        </w:rPr>
        <w:t>liptical bifaces were scanned at 1200 dpi using an HP ScanJet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r w:rsidR="008C6829">
        <w:rPr>
          <w:rFonts w:ascii="Lato Light" w:hAnsi="Lato Light"/>
          <w:i/>
          <w:iCs/>
        </w:rPr>
        <w:t>colordistance</w:t>
      </w:r>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the analysis. </w:t>
      </w:r>
      <w:r w:rsidR="00810BC6">
        <w:rPr>
          <w:rFonts w:ascii="Lato Light" w:hAnsi="Lato Light"/>
        </w:rPr>
        <w:t xml:space="preserve">The </w:t>
      </w:r>
      <w:r w:rsidR="00810BC6">
        <w:rPr>
          <w:rFonts w:ascii="Lato Light" w:hAnsi="Lato Light"/>
        </w:rPr>
        <w:lastRenderedPageBreak/>
        <w:t>remaining bifaces were coded as ColorGroup A and ColorGroup B for the analysis of elliptical biface 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ColorGroup A is depicted by gray circles and ColorGroup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r>
        <w:rPr>
          <w:rFonts w:ascii="Lato Light" w:hAnsi="Lato Light"/>
          <w:i/>
          <w:iCs/>
        </w:rPr>
        <w:t>StereoMorph</w:t>
      </w:r>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DStretch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2119C11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(zscores)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w:t>
      </w:r>
      <w:r w:rsidR="00A01355">
        <w:rPr>
          <w:rFonts w:ascii="Lato Light" w:hAnsi="Lato Light"/>
        </w:rPr>
        <w:lastRenderedPageBreak/>
        <w:t>biface shape (RRPP = 10,000; Rsq = 0.3</w:t>
      </w:r>
      <w:r w:rsidR="00682131">
        <w:rPr>
          <w:rFonts w:ascii="Lato Light" w:hAnsi="Lato Light"/>
        </w:rPr>
        <w:t>1811</w:t>
      </w:r>
      <w:r w:rsidR="00A01355">
        <w:rPr>
          <w:rFonts w:ascii="Lato Light" w:hAnsi="Lato Light"/>
        </w:rPr>
        <w:t>; Pr(&gt;F) = 0.047</w:t>
      </w:r>
      <w:r w:rsidR="00E93D0E">
        <w:rPr>
          <w:rFonts w:ascii="Lato Light" w:hAnsi="Lato Light"/>
        </w:rPr>
        <w:t>3</w:t>
      </w:r>
      <w:r w:rsidR="00A01355">
        <w:rPr>
          <w:rFonts w:ascii="Lato Light" w:hAnsi="Lato Light"/>
        </w:rPr>
        <w:t>), but not size</w:t>
      </w:r>
      <w:r w:rsidR="007D2C0F">
        <w:rPr>
          <w:rFonts w:ascii="Lato Light" w:hAnsi="Lato Light"/>
        </w:rPr>
        <w:t xml:space="preserve"> (RRPP = 10,000; Rsq = 0.0083</w:t>
      </w:r>
      <w:r w:rsidR="00682131">
        <w:rPr>
          <w:rFonts w:ascii="Lato Light" w:hAnsi="Lato Light"/>
        </w:rPr>
        <w:t>1</w:t>
      </w:r>
      <w:r w:rsidR="007D2C0F">
        <w:rPr>
          <w:rFonts w:ascii="Lato Light" w:hAnsi="Lato Light"/>
        </w:rPr>
        <w:t>; Pr(&gt;F) = 0.7</w:t>
      </w:r>
      <w:r w:rsidR="00E93D0E">
        <w:rPr>
          <w:rFonts w:ascii="Lato Light" w:hAnsi="Lato Light"/>
        </w:rPr>
        <w:t>793</w:t>
      </w:r>
      <w:r w:rsidR="007D2C0F">
        <w:rPr>
          <w:rFonts w:ascii="Lato Light" w:hAnsi="Lato Light"/>
        </w:rPr>
        <w:t>)</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570CB42B"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w:t>
      </w:r>
      <w:r w:rsidR="009D082F">
        <w:rPr>
          <w:rFonts w:ascii="Lato Light" w:hAnsi="Lato Light"/>
        </w:rPr>
        <w:t>, or groups of snakes</w:t>
      </w:r>
      <w:r w:rsidR="00432F6C">
        <w:rPr>
          <w:rFonts w:ascii="Lato Light" w:hAnsi="Lato Light"/>
        </w:rPr>
        <w:t xml:space="preserve">.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 xml:space="preserve">or prepare offerings for </w:t>
      </w:r>
      <w:r w:rsidR="009D082F">
        <w:rPr>
          <w:rFonts w:ascii="Lato Light" w:hAnsi="Lato Light"/>
        </w:rPr>
        <w:t>the</w:t>
      </w:r>
      <w:r w:rsidR="00432F6C">
        <w:rPr>
          <w:rFonts w:ascii="Lato Light" w:hAnsi="Lato Light"/>
        </w:rPr>
        <w:t xml:space="preserve">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32AB4F6C" w:rsid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DStretch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Christian S. Hoggard, and David K. Thulman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7112A9DD" w14:textId="77777777" w:rsidR="00D91E36" w:rsidRPr="00D36C3A" w:rsidRDefault="00D91E36" w:rsidP="00432F6C">
      <w:pPr>
        <w:jc w:val="both"/>
        <w:rPr>
          <w:rFonts w:ascii="Lato Light" w:hAnsi="Lato Light"/>
        </w:rPr>
      </w:pPr>
    </w:p>
    <w:p w14:paraId="0BA189E7" w14:textId="3A8EDA04" w:rsidR="00ED255A" w:rsidRDefault="00D91E36" w:rsidP="00D36C3A">
      <w:pPr>
        <w:rPr>
          <w:rFonts w:ascii="Lato Light" w:hAnsi="Lato Light"/>
        </w:rPr>
      </w:pPr>
      <w:r>
        <w:rPr>
          <w:rFonts w:ascii="Lato Light" w:hAnsi="Lato Light"/>
        </w:rPr>
        <w:t>AUTHOR DECLARATIONS</w:t>
      </w:r>
    </w:p>
    <w:p w14:paraId="4BC1B96D" w14:textId="2F8B3CA0" w:rsidR="00D36C3A" w:rsidRPr="00D36C3A" w:rsidRDefault="00D36C3A" w:rsidP="00D36C3A">
      <w:pPr>
        <w:rPr>
          <w:rFonts w:ascii="Lato Light" w:hAnsi="Lato Light"/>
        </w:rPr>
      </w:pPr>
      <w:r>
        <w:rPr>
          <w:rFonts w:ascii="Lato Light" w:hAnsi="Lato Light"/>
        </w:rPr>
        <w:t>FUNDING</w:t>
      </w:r>
    </w:p>
    <w:p w14:paraId="47CB43B4" w14:textId="146E059A"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w:t>
      </w:r>
      <w:r w:rsidR="007E1328">
        <w:rPr>
          <w:rFonts w:ascii="Lato Light" w:hAnsi="Lato Light"/>
        </w:rPr>
        <w:t>the author</w:t>
      </w:r>
      <w:r w:rsidRPr="00D36C3A">
        <w:rPr>
          <w:rFonts w:ascii="Lato Light" w:hAnsi="Lato Light"/>
        </w:rPr>
        <w:t xml:space="preserve"> from the National Center for Preservation Technology and Training (NCPTT), and additional grants from the Caddo Nation of Oklahoma, National Forests and Grasslands in Texas (15-PA-11081300-033) and the United States Forest 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3FF46672" w14:textId="7D3F2B53" w:rsidR="00D91E36" w:rsidRDefault="00D91E36" w:rsidP="007E6E55">
      <w:pPr>
        <w:rPr>
          <w:rFonts w:ascii="Lato Light" w:hAnsi="Lato Light"/>
        </w:rPr>
      </w:pPr>
      <w:r>
        <w:rPr>
          <w:rFonts w:ascii="Lato Light" w:hAnsi="Lato Light"/>
        </w:rPr>
        <w:lastRenderedPageBreak/>
        <w:t>CONFLICTS OF INTERESTS/COMPETING INTERESTS</w:t>
      </w:r>
    </w:p>
    <w:p w14:paraId="7B6E078F" w14:textId="1AECF762" w:rsidR="00D91E36" w:rsidRDefault="00D91E36" w:rsidP="007E6E55">
      <w:pPr>
        <w:rPr>
          <w:rFonts w:ascii="Lato Light" w:hAnsi="Lato Light"/>
        </w:rPr>
      </w:pPr>
      <w:r>
        <w:rPr>
          <w:rFonts w:ascii="Lato Light" w:hAnsi="Lato Light"/>
        </w:rPr>
        <w:t>The author declares no conflict of interest.</w:t>
      </w:r>
    </w:p>
    <w:p w14:paraId="0FDB34B5" w14:textId="0A0CE71E" w:rsidR="00D91E36" w:rsidRDefault="00D91E36" w:rsidP="007E6E55">
      <w:pPr>
        <w:rPr>
          <w:rFonts w:ascii="Lato Light" w:hAnsi="Lato Light"/>
        </w:rPr>
      </w:pPr>
    </w:p>
    <w:p w14:paraId="2C0B1416" w14:textId="714D9A40" w:rsidR="00D91E36" w:rsidRDefault="00D91E36" w:rsidP="007E6E55">
      <w:pPr>
        <w:rPr>
          <w:rFonts w:ascii="Lato Light" w:hAnsi="Lato Light"/>
        </w:rPr>
      </w:pPr>
      <w:r>
        <w:rPr>
          <w:rFonts w:ascii="Lato Light" w:hAnsi="Lato Light"/>
        </w:rPr>
        <w:t>ETHICS APPROVAL/DECLARATIONS</w:t>
      </w:r>
    </w:p>
    <w:p w14:paraId="49236A48" w14:textId="6A1075F1" w:rsidR="00D91E36" w:rsidRDefault="00D91E36" w:rsidP="007E6E55">
      <w:pPr>
        <w:rPr>
          <w:rFonts w:ascii="Lato Light" w:hAnsi="Lato Light"/>
        </w:rPr>
      </w:pPr>
      <w:r>
        <w:rPr>
          <w:rFonts w:ascii="Lato Light" w:hAnsi="Lato Light"/>
        </w:rPr>
        <w:t>Not applicable.</w:t>
      </w:r>
    </w:p>
    <w:p w14:paraId="14897E89" w14:textId="37EB6988" w:rsidR="00D91E36" w:rsidRDefault="00D91E36" w:rsidP="007E6E55">
      <w:pPr>
        <w:rPr>
          <w:rFonts w:ascii="Lato Light" w:hAnsi="Lato Light"/>
        </w:rPr>
      </w:pPr>
    </w:p>
    <w:p w14:paraId="5D3C6291" w14:textId="07F97F42" w:rsidR="00D91E36" w:rsidRDefault="00D91E36" w:rsidP="007E6E55">
      <w:pPr>
        <w:rPr>
          <w:rFonts w:ascii="Lato Light" w:hAnsi="Lato Light"/>
        </w:rPr>
      </w:pPr>
      <w:r>
        <w:rPr>
          <w:rFonts w:ascii="Lato Light" w:hAnsi="Lato Light"/>
        </w:rPr>
        <w:t>CONSENT TO PARTICIPATE</w:t>
      </w:r>
    </w:p>
    <w:p w14:paraId="0993BB35" w14:textId="66BC417E" w:rsidR="00D91E36" w:rsidRDefault="00D91E36" w:rsidP="007E6E55">
      <w:pPr>
        <w:rPr>
          <w:rFonts w:ascii="Lato Light" w:hAnsi="Lato Light"/>
        </w:rPr>
      </w:pPr>
      <w:r>
        <w:rPr>
          <w:rFonts w:ascii="Lato Light" w:hAnsi="Lato Light"/>
        </w:rPr>
        <w:t>Not applicable.</w:t>
      </w:r>
    </w:p>
    <w:p w14:paraId="5F295C95" w14:textId="2A77F8B3" w:rsidR="00D91E36" w:rsidRDefault="00D91E36" w:rsidP="007E6E55">
      <w:pPr>
        <w:rPr>
          <w:rFonts w:ascii="Lato Light" w:hAnsi="Lato Light"/>
        </w:rPr>
      </w:pPr>
    </w:p>
    <w:p w14:paraId="578CBA00" w14:textId="2E71356D" w:rsidR="00D91E36" w:rsidRDefault="00D91E36" w:rsidP="007E6E55">
      <w:pPr>
        <w:rPr>
          <w:rFonts w:ascii="Lato Light" w:hAnsi="Lato Light"/>
        </w:rPr>
      </w:pPr>
      <w:r>
        <w:rPr>
          <w:rFonts w:ascii="Lato Light" w:hAnsi="Lato Light"/>
        </w:rPr>
        <w:t>CONSENT FOR PUBLICATION</w:t>
      </w:r>
    </w:p>
    <w:p w14:paraId="3F0F1DAF" w14:textId="1FFAF6F4" w:rsidR="00D91E36" w:rsidRDefault="00D91E36" w:rsidP="007E6E55">
      <w:pPr>
        <w:rPr>
          <w:rFonts w:ascii="Lato Light" w:hAnsi="Lato Light"/>
        </w:rPr>
      </w:pPr>
      <w:r>
        <w:rPr>
          <w:rFonts w:ascii="Lato Light" w:hAnsi="Lato Light"/>
        </w:rPr>
        <w:t>Not applicable.</w:t>
      </w:r>
    </w:p>
    <w:p w14:paraId="04BB2BF1" w14:textId="77777777" w:rsidR="00D91E36" w:rsidRDefault="00D91E36" w:rsidP="007E6E55">
      <w:pPr>
        <w:rPr>
          <w:rFonts w:ascii="Lato Light" w:hAnsi="Lato Light"/>
        </w:rPr>
      </w:pPr>
    </w:p>
    <w:p w14:paraId="51DFA599" w14:textId="11C66FC9" w:rsidR="00ED255A" w:rsidRDefault="00FE16FD" w:rsidP="007E6E55">
      <w:pPr>
        <w:rPr>
          <w:rFonts w:ascii="Lato Light" w:hAnsi="Lato Light"/>
        </w:rPr>
      </w:pPr>
      <w:r>
        <w:rPr>
          <w:rFonts w:ascii="Lato Light" w:hAnsi="Lato Light"/>
        </w:rPr>
        <w:t>DATA MANAGEMENT</w:t>
      </w:r>
    </w:p>
    <w:p w14:paraId="654D09E0" w14:textId="2D610E43"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xml:space="preserve">. </w:t>
      </w:r>
      <w:r w:rsidR="00817707">
        <w:rPr>
          <w:rFonts w:ascii="Lato Light" w:hAnsi="Lato Light"/>
        </w:rPr>
        <w:t>T</w:t>
      </w:r>
      <w:r>
        <w:rPr>
          <w:rFonts w:ascii="Lato Light" w:hAnsi="Lato Light"/>
        </w:rPr>
        <w: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w:t>
      </w:r>
      <w:r w:rsidR="00817707">
        <w:rPr>
          <w:rFonts w:ascii="Lato Light" w:hAnsi="Lato Light"/>
        </w:rPr>
        <w:t xml:space="preserve"> or </w:t>
      </w:r>
      <w:r w:rsidR="001C7040">
        <w:rPr>
          <w:rFonts w:ascii="Lato Light" w:hAnsi="Lato Light"/>
        </w:rPr>
        <w:t>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xml:space="preserve">), </w:t>
      </w:r>
      <w:r w:rsidR="00817707">
        <w:rPr>
          <w:rFonts w:ascii="Lato Light" w:hAnsi="Lato Light"/>
        </w:rPr>
        <w:t>which is</w:t>
      </w:r>
      <w:r w:rsidR="001C7040">
        <w:rPr>
          <w:rFonts w:ascii="Lato Light" w:hAnsi="Lato Light"/>
        </w:rPr>
        <w:t xml:space="preserve">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4A6BB699"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2148F3A9" w14:textId="58A9F75D" w:rsidR="00D91E36" w:rsidRDefault="00D91E36" w:rsidP="00FE16FD">
      <w:pPr>
        <w:jc w:val="both"/>
        <w:rPr>
          <w:rFonts w:ascii="Lato Light" w:hAnsi="Lato Light"/>
        </w:rPr>
      </w:pPr>
      <w:r>
        <w:rPr>
          <w:rFonts w:ascii="Lato Light" w:hAnsi="Lato Light"/>
        </w:rPr>
        <w:t>AUTHOR CONTRIBUTIONS</w:t>
      </w:r>
    </w:p>
    <w:p w14:paraId="0B837E42" w14:textId="270BD3DD" w:rsidR="00D91E36" w:rsidRDefault="00D91E36" w:rsidP="00FE16FD">
      <w:pPr>
        <w:jc w:val="both"/>
        <w:rPr>
          <w:rFonts w:ascii="Lato Light" w:hAnsi="Lato Light"/>
        </w:rPr>
      </w:pPr>
      <w:r>
        <w:rPr>
          <w:rFonts w:ascii="Lato Light" w:hAnsi="Lato Light"/>
        </w:rPr>
        <w:t>Not applicable—single authored paper.</w:t>
      </w:r>
    </w:p>
    <w:p w14:paraId="786F850A" w14:textId="5F8D014A" w:rsidR="00FE16FD" w:rsidRDefault="00FE16FD" w:rsidP="00FE16FD">
      <w:pPr>
        <w:jc w:val="both"/>
        <w:rPr>
          <w:rFonts w:ascii="Lato Light" w:hAnsi="Lato Light"/>
        </w:rPr>
      </w:pPr>
    </w:p>
    <w:p w14:paraId="3F774FAC" w14:textId="77777777" w:rsidR="00D91E36" w:rsidRDefault="00D91E36"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lastRenderedPageBreak/>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63BDE030" w:rsidR="00434969" w:rsidRDefault="00434969" w:rsidP="00434969">
      <w:pPr>
        <w:pStyle w:val="EndNoteBibliography"/>
        <w:spacing w:after="0"/>
      </w:pPr>
    </w:p>
    <w:p w14:paraId="064E6AE8" w14:textId="77777777" w:rsidR="00817707" w:rsidRPr="00434969" w:rsidRDefault="00817707" w:rsidP="00434969">
      <w:pPr>
        <w:pStyle w:val="EndNoteBibliography"/>
        <w:spacing w:after="0"/>
      </w:pPr>
    </w:p>
    <w:p w14:paraId="2284A58D" w14:textId="77777777" w:rsidR="00434969" w:rsidRPr="00434969" w:rsidRDefault="00434969" w:rsidP="00434969">
      <w:pPr>
        <w:pStyle w:val="EndNoteBibliography"/>
        <w:ind w:left="720" w:hanging="720"/>
      </w:pPr>
      <w:r w:rsidRPr="00434969">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lastRenderedPageBreak/>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1E2B7C46" w14:textId="77777777" w:rsidR="00434969" w:rsidRPr="00434969" w:rsidRDefault="00434969" w:rsidP="00434969">
      <w:pPr>
        <w:pStyle w:val="EndNoteBibliography"/>
        <w:ind w:left="720" w:hanging="720"/>
      </w:pPr>
      <w:r w:rsidRPr="00434969">
        <w:t>Collyer, Michael L., and Dean C. Adams</w:t>
      </w:r>
    </w:p>
    <w:p w14:paraId="323E6406" w14:textId="77777777" w:rsidR="00434969" w:rsidRPr="00434969" w:rsidRDefault="00434969" w:rsidP="00434969">
      <w:pPr>
        <w:pStyle w:val="EndNoteBibliography"/>
        <w:ind w:left="720" w:hanging="720"/>
      </w:pPr>
      <w:r w:rsidRPr="00434969">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35931BF" w:rsidR="00434969" w:rsidRDefault="00434969" w:rsidP="00434969">
      <w:pPr>
        <w:pStyle w:val="EndNoteBibliography"/>
        <w:spacing w:after="0"/>
      </w:pPr>
    </w:p>
    <w:p w14:paraId="3FD67475" w14:textId="27A8B6E9" w:rsidR="00D91E36" w:rsidRDefault="00D91E36" w:rsidP="00434969">
      <w:pPr>
        <w:pStyle w:val="EndNoteBibliography"/>
        <w:spacing w:after="0"/>
      </w:pPr>
    </w:p>
    <w:p w14:paraId="0E7DE3B0" w14:textId="5CC5FD25" w:rsidR="00D91E36" w:rsidRDefault="00D91E36" w:rsidP="00434969">
      <w:pPr>
        <w:pStyle w:val="EndNoteBibliography"/>
        <w:spacing w:after="0"/>
      </w:pPr>
    </w:p>
    <w:p w14:paraId="328D6E20" w14:textId="77777777" w:rsidR="00D91E36" w:rsidRPr="00434969" w:rsidRDefault="00D91E36" w:rsidP="00434969">
      <w:pPr>
        <w:pStyle w:val="EndNoteBibliography"/>
        <w:spacing w:after="0"/>
      </w:pPr>
    </w:p>
    <w:p w14:paraId="17C730F7" w14:textId="77777777" w:rsidR="00434969" w:rsidRPr="00434969" w:rsidRDefault="00434969" w:rsidP="00434969">
      <w:pPr>
        <w:pStyle w:val="EndNoteBibliography"/>
        <w:ind w:left="720" w:hanging="720"/>
      </w:pPr>
      <w:r w:rsidRPr="00434969">
        <w:lastRenderedPageBreak/>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17F3A46C" w14:textId="77777777" w:rsidR="00434969" w:rsidRPr="00434969" w:rsidRDefault="00434969" w:rsidP="00434969">
      <w:pPr>
        <w:pStyle w:val="EndNoteBibliography"/>
        <w:ind w:left="720" w:hanging="720"/>
      </w:pPr>
      <w:r w:rsidRPr="00434969">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2ADF4D68" w:rsidR="00434969" w:rsidRDefault="00434969" w:rsidP="00434969">
      <w:pPr>
        <w:pStyle w:val="EndNoteBibliography"/>
        <w:spacing w:after="0"/>
      </w:pPr>
    </w:p>
    <w:p w14:paraId="53A965D9" w14:textId="23B73CC3" w:rsidR="00D91E36" w:rsidRDefault="00D91E36" w:rsidP="00434969">
      <w:pPr>
        <w:pStyle w:val="EndNoteBibliography"/>
        <w:spacing w:after="0"/>
      </w:pPr>
    </w:p>
    <w:p w14:paraId="47A2BADD" w14:textId="77777777" w:rsidR="00D91E36" w:rsidRPr="00434969" w:rsidRDefault="00D91E36" w:rsidP="00434969">
      <w:pPr>
        <w:pStyle w:val="EndNoteBibliography"/>
        <w:spacing w:after="0"/>
      </w:pPr>
    </w:p>
    <w:p w14:paraId="7AF1AC01" w14:textId="77777777" w:rsidR="00434969" w:rsidRPr="00434969" w:rsidRDefault="00434969" w:rsidP="00434969">
      <w:pPr>
        <w:pStyle w:val="EndNoteBibliography"/>
        <w:ind w:left="720" w:hanging="720"/>
      </w:pPr>
      <w:r w:rsidRPr="00434969">
        <w:lastRenderedPageBreak/>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536403F9" w14:textId="77777777" w:rsidR="00231997" w:rsidRDefault="00231997" w:rsidP="00434969">
      <w:pPr>
        <w:pStyle w:val="EndNoteBibliography"/>
        <w:ind w:left="720" w:hanging="720"/>
      </w:pPr>
    </w:p>
    <w:p w14:paraId="1284B73F" w14:textId="5796E88B" w:rsidR="00434969" w:rsidRPr="00434969" w:rsidRDefault="00434969" w:rsidP="00434969">
      <w:pPr>
        <w:pStyle w:val="EndNoteBibliography"/>
        <w:ind w:left="720" w:hanging="720"/>
      </w:pPr>
      <w:r w:rsidRPr="00434969">
        <w:t>Frankel, David</w:t>
      </w:r>
    </w:p>
    <w:p w14:paraId="49F4C2A5" w14:textId="77777777" w:rsidR="00434969" w:rsidRPr="00434969" w:rsidRDefault="00434969" w:rsidP="00434969">
      <w:pPr>
        <w:pStyle w:val="EndNoteBibliography"/>
        <w:ind w:left="720" w:hanging="720"/>
      </w:pPr>
      <w:r w:rsidRPr="00434969">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54D75FFA" w:rsidR="00434969" w:rsidRDefault="00434969" w:rsidP="00434969">
      <w:pPr>
        <w:pStyle w:val="EndNoteBibliography"/>
        <w:spacing w:after="0"/>
      </w:pPr>
    </w:p>
    <w:p w14:paraId="6589DE72" w14:textId="5B1B2100" w:rsidR="00D91E36" w:rsidRDefault="00D91E36" w:rsidP="00434969">
      <w:pPr>
        <w:pStyle w:val="EndNoteBibliography"/>
        <w:spacing w:after="0"/>
      </w:pPr>
    </w:p>
    <w:p w14:paraId="3ACDD484" w14:textId="73D2B9FC" w:rsidR="00D91E36" w:rsidRDefault="00D91E36" w:rsidP="00434969">
      <w:pPr>
        <w:pStyle w:val="EndNoteBibliography"/>
        <w:spacing w:after="0"/>
      </w:pPr>
    </w:p>
    <w:p w14:paraId="7635EF3B" w14:textId="6F9D6E85" w:rsidR="00D91E36" w:rsidRDefault="00D91E36" w:rsidP="00434969">
      <w:pPr>
        <w:pStyle w:val="EndNoteBibliography"/>
        <w:spacing w:after="0"/>
      </w:pPr>
    </w:p>
    <w:p w14:paraId="05A5C9C6" w14:textId="77777777" w:rsidR="00D91E36" w:rsidRPr="00434969" w:rsidRDefault="00D91E36" w:rsidP="00434969">
      <w:pPr>
        <w:pStyle w:val="EndNoteBibliography"/>
        <w:spacing w:after="0"/>
      </w:pPr>
    </w:p>
    <w:p w14:paraId="4D780364" w14:textId="77777777" w:rsidR="00434969" w:rsidRPr="00434969" w:rsidRDefault="00434969" w:rsidP="00434969">
      <w:pPr>
        <w:pStyle w:val="EndNoteBibliography"/>
        <w:ind w:left="720" w:hanging="720"/>
      </w:pPr>
      <w:r w:rsidRPr="00434969">
        <w:lastRenderedPageBreak/>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8C6DF6F" w14:textId="77777777" w:rsidR="00434969" w:rsidRPr="00434969" w:rsidRDefault="00434969" w:rsidP="00434969">
      <w:pPr>
        <w:pStyle w:val="EndNoteBibliography"/>
        <w:ind w:left="720" w:hanging="720"/>
      </w:pPr>
      <w:r w:rsidRPr="00434969">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5ACA34CF" w:rsidR="00434969" w:rsidRDefault="00434969" w:rsidP="00434969">
      <w:pPr>
        <w:pStyle w:val="EndNoteBibliography"/>
        <w:spacing w:after="0"/>
      </w:pPr>
    </w:p>
    <w:p w14:paraId="1A58D5A0" w14:textId="77777777" w:rsidR="00D91E36" w:rsidRPr="00434969" w:rsidRDefault="00D91E36" w:rsidP="00434969">
      <w:pPr>
        <w:pStyle w:val="EndNoteBibliography"/>
        <w:spacing w:after="0"/>
      </w:pPr>
    </w:p>
    <w:p w14:paraId="442A2947" w14:textId="77777777" w:rsidR="00434969" w:rsidRPr="00434969" w:rsidRDefault="00434969" w:rsidP="00434969">
      <w:pPr>
        <w:pStyle w:val="EndNoteBibliography"/>
        <w:ind w:left="720" w:hanging="720"/>
      </w:pPr>
      <w:r w:rsidRPr="00434969">
        <w:lastRenderedPageBreak/>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1BE96B11" w:rsidR="00434969" w:rsidRDefault="00434969" w:rsidP="00434969">
      <w:pPr>
        <w:pStyle w:val="EndNoteBibliography"/>
        <w:spacing w:after="0"/>
      </w:pPr>
    </w:p>
    <w:p w14:paraId="64BD3D12" w14:textId="77777777" w:rsidR="00817707" w:rsidRPr="00434969" w:rsidRDefault="00817707" w:rsidP="00434969">
      <w:pPr>
        <w:pStyle w:val="EndNoteBibliography"/>
        <w:spacing w:after="0"/>
      </w:pPr>
    </w:p>
    <w:p w14:paraId="5C872976" w14:textId="77777777" w:rsidR="00434969" w:rsidRPr="00434969" w:rsidRDefault="00434969" w:rsidP="00434969">
      <w:pPr>
        <w:pStyle w:val="EndNoteBibliography"/>
        <w:ind w:left="720" w:hanging="720"/>
      </w:pPr>
      <w:r w:rsidRPr="00434969">
        <w:t>Kent, J. T., and K. V. Mardia</w:t>
      </w:r>
    </w:p>
    <w:p w14:paraId="07BBDD6D" w14:textId="77777777" w:rsidR="00434969" w:rsidRPr="00434969" w:rsidRDefault="00434969" w:rsidP="00434969">
      <w:pPr>
        <w:pStyle w:val="EndNoteBibliography"/>
        <w:ind w:left="720" w:hanging="720"/>
      </w:pPr>
      <w:r w:rsidRPr="00434969">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10AAC264" w14:textId="77777777" w:rsidR="00434969" w:rsidRPr="00434969" w:rsidRDefault="00434969" w:rsidP="00434969">
      <w:pPr>
        <w:pStyle w:val="EndNoteBibliography"/>
        <w:ind w:left="720" w:hanging="720"/>
      </w:pPr>
      <w:r w:rsidRPr="00434969">
        <w:lastRenderedPageBreak/>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3189AAB8" w:rsidR="00434969" w:rsidRDefault="00434969" w:rsidP="00434969">
      <w:pPr>
        <w:pStyle w:val="EndNoteBibliography"/>
        <w:spacing w:after="0"/>
      </w:pPr>
    </w:p>
    <w:p w14:paraId="4DD1615C" w14:textId="77777777" w:rsidR="00434969" w:rsidRPr="00434969" w:rsidRDefault="00434969" w:rsidP="00434969">
      <w:pPr>
        <w:pStyle w:val="EndNoteBibliography"/>
        <w:ind w:left="720" w:hanging="720"/>
      </w:pPr>
      <w:r w:rsidRPr="00434969">
        <w:t>O'Higgins, Paul, and Nicholas Jones</w:t>
      </w:r>
    </w:p>
    <w:p w14:paraId="724235A9" w14:textId="77777777" w:rsidR="00434969" w:rsidRPr="00434969" w:rsidRDefault="00434969" w:rsidP="00434969">
      <w:pPr>
        <w:pStyle w:val="EndNoteBibliography"/>
        <w:ind w:left="720" w:hanging="720"/>
      </w:pPr>
      <w:r w:rsidRPr="00434969">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24B5452C" w14:textId="77777777" w:rsidR="00231997" w:rsidRDefault="00231997" w:rsidP="00434969">
      <w:pPr>
        <w:pStyle w:val="EndNoteBibliography"/>
        <w:ind w:left="720" w:hanging="720"/>
      </w:pPr>
    </w:p>
    <w:p w14:paraId="278DD65E" w14:textId="42F0A34B" w:rsidR="00434969" w:rsidRPr="00434969" w:rsidRDefault="00434969" w:rsidP="00434969">
      <w:pPr>
        <w:pStyle w:val="EndNoteBibliography"/>
        <w:ind w:left="720" w:hanging="720"/>
      </w:pPr>
      <w:r w:rsidRPr="00434969">
        <w:lastRenderedPageBreak/>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358AAD66" w14:textId="77777777" w:rsidR="00817707" w:rsidRPr="00434969" w:rsidRDefault="00817707" w:rsidP="00434969">
      <w:pPr>
        <w:pStyle w:val="EndNoteBibliography"/>
        <w:spacing w:after="0"/>
      </w:pPr>
    </w:p>
    <w:p w14:paraId="521260E2" w14:textId="77777777" w:rsidR="00434969" w:rsidRPr="00434969" w:rsidRDefault="00434969" w:rsidP="00434969">
      <w:pPr>
        <w:pStyle w:val="EndNoteBibliography"/>
        <w:ind w:left="720" w:hanging="720"/>
      </w:pPr>
      <w:r w:rsidRPr="00434969">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107408CB" w:rsidR="00434969" w:rsidRDefault="00434969" w:rsidP="00434969">
      <w:pPr>
        <w:pStyle w:val="EndNoteBibliography"/>
        <w:spacing w:after="0"/>
      </w:pPr>
    </w:p>
    <w:p w14:paraId="2E5732C8" w14:textId="77777777" w:rsidR="00231997" w:rsidRDefault="00231997" w:rsidP="00434969">
      <w:pPr>
        <w:pStyle w:val="EndNoteBibliography"/>
        <w:ind w:left="720" w:hanging="720"/>
      </w:pPr>
    </w:p>
    <w:p w14:paraId="3F0C85E6" w14:textId="77777777" w:rsidR="00231997" w:rsidRDefault="00231997" w:rsidP="00434969">
      <w:pPr>
        <w:pStyle w:val="EndNoteBibliography"/>
        <w:ind w:left="720" w:hanging="720"/>
      </w:pPr>
    </w:p>
    <w:p w14:paraId="11B8054D" w14:textId="009714FB" w:rsidR="00434969" w:rsidRPr="00434969" w:rsidRDefault="00434969" w:rsidP="00434969">
      <w:pPr>
        <w:pStyle w:val="EndNoteBibliography"/>
        <w:ind w:left="720" w:hanging="720"/>
      </w:pPr>
      <w:r w:rsidRPr="00434969">
        <w:lastRenderedPageBreak/>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0D234E2D" w14:textId="15A558C1" w:rsidR="00817707" w:rsidRDefault="00434969" w:rsidP="00D91E36">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1568B66" w14:textId="77777777" w:rsidR="00817707" w:rsidRPr="00434969" w:rsidRDefault="00817707" w:rsidP="00434969">
      <w:pPr>
        <w:pStyle w:val="EndNoteBibliography"/>
        <w:spacing w:after="0"/>
      </w:pPr>
    </w:p>
    <w:p w14:paraId="646ED6C2" w14:textId="77777777" w:rsidR="00434969" w:rsidRPr="00434969" w:rsidRDefault="00434969" w:rsidP="00434969">
      <w:pPr>
        <w:pStyle w:val="EndNoteBibliography"/>
        <w:ind w:left="720" w:hanging="720"/>
      </w:pPr>
      <w:r w:rsidRPr="00434969">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649E408" w:rsidR="00434969" w:rsidRDefault="00434969" w:rsidP="00434969">
      <w:pPr>
        <w:pStyle w:val="EndNoteBibliography"/>
        <w:ind w:left="720" w:hanging="720"/>
      </w:pPr>
      <w:r w:rsidRPr="00434969">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0BBE0949" w14:textId="58CA4917" w:rsidR="00D91E36" w:rsidRDefault="00D91E36" w:rsidP="00434969">
      <w:pPr>
        <w:pStyle w:val="EndNoteBibliography"/>
        <w:ind w:left="720" w:hanging="720"/>
      </w:pPr>
    </w:p>
    <w:p w14:paraId="6362E426" w14:textId="77777777" w:rsidR="00D91E36" w:rsidRPr="00434969" w:rsidRDefault="00D91E36" w:rsidP="00434969">
      <w:pPr>
        <w:pStyle w:val="EndNoteBibliography"/>
        <w:ind w:left="720" w:hanging="720"/>
      </w:pPr>
    </w:p>
    <w:p w14:paraId="3FBA7A0B" w14:textId="77777777" w:rsidR="00434969" w:rsidRPr="00434969" w:rsidRDefault="00434969" w:rsidP="00434969">
      <w:pPr>
        <w:pStyle w:val="EndNoteBibliography"/>
        <w:ind w:left="720" w:hanging="720"/>
      </w:pPr>
      <w:r w:rsidRPr="00434969">
        <w:lastRenderedPageBreak/>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8BAE" w14:textId="77777777" w:rsidR="00F67B98" w:rsidRDefault="00F67B98" w:rsidP="00A5675E">
      <w:pPr>
        <w:spacing w:after="0" w:line="240" w:lineRule="auto"/>
      </w:pPr>
      <w:r>
        <w:separator/>
      </w:r>
    </w:p>
  </w:endnote>
  <w:endnote w:type="continuationSeparator" w:id="0">
    <w:p w14:paraId="0DD006B8" w14:textId="77777777" w:rsidR="00F67B98" w:rsidRDefault="00F67B98"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AD9B" w14:textId="77777777" w:rsidR="00F67B98" w:rsidRDefault="00F67B98" w:rsidP="00A5675E">
      <w:pPr>
        <w:spacing w:after="0" w:line="240" w:lineRule="auto"/>
      </w:pPr>
      <w:r>
        <w:separator/>
      </w:r>
    </w:p>
  </w:footnote>
  <w:footnote w:type="continuationSeparator" w:id="0">
    <w:p w14:paraId="22E571F2" w14:textId="77777777" w:rsidR="00F67B98" w:rsidRDefault="00F67B98"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409EC"/>
    <w:rsid w:val="00071679"/>
    <w:rsid w:val="000722E0"/>
    <w:rsid w:val="000853C0"/>
    <w:rsid w:val="000854FD"/>
    <w:rsid w:val="00087576"/>
    <w:rsid w:val="000A0585"/>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23F"/>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32C6"/>
    <w:rsid w:val="00214714"/>
    <w:rsid w:val="00230A01"/>
    <w:rsid w:val="00231997"/>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82131"/>
    <w:rsid w:val="00691A33"/>
    <w:rsid w:val="00692623"/>
    <w:rsid w:val="00695B3A"/>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1328"/>
    <w:rsid w:val="007E5F57"/>
    <w:rsid w:val="007E6E55"/>
    <w:rsid w:val="007F235E"/>
    <w:rsid w:val="008005AA"/>
    <w:rsid w:val="00810BC6"/>
    <w:rsid w:val="00815929"/>
    <w:rsid w:val="00817707"/>
    <w:rsid w:val="0082581D"/>
    <w:rsid w:val="00830E3E"/>
    <w:rsid w:val="008348B1"/>
    <w:rsid w:val="008452B4"/>
    <w:rsid w:val="00846008"/>
    <w:rsid w:val="008546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235E5"/>
    <w:rsid w:val="009264FE"/>
    <w:rsid w:val="00932FC7"/>
    <w:rsid w:val="0094613C"/>
    <w:rsid w:val="00946739"/>
    <w:rsid w:val="00960A5E"/>
    <w:rsid w:val="00963558"/>
    <w:rsid w:val="00980B35"/>
    <w:rsid w:val="009972F3"/>
    <w:rsid w:val="009B589F"/>
    <w:rsid w:val="009B724C"/>
    <w:rsid w:val="009C33DA"/>
    <w:rsid w:val="009C6B6F"/>
    <w:rsid w:val="009D082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4725"/>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45B13"/>
    <w:rsid w:val="00C548D1"/>
    <w:rsid w:val="00C62FB4"/>
    <w:rsid w:val="00C63ACA"/>
    <w:rsid w:val="00C64B29"/>
    <w:rsid w:val="00C659C3"/>
    <w:rsid w:val="00C66A2F"/>
    <w:rsid w:val="00C74907"/>
    <w:rsid w:val="00C8277F"/>
    <w:rsid w:val="00C91273"/>
    <w:rsid w:val="00C9401A"/>
    <w:rsid w:val="00CC1C9F"/>
    <w:rsid w:val="00CC2F4F"/>
    <w:rsid w:val="00CD30EC"/>
    <w:rsid w:val="00CD487E"/>
    <w:rsid w:val="00CD621B"/>
    <w:rsid w:val="00CD67A2"/>
    <w:rsid w:val="00CD741D"/>
    <w:rsid w:val="00CD7A63"/>
    <w:rsid w:val="00CE4E6B"/>
    <w:rsid w:val="00CF7648"/>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1E36"/>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93D0E"/>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67B98"/>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16</Pages>
  <Words>9661</Words>
  <Characters>55069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40</cp:revision>
  <dcterms:created xsi:type="dcterms:W3CDTF">2023-01-17T16:07:00Z</dcterms:created>
  <dcterms:modified xsi:type="dcterms:W3CDTF">2023-01-20T14:39:00Z</dcterms:modified>
</cp:coreProperties>
</file>