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meeting minutes</w:t>
      </w:r>
    </w:p>
    <w:p>
      <w:r>
        <w:t>Meeting of 8 October 2026, held at the head office. Chair: Ana Popescu. Minutes taken by the company secretary.</w:t>
      </w:r>
    </w:p>
    <w:p>
      <w:pPr>
        <w:pStyle w:val="Heading1"/>
      </w:pPr>
      <w:r>
        <w:t>1. Attendance</w:t>
      </w:r>
    </w:p>
    <w:p>
      <w:r>
        <w:t>Five of the six directors were present, which meets the quorum set by the articles of association. One director sent apologies.</w:t>
      </w:r>
    </w:p>
    <w:p>
      <w:pPr>
        <w:pStyle w:val="Heading1"/>
      </w:pPr>
      <w:r>
        <w:t>2. Third-quarter results</w:t>
      </w:r>
    </w:p>
    <w:p>
      <w:r>
        <w:t>The finance director presented the results for the quarter ended 30 September 2026. Revenue grew in every region compared with the same quarter of 2025.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Q3 2025</w:t>
            </w:r>
          </w:p>
        </w:tc>
        <w:tc>
          <w:tcPr>
            <w:tcW w:type="dxa" w:w="2160"/>
          </w:tcPr>
          <w:p>
            <w:r>
              <w:t>Q3 2026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1,120,000</w:t>
            </w:r>
          </w:p>
        </w:tc>
        <w:tc>
          <w:tcPr>
            <w:tcW w:type="dxa" w:w="2160"/>
          </w:tcPr>
          <w:p>
            <w:r>
              <w:t>1,240,000</w:t>
            </w:r>
          </w:p>
        </w:tc>
        <w:tc>
          <w:tcPr>
            <w:tcW w:type="dxa" w:w="2160"/>
          </w:tcPr>
          <w:p>
            <w:r>
              <w:t>+10.7%</w:t>
            </w:r>
          </w:p>
        </w:tc>
      </w:tr>
      <w:tr>
        <w:tc>
          <w:tcPr>
            <w:tcW w:type="dxa" w:w="2160"/>
          </w:tcPr>
          <w:p>
            <w:r>
              <w:t>Americas</w:t>
            </w:r>
          </w:p>
        </w:tc>
        <w:tc>
          <w:tcPr>
            <w:tcW w:type="dxa" w:w="2160"/>
          </w:tcPr>
          <w:p>
            <w:r>
              <w:t>860,000</w:t>
            </w:r>
          </w:p>
        </w:tc>
        <w:tc>
          <w:tcPr>
            <w:tcW w:type="dxa" w:w="2160"/>
          </w:tcPr>
          <w:p>
            <w:r>
              <w:t>905,000</w:t>
            </w:r>
          </w:p>
        </w:tc>
        <w:tc>
          <w:tcPr>
            <w:tcW w:type="dxa" w:w="2160"/>
          </w:tcPr>
          <w:p>
            <w:r>
              <w:t>+5.2%</w:t>
            </w:r>
          </w:p>
        </w:tc>
      </w:tr>
      <w:tr>
        <w:tc>
          <w:tcPr>
            <w:tcW w:type="dxa" w:w="2160"/>
          </w:tcPr>
          <w:p>
            <w:r>
              <w:t>Asia Pacific</w:t>
            </w:r>
          </w:p>
        </w:tc>
        <w:tc>
          <w:tcPr>
            <w:tcW w:type="dxa" w:w="2160"/>
          </w:tcPr>
          <w:p>
            <w:r>
              <w:t>410,000</w:t>
            </w:r>
          </w:p>
        </w:tc>
        <w:tc>
          <w:tcPr>
            <w:tcW w:type="dxa" w:w="2160"/>
          </w:tcPr>
          <w:p>
            <w:r>
              <w:t>468,000</w:t>
            </w:r>
          </w:p>
        </w:tc>
        <w:tc>
          <w:tcPr>
            <w:tcW w:type="dxa" w:w="2160"/>
          </w:tcPr>
          <w:p>
            <w:r>
              <w:t>+14.1%</w:t>
            </w:r>
          </w:p>
        </w:tc>
      </w:tr>
    </w:tbl>
    <w:p>
      <w:pPr>
        <w:pStyle w:val="Heading1"/>
      </w:pPr>
      <w:r>
        <w:t>3. Decisions</w:t>
      </w:r>
    </w:p>
    <w:p>
      <w:pPr>
        <w:pStyle w:val="ListNumber"/>
      </w:pPr>
      <w:r>
        <w:t>The board approved the third-quarter accounts.</w:t>
      </w:r>
    </w:p>
    <w:p>
      <w:pPr>
        <w:pStyle w:val="ListNumber"/>
      </w:pPr>
      <w:r>
        <w:t>The board approved the budget for the new Lisbon office.</w:t>
      </w:r>
    </w:p>
    <w:p>
      <w:pPr>
        <w:pStyle w:val="ListNumber"/>
      </w:pPr>
      <w:r>
        <w:t>The next meeting will be held on 14 January 2027.</w:t>
      </w:r>
    </w:p>
    <w:p>
      <w:pPr>
        <w:pStyle w:val="Heading1"/>
      </w:pPr>
      <w:r>
        <w:t>4. Retention</w:t>
      </w:r>
    </w:p>
    <w:p>
      <w:r>
        <w:t>These minutes are kept in the company archive for the full statutory retention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meeting minutes, October 2026</dc:title>
  <dc:subject/>
  <dc:creator>Company secretary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