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Sales Report</w:t>
      </w:r>
    </w:p>
    <w:p>
      <w:r>
        <w:rPr>
          <w:i/>
          <w:color w:val="555555"/>
        </w:rPr>
        <w:t>Contoso Ltd · Third quarter 2026</w:t>
      </w:r>
    </w:p>
    <w:p>
      <w:pPr>
        <w:pStyle w:val="Heading1"/>
      </w:pPr>
      <w:r>
        <w:t>Summary</w:t>
      </w:r>
    </w:p>
    <w:p>
      <w:r>
        <w:t>Revenue reached 1.84 million euros in the third quarter, 12% more than in the second. Growth came mostly from the Nordic region, where two new distributors started selling in July. Operating costs stayed within budget.</w:t>
      </w:r>
    </w:p>
    <w:p>
      <w:pPr>
        <w:pStyle w:val="Heading1"/>
      </w:pPr>
      <w:r>
        <w:t>Sales by region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rPr>
                <w:b/>
              </w:rPr>
              <w:t>Q2 2026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rPr>
                <w:b/>
              </w:rPr>
              <w:t>Q3 2026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rPr>
                <w:b/>
              </w:rPr>
              <w:t>Change</w:t>
            </w:r>
          </w:p>
        </w:tc>
      </w:tr>
      <w:tr>
        <w:tc>
          <w:tcPr>
            <w:tcW w:type="dxa" w:w="2353"/>
          </w:tcPr>
          <w:p>
            <w:r>
              <w:t>Nordics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t>380,000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t>512,000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t>+35%</w:t>
            </w:r>
          </w:p>
        </w:tc>
      </w:tr>
      <w:tr>
        <w:tc>
          <w:tcPr>
            <w:tcW w:type="dxa" w:w="2353"/>
          </w:tcPr>
          <w:p>
            <w:r>
              <w:t>Central Europe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t>610,000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t>648,000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t>+6%</w:t>
            </w:r>
          </w:p>
        </w:tc>
      </w:tr>
      <w:tr>
        <w:tc>
          <w:tcPr>
            <w:tcW w:type="dxa" w:w="2353"/>
          </w:tcPr>
          <w:p>
            <w:r>
              <w:t>Southern Europe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t>420,000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t>433,000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t>+3%</w:t>
            </w:r>
          </w:p>
        </w:tc>
      </w:tr>
      <w:tr>
        <w:tc>
          <w:tcPr>
            <w:tcW w:type="dxa" w:w="2353"/>
          </w:tcPr>
          <w:p>
            <w:r>
              <w:t>United Kingdom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t>232,000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t>247,000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t>+6%</w:t>
            </w:r>
          </w:p>
        </w:tc>
      </w:tr>
      <w:tr>
        <w:tc>
          <w:tcPr>
            <w:tcW w:type="dxa" w:w="235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rPr>
                <w:b/>
              </w:rPr>
              <w:t>1,642,000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rPr>
                <w:b/>
              </w:rPr>
              <w:t>1,840,000</w:t>
            </w:r>
          </w:p>
        </w:tc>
        <w:tc>
          <w:tcPr>
            <w:tcW w:type="dxa" w:w="2353"/>
          </w:tcPr>
          <w:p>
            <w:pPr>
              <w:jc w:val="right"/>
            </w:pPr>
            <w:r>
              <w:rPr>
                <w:b/>
              </w:rPr>
              <w:t>+12%</w:t>
            </w:r>
          </w:p>
        </w:tc>
      </w:tr>
    </w:tbl>
    <w:p>
      <w:pPr>
        <w:pStyle w:val="Heading2"/>
      </w:pPr>
      <w:r>
        <w:t>Revenue by month</w:t>
      </w:r>
    </w:p>
    <w:p>
      <w:r>
        <w:drawing>
          <wp:inline xmlns:a="http://schemas.openxmlformats.org/drawingml/2006/main" xmlns:pic="http://schemas.openxmlformats.org/drawingml/2006/picture">
            <wp:extent cx="540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Monthly revenue, January to September 2026. The third quarter is in dark blue.</w:t>
      </w:r>
    </w:p>
    <w:p>
      <w:pPr>
        <w:pStyle w:val="Heading1"/>
      </w:pPr>
      <w:r>
        <w:t>Outlook</w:t>
      </w:r>
    </w:p>
    <w:p>
      <w:pPr>
        <w:pStyle w:val="ListBullet"/>
      </w:pPr>
      <w:r>
        <w:t>Open a sales office in Stockholm in November.</w:t>
      </w:r>
    </w:p>
    <w:p>
      <w:pPr>
        <w:pStyle w:val="ListBullet"/>
      </w:pPr>
      <w:r>
        <w:t>Ship the new pricing for Central Europe on 1 January.</w:t>
      </w:r>
    </w:p>
    <w:p>
      <w:pPr>
        <w:pStyle w:val="ListBullet"/>
      </w:pPr>
      <w:r>
        <w:t>Keep the fourth-quarter operating costs within the approved budget.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Sales Report</dc:title>
  <dc:subject/>
  <dc:creator>Contoso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