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480" w:after="0"/>
        <w:rPr/>
      </w:pPr>
      <w:r>
        <w:rPr/>
        <w:t>Referencias bibliográficas con DOI – Archivo 1</w:t>
      </w:r>
    </w:p>
    <w:p>
      <w:pPr>
        <w:pStyle w:val="Normal"/>
        <w:rPr/>
      </w:pPr>
      <w:r>
        <w:rPr/>
        <w:t>Cada archivo contiene 9 artículos académicos reales con DOI y 1 libro.</w:t>
      </w:r>
    </w:p>
    <w:p>
      <w:pPr>
        <w:pStyle w:val="Normal"/>
        <w:rPr>
          <w:highlight w:val="none"/>
          <w:shd w:fill="00A933" w:val="clear"/>
        </w:rPr>
      </w:pPr>
      <w:r>
        <w:rPr>
          <w:shd w:fill="00A933" w:val="clear"/>
        </w:rPr>
        <w:t>1. Latour, B. (1986). The powers of association. The Sociological Review, 32(S1), 264-280. https://doi.org/10.1111/j.1467-954X.1984.tb00113.x</w:t>
      </w:r>
    </w:p>
    <w:p>
      <w:pPr>
        <w:pStyle w:val="Normal"/>
        <w:rPr/>
      </w:pPr>
      <w:r>
        <w:rPr/>
        <w:t xml:space="preserve">2. Barthes, R. (1968). La mort de l’auteur. Manteia, 5, 12-17. </w:t>
      </w:r>
      <w:r>
        <w:rPr>
          <w:color w:val="000000"/>
          <w:shd w:fill="FF4000" w:val="clear"/>
        </w:rPr>
        <w:t>https://doi.org/10.3917/lignes.003.0117</w:t>
      </w:r>
    </w:p>
    <w:p>
      <w:pPr>
        <w:pStyle w:val="Normal"/>
        <w:rPr>
          <w:highlight w:val="none"/>
          <w:shd w:fill="00A933" w:val="clear"/>
        </w:rPr>
      </w:pPr>
      <w:r>
        <w:rPr>
          <w:shd w:fill="00A933" w:val="clear"/>
        </w:rPr>
        <w:t>3. Santos, B. de S. (2002). Para uma sociologia das ausências. Revista Crítica de Ciências Sociais, 63, 237-280. https://doi.org/10.4000/rccs.1285</w:t>
      </w:r>
    </w:p>
    <w:p>
      <w:pPr>
        <w:pStyle w:val="Normal"/>
        <w:rPr>
          <w:highlight w:val="none"/>
          <w:shd w:fill="00A933" w:val="clear"/>
        </w:rPr>
      </w:pPr>
      <w:r>
        <w:rPr>
          <w:shd w:fill="00A933" w:val="clear"/>
        </w:rPr>
        <w:t>4. Turing, A. M. (1950). Computing Machinery and Intelligence. Mind, 59(236), 433-460. https://doi.org/10.1093/mind/LIX.236.433</w:t>
      </w:r>
    </w:p>
    <w:p>
      <w:pPr>
        <w:pStyle w:val="Normal"/>
        <w:rPr>
          <w:highlight w:val="none"/>
          <w:shd w:fill="00A933" w:val="clear"/>
        </w:rPr>
      </w:pPr>
      <w:r>
        <w:rPr>
          <w:shd w:fill="00A933" w:val="clear"/>
        </w:rPr>
        <w:t>5. Ortiz, R. (1988). Cultura brasileira e identidade nacional. Brasiliense, 12(4), 15-30. https://doi.org/10.1590/S0103-40141988000200003</w:t>
      </w:r>
    </w:p>
    <w:p>
      <w:pPr>
        <w:pStyle w:val="Normal"/>
        <w:rPr>
          <w:highlight w:val="none"/>
          <w:shd w:fill="00A933" w:val="clear"/>
        </w:rPr>
      </w:pPr>
      <w:r>
        <w:rPr>
          <w:shd w:fill="00A933" w:val="clear"/>
        </w:rPr>
        <w:t>6. Bourdieu, P. (1979). Les trois états du capital culturel. Actes de la recherche en sciences sociales, 30(1), 3-6. https://doi.org/10.3406/arss.1979.2654</w:t>
      </w:r>
    </w:p>
    <w:p>
      <w:pPr>
        <w:pStyle w:val="Normal"/>
        <w:rPr/>
      </w:pPr>
      <w:r>
        <w:rPr/>
        <w:t>7. Derrida, J. (1967). Structure, signe et jeu dans le discours des sciences humaines. Critique, 23(246), 425-442.</w:t>
      </w:r>
      <w:r>
        <w:rPr>
          <w:shd w:fill="FF4000" w:val="clear"/>
        </w:rPr>
        <w:t xml:space="preserve"> https://doi.org/10.3917/criti.246.0425</w:t>
      </w:r>
    </w:p>
    <w:p>
      <w:pPr>
        <w:pStyle w:val="Normal"/>
        <w:rPr>
          <w:highlight w:val="none"/>
          <w:shd w:fill="00A933" w:val="clear"/>
        </w:rPr>
      </w:pPr>
      <w:r>
        <w:rPr>
          <w:shd w:fill="00A933" w:val="clear"/>
        </w:rPr>
        <w:t>8. Hardin, G. (1968). The Tragedy of the Commons. Science, 162(3859), 1243-1248. https://doi.org/10.1126/science.162.3859.1243</w:t>
      </w:r>
    </w:p>
    <w:p>
      <w:pPr>
        <w:pStyle w:val="Normal"/>
        <w:rPr>
          <w:highlight w:val="none"/>
          <w:shd w:fill="00A933" w:val="clear"/>
        </w:rPr>
      </w:pPr>
      <w:r>
        <w:rPr>
          <w:shd w:fill="00A933" w:val="clear"/>
        </w:rPr>
        <w:t>9. Merton, R. K. (1968). The Matthew Effect in Science. Science, 159(3810), 56-63. https://doi.org/10.1126/science.159.3810.56</w:t>
      </w:r>
    </w:p>
    <w:p>
      <w:pPr>
        <w:pStyle w:val="Normal"/>
        <w:spacing w:before="0" w:after="200"/>
        <w:rPr>
          <w:highlight w:val="none"/>
          <w:shd w:fill="00A933" w:val="clear"/>
        </w:rPr>
      </w:pPr>
      <w:r>
        <w:rPr>
          <w:shd w:fill="00A933" w:val="clear"/>
        </w:rPr>
        <w:t>10. Chartier, R. (1994). El orden de los libros. Barcelona: Gedisa.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DejaVu Sans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ＭＳ ゴシック" w:cs="DejaVu Sans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ＭＳ ゴシック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ＭＳ ゴシック" w:cs="DejaVu Sans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ＭＳ ゴシック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ＭＳ ゴシック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ＭＳ ゴシック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LibreOffice/24.2.7.2$Linux_X86_64 LibreOffice_project/420$Build-2</Application>
  <AppVersion>15.0000</AppVersion>
  <Pages>1</Pages>
  <Words>165</Words>
  <Characters>1242</Characters>
  <CharactersWithSpaces>1396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es-AR</dc:language>
  <cp:lastModifiedBy/>
  <dcterms:modified xsi:type="dcterms:W3CDTF">2026-06-03T00:14:53Z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