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Detection</w:t>
      </w:r>
      <w:r>
        <w:t xml:space="preserve"> </w:t>
      </w:r>
      <w:r>
        <w:t xml:space="preserve">in</w:t>
      </w:r>
      <w:r>
        <w:t xml:space="preserve"> </w:t>
      </w:r>
      <w:r>
        <w:t xml:space="preserve">Context,</w:t>
      </w:r>
      <w:r>
        <w:t xml:space="preserve"> </w:t>
      </w:r>
      <w:r>
        <w:t xml:space="preserve">Exp.</w:t>
      </w:r>
      <w:r>
        <w:t xml:space="preserve"> </w:t>
      </w:r>
      <w:r>
        <w:t xml:space="preserve">2</w:t>
      </w:r>
      <w:r>
        <w:t xml:space="preserve"> </w:t>
      </w:r>
      <w:r>
        <w:t xml:space="preserve">(prev.</w:t>
      </w:r>
      <w:r>
        <w:t xml:space="preserve"> </w:t>
      </w:r>
      <w:r>
        <w:t xml:space="preserve">4)</w:t>
      </w:r>
      <w:r>
        <w:t xml:space="preserve"> </w:t>
      </w:r>
      <w:r>
        <w:t xml:space="preserve">-</w:t>
      </w:r>
      <w:r>
        <w:t xml:space="preserve"> </w:t>
      </w:r>
      <w:r>
        <w:t xml:space="preserve">pre-registration</w:t>
      </w:r>
      <w:r>
        <w:t xml:space="preserve"> </w:t>
      </w:r>
      <w:r>
        <w:t xml:space="preserve">document</w:t>
      </w:r>
    </w:p>
    <w:bookmarkStart w:id="22" w:name="results"/>
    <w:p>
      <w:pPr>
        <w:pStyle w:val="Heading1"/>
      </w:pPr>
      <w:r>
        <w:t xml:space="preserve">Results</w:t>
      </w:r>
    </w:p>
    <w:bookmarkStart w:id="21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252 participants took part. Participants were excluded if their accuracy fell below 50% (0 participants). We also excluded participants for having extremely fast (0 participants) or slow (18 participants) reaction times in one or more of the tasks (below 100 milliseconds or above 5 seconds in more than 25% of the trials).</w:t>
      </w:r>
    </w:p>
    <w:p>
      <w:pPr>
        <w:pStyle w:val="BodyText"/>
      </w:pPr>
      <w:r>
        <w:t xml:space="preserve">Trials with response time below 100 milliseconds (0.00 of all trials) or above 5 seconds (0.08 of all trials) were excluded from the response-time analysis.</w:t>
      </w:r>
    </w:p>
    <w:bookmarkStart w:id="20" w:name="hypotheses-and-analysis-plan"/>
    <w:p>
      <w:pPr>
        <w:pStyle w:val="Heading3"/>
      </w:pPr>
      <w:r>
        <w:t xml:space="preserve">Hypotheses and analysis plan</w:t>
      </w:r>
    </w:p>
    <w:p>
      <w:pPr>
        <w:pStyle w:val="FirstParagraph"/>
      </w:pPr>
      <w:r>
        <w:t xml:space="preserve">This study is designed to test the timing of decisions to terminate evidence accumulation in the absence of a target as a function of stimulus occlusion.</w:t>
      </w:r>
    </w:p>
    <w:p>
      <w:pPr>
        <w:pStyle w:val="BodyText"/>
      </w:pPr>
      <w:r>
        <w:rPr>
          <w:iCs/>
          <w:i/>
        </w:rPr>
        <w:t xml:space="preserve">Hypothesis 1 (PRESENCE/ABSENCE RESPONSE TIME)</w:t>
      </w:r>
      <w:r>
        <w:t xml:space="preserve">: We tested the null hypothesis that response times are similar for target-absent and target-present responses, aiming to replicate the finding that decisions about the absence of a target are slower than decisions about its presence</w:t>
      </w:r>
      <w:r>
        <w:t xml:space="preserve"> </w:t>
      </w:r>
      <w:r>
        <w:t xml:space="preserve">(Mazor, Moran, and Fleming 2021; Mazor, Friston, and Fleming 2020)</w:t>
      </w:r>
      <w:r>
        <w:t xml:space="preserve">.</w:t>
      </w:r>
    </w:p>
    <w:p>
      <w:pPr>
        <w:pStyle w:val="BodyText"/>
      </w:pPr>
      <w:r>
        <w:t xml:space="preserve">A paired t-test on the median individual level-response times revealed a significant difference (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384.93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432.62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337.23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15.90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2 (OCCLUSION EFFECT IN PRESENCE)</w:t>
      </w:r>
      <w:r>
        <w:t xml:space="preserve">: We tested the null hypothesis that target-present response times are similar when 2 or 6 pixel rows are occluded.</w:t>
      </w:r>
    </w:p>
    <w:p>
      <w:pPr>
        <w:pStyle w:val="BodyText"/>
      </w:pPr>
      <w:r>
        <w:t xml:space="preserve">A paired t-test on the median individual level-response times in correct trials only revealed a significant difference (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101.50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142.94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60.07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4.83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3 (OCCLUSION EFFECT IN ABSENCE)</w:t>
      </w:r>
      <w:r>
        <w:t xml:space="preserve">: We tested the null hypothesis that response times in target-absent responses are similar when 2 or 6 pixel rows are occluded.</w:t>
      </w:r>
    </w:p>
    <w:p>
      <w:pPr>
        <w:pStyle w:val="BodyText"/>
      </w:pPr>
      <w:r>
        <w:t xml:space="preserve">A paired t-test on the median individual level-response times in correct trials only revealed a null effect (</w:t>
      </w:r>
      <m:oMath>
        <m:r>
          <m:t>M</m:t>
        </m:r>
        <m:r>
          <m:rPr>
            <m:sty m:val="p"/>
          </m:rPr>
          <m:t>=</m:t>
        </m:r>
        <m:r>
          <m:t>7.98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29.08</m:t>
            </m:r>
            <m:r>
              <m:rPr>
                <m:sty m:val="p"/>
              </m:rPr>
              <m:t>,</m:t>
            </m:r>
            <m:r>
              <m:t>45.03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t>0.42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.672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4 (OCCLUSION RESPONSE INTERACTION)</w:t>
      </w:r>
      <w:r>
        <w:t xml:space="preserve">: We tested the null hypothesis that the effect of occlusion on reaction time is similar in target-absent and target-present responses, by performing a group-level t-test on the subject-level contrast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</m:t>
                    </m:r>
                  </m:sub>
                </m:sSub>
              </m:e>
            </m: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sSub>
                  <m:e>
                    <m:r>
                      <m:t>T</m:t>
                    </m:r>
                  </m:e>
                  <m:sub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sSub>
                  <m:e>
                    <m:r>
                      <m:t>T</m:t>
                    </m:r>
                  </m:e>
                  <m:sub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stand for present and absent, and 2 and 6 represent the number of occluded rows. Here too, analysis was restricted to correct trials only.</w:t>
      </w:r>
    </w:p>
    <w:p>
      <w:pPr>
        <w:pStyle w:val="BodyText"/>
      </w:pPr>
      <w:r>
        <w:t xml:space="preserve">We find a significant interaction (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149.37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212.21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86.53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4.68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5 (SENSITIVITY)</w:t>
      </w:r>
      <w:r>
        <w:t xml:space="preserve">: We tested the null hypothesis that perceptual sensitivity (measured as</w:t>
      </w:r>
      <w:r>
        <w:t xml:space="preserve"> </w:t>
      </w:r>
      <m:oMath>
        <m:r>
          <m:t>d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  <m:r>
          <m:rPr>
            <m:sty m:val="p"/>
          </m:rPr>
          <m:t>−</m:t>
        </m:r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) is equal as a function of the proportion of hidden pixels. To allow the extraction of d’ for participants who committed no false-alarms or misses, we added 0.5 to miss, hit, false-alarm and correct rejection counts</w:t>
      </w:r>
      <w:r>
        <w:t xml:space="preserve"> </w:t>
      </w:r>
      <w:r>
        <w:t xml:space="preserve">(Snodgrass and Corwin 1988)</w:t>
      </w:r>
      <w:r>
        <w:t xml:space="preserve">.</w:t>
      </w:r>
    </w:p>
    <w:p>
      <w:pPr>
        <w:pStyle w:val="BodyText"/>
      </w:pPr>
      <w:r>
        <w:t xml:space="preserve">We find a significant drop in d’ as a function of occlusion (</w:t>
      </w:r>
      <m:oMath>
        <m:r>
          <m:t>M</m:t>
        </m:r>
        <m:r>
          <m:rPr>
            <m:sty m:val="p"/>
          </m:rPr>
          <m:t>=</m:t>
        </m:r>
        <m:r>
          <m:t>0.51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0.42</m:t>
            </m:r>
            <m:r>
              <m:rPr>
                <m:sty m:val="p"/>
              </m:rPr>
              <m:t>,</m:t>
            </m:r>
            <m:r>
              <m:t>0.61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t>10.46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</w:t>
      </w:r>
    </w:p>
    <w:p>
      <w:pPr>
        <w:pStyle w:val="BodyText"/>
      </w:pPr>
      <w:r>
        <w:rPr>
          <w:iCs/>
          <w:i/>
        </w:rPr>
        <w:t xml:space="preserve">Hypothesis 6 (CRITERION)</w:t>
      </w:r>
      <w:r>
        <w:t xml:space="preserve">: We tested the null hypothesis that decision criterion (measured as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  <m:r>
              <m:rPr>
                <m:sty m:val="p"/>
              </m:rPr>
              <m:t>+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F</m:t>
                </m:r>
              </m:e>
            </m:d>
          </m:e>
        </m:d>
      </m:oMath>
      <w:r>
        <w:t xml:space="preserve">) is unaffected by the proportion of hidden pixels. To allow the extraction of a decision criterion for participants who committed no false-alarms or misses, we added 0.5 to miss, hit, false-alarm and correct rejection counts</w:t>
      </w:r>
      <w:r>
        <w:t xml:space="preserve"> </w:t>
      </w:r>
      <w:r>
        <w:t xml:space="preserve">(Snodgrass and Corwin 1988)</w:t>
      </w:r>
      <w:r>
        <w:t xml:space="preserve">.</w:t>
      </w:r>
    </w:p>
    <w:p>
      <w:pPr>
        <w:pStyle w:val="BodyText"/>
      </w:pPr>
      <w:r>
        <w:t xml:space="preserve">We find a significantly more conservative criterion in high-occlusion trials (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0.15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0.21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0.10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5.85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7 (PRESENCE/ABSENCE CONFIDENCE)</w:t>
      </w:r>
      <w:r>
        <w:t xml:space="preserve">: We tested the null hypothesis that confidence is similar in target-absent and target-present responses, aiming to replicate the finding that decisions about the absence of a target are accompanied by lower levels of subjective confidence than decisions about its presence</w:t>
      </w:r>
      <w:r>
        <w:t xml:space="preserve"> </w:t>
      </w:r>
      <w:r>
        <w:t xml:space="preserve">(Mazor, Moran, and Fleming 2021; Mazor, Friston, and Fleming 2020)</w:t>
      </w:r>
      <w:r>
        <w:t xml:space="preserve">.</w:t>
      </w:r>
    </w:p>
    <w:p>
      <w:pPr>
        <w:pStyle w:val="BodyText"/>
      </w:pPr>
      <w:r>
        <w:t xml:space="preserve">A paired t-test on the mean individual-level confidence ratings from correct responses only revealed a significant difference</w:t>
      </w:r>
    </w:p>
    <w:p>
      <w:pPr>
        <w:pStyle w:val="BodyText"/>
      </w:pPr>
      <w:r>
        <w:t xml:space="preserve">(</w:t>
      </w:r>
      <m:oMath>
        <m:r>
          <m:t>M</m:t>
        </m:r>
        <m:r>
          <m:rPr>
            <m:sty m:val="p"/>
          </m:rPr>
          <m:t>=</m:t>
        </m:r>
        <m:r>
          <m:t>0.01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0.00</m:t>
            </m:r>
            <m:r>
              <m:rPr>
                <m:sty m:val="p"/>
              </m:rPr>
              <m:t>,</m:t>
            </m:r>
            <m:r>
              <m:t>0.03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t>2.92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.004</m:t>
        </m:r>
      </m:oMath>
      <w:r>
        <w:t xml:space="preserve">)</w:t>
      </w:r>
    </w:p>
    <w:p>
      <w:pPr>
        <w:pStyle w:val="BodyText"/>
      </w:pPr>
      <w:r>
        <w:rPr>
          <w:iCs/>
          <w:i/>
        </w:rPr>
        <w:t xml:space="preserve">Hypothesis 8 (OCCLUSION CONFIDENCE EFFECT IN PRESENCE)</w:t>
      </w:r>
      <w:r>
        <w:t xml:space="preserve">: We tested the null hypothesis that target-present confidence ratings are similar when 2 or 6 pixel rows are occluded.</w:t>
      </w:r>
    </w:p>
    <w:p>
      <w:pPr>
        <w:pStyle w:val="BodyText"/>
      </w:pPr>
      <w:r>
        <w:t xml:space="preserve">A paired t-test on the mean individual-level confidence ratings in correct trials only revealed a significant effect (</w:t>
      </w:r>
      <m:oMath>
        <m:r>
          <m:t>M</m:t>
        </m:r>
        <m:r>
          <m:rPr>
            <m:sty m:val="p"/>
          </m:rPr>
          <m:t>=</m:t>
        </m:r>
        <m:r>
          <m:t>0.04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0.03</m:t>
            </m:r>
            <m:r>
              <m:rPr>
                <m:sty m:val="p"/>
              </m:rPr>
              <m:t>,</m:t>
            </m:r>
            <m:r>
              <m:t>0.05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t>10.08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9 (OCCLUSION CONFIDENCE EFFECT IN ABSENCE)</w:t>
      </w:r>
      <w:r>
        <w:t xml:space="preserve">: We tested the null hypothesis that target-absent confidence ratings are similar when 2 or 6 pixel rows are occluded.</w:t>
      </w:r>
    </w:p>
    <w:p>
      <w:pPr>
        <w:pStyle w:val="BodyText"/>
      </w:pPr>
      <w:r>
        <w:t xml:space="preserve">A paired t-test on the mean individual-level confidence ratings in correct trials only revealed a significant effect (</w:t>
      </w:r>
      <m:oMath>
        <m:r>
          <m:t>M</m:t>
        </m:r>
        <m:r>
          <m:rPr>
            <m:sty m:val="p"/>
          </m:rPr>
          <m:t>=</m:t>
        </m:r>
        <m:r>
          <m:t>0.04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0.03</m:t>
            </m:r>
            <m:r>
              <m:rPr>
                <m:sty m:val="p"/>
              </m:rPr>
              <m:t>,</m:t>
            </m:r>
            <m:r>
              <m:t>0.04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t>10.20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10 (OCCLUSION RESPONSE INTERACTION ON CONFIDENCE)</w:t>
      </w:r>
      <w:r>
        <w:t xml:space="preserve">: We tested the null hypothesis that the effect of occlusion on confidence is similar in target-absent and target-present responses, by performing a group-level t-test on the subject-level contrast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O</m:t>
                </m:r>
                <m:r>
                  <m:t>N</m:t>
                </m:r>
                <m:sSub>
                  <m:e>
                    <m:r>
                      <m:t>F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O</m:t>
                </m:r>
                <m:r>
                  <m:t>N</m:t>
                </m:r>
                <m:sSub>
                  <m:e>
                    <m:r>
                      <m:t>F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</m:t>
                    </m:r>
                  </m:sub>
                </m:sSub>
              </m:e>
            </m: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O</m:t>
                </m:r>
                <m:r>
                  <m:t>N</m:t>
                </m:r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O</m:t>
                </m:r>
                <m:r>
                  <m:t>N</m:t>
                </m:r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stand for present and absent, and 2 and 6 represent the number of occluded rows. Here too, analysis was restricted to correct trials only.</w:t>
      </w:r>
    </w:p>
    <w:p>
      <w:pPr>
        <w:pStyle w:val="BodyText"/>
      </w:pPr>
      <w:r>
        <w:t xml:space="preserve">We find no significant interaction effect (</w:t>
      </w:r>
      <m:oMath>
        <m:r>
          <m:t>M</m:t>
        </m:r>
        <m:r>
          <m:rPr>
            <m:sty m:val="p"/>
          </m:rPr>
          <m:t>=</m:t>
        </m:r>
        <m:r>
          <m:t>0.00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0.01</m:t>
            </m:r>
            <m:r>
              <m:rPr>
                <m:sty m:val="p"/>
              </m:rPr>
              <m:t>,</m:t>
            </m:r>
            <m:r>
              <m:t>0.01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233</m:t>
            </m:r>
          </m:e>
        </m:d>
        <m:r>
          <m:rPr>
            <m:sty m:val="p"/>
          </m:rPr>
          <m:t>=</m:t>
        </m:r>
        <m:r>
          <m:t>0.01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.992</m:t>
        </m:r>
      </m:oMath>
      <w:r>
        <w:t xml:space="preserve">)</w:t>
      </w:r>
    </w:p>
    <w:bookmarkEnd w:id="20"/>
    <w:bookmarkEnd w:id="21"/>
    <w:bookmarkEnd w:id="22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3" w:name="ref-mazor2020distinct"/>
    <w:p>
      <w:pPr>
        <w:pStyle w:val="Bibliography"/>
      </w:pPr>
      <w:r>
        <w:t xml:space="preserve">Mazor, Matan, Karl J Friston, and Stephen M Fleming. 2020.</w:t>
      </w:r>
      <w:r>
        <w:t xml:space="preserve"> </w:t>
      </w:r>
      <w:r>
        <w:t xml:space="preserve">“Distinct Neural Contributions to Metacognition for Detecting, but Not Discriminating Visual Stimuli.”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9: e53900.</w:t>
      </w:r>
    </w:p>
    <w:bookmarkEnd w:id="23"/>
    <w:bookmarkStart w:id="24" w:name="ref-mazor2021metacognitive"/>
    <w:p>
      <w:pPr>
        <w:pStyle w:val="Bibliography"/>
      </w:pPr>
      <w:r>
        <w:t xml:space="preserve">Mazor, Matan, Rani Moran, and Stephen M Fleming. 2021.</w:t>
      </w:r>
      <w:r>
        <w:t xml:space="preserve"> </w:t>
      </w:r>
      <w:r>
        <w:t xml:space="preserve">“Metacognitive Asymmetries in Visual Perception.”</w:t>
      </w:r>
      <w:r>
        <w:t xml:space="preserve"> </w:t>
      </w:r>
      <w:r>
        <w:rPr>
          <w:iCs/>
          <w:i/>
        </w:rPr>
        <w:t xml:space="preserve">Neuroscience of Consciousness</w:t>
      </w:r>
      <w:r>
        <w:t xml:space="preserve"> </w:t>
      </w:r>
      <w:r>
        <w:t xml:space="preserve">2021 (1): niab025.</w:t>
      </w:r>
    </w:p>
    <w:bookmarkEnd w:id="24"/>
    <w:bookmarkStart w:id="25" w:name="ref-snodgrass1988pragmatics"/>
    <w:p>
      <w:pPr>
        <w:pStyle w:val="Bibliography"/>
      </w:pPr>
      <w:r>
        <w:t xml:space="preserve">Snodgrass, Joan G, and June Corwin. 1988.</w:t>
      </w:r>
      <w:r>
        <w:t xml:space="preserve"> </w:t>
      </w:r>
      <w:r>
        <w:t xml:space="preserve">“Pragmatics of Measuring Recognition Memory: Applications to Dementia and Amnesia.”</w:t>
      </w:r>
      <w:r>
        <w:t xml:space="preserve"> </w:t>
      </w:r>
      <w:r>
        <w:rPr>
          <w:iCs/>
          <w:i/>
        </w:rPr>
        <w:t xml:space="preserve">Journal of Experimental Psychology: General</w:t>
      </w:r>
      <w:r>
        <w:t xml:space="preserve"> </w:t>
      </w:r>
      <w:r>
        <w:t xml:space="preserve">117 (1): 34.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Detection in Context, Exp. 2 (prev. 4) - pre-registration document</dc:title>
  <dc:creator/>
  <cp:keywords/>
  <dcterms:created xsi:type="dcterms:W3CDTF">2024-05-10T13:21:33Z</dcterms:created>
  <dcterms:modified xsi:type="dcterms:W3CDTF">2024-05-10T13:21:33Z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">
    <vt:lpwstr/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word_document</vt:lpwstr>
  </property>
  <property fmtid="{D5CDD505-2E9C-101B-9397-08002B2CF9AE}" pid="14" name="shorttitle">
    <vt:lpwstr>Detection in Context, Exp. 2 (prev. 4) - pre-registration document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