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9C5D" w14:textId="77777777" w:rsidR="005E4BEA" w:rsidRDefault="00000000">
      <w:pPr>
        <w:pStyle w:val="Title"/>
      </w:pPr>
      <w:r>
        <w:t>Expected visibility</w:t>
      </w:r>
    </w:p>
    <w:p w14:paraId="62505FE5" w14:textId="77777777" w:rsidR="005E4BEA" w:rsidRDefault="00000000">
      <w:pPr>
        <w:pStyle w:val="Author"/>
      </w:pPr>
      <w:r>
        <w:t>Maya Schipper</w:t>
      </w:r>
      <w:r>
        <w:rPr>
          <w:vertAlign w:val="superscript"/>
        </w:rPr>
        <w:t>1</w:t>
      </w:r>
      <w:r>
        <w:t> &amp; Matan Mazor</w:t>
      </w:r>
      <w:r>
        <w:rPr>
          <w:vertAlign w:val="superscript"/>
        </w:rPr>
        <w:t>1</w:t>
      </w:r>
    </w:p>
    <w:p w14:paraId="407BB24D" w14:textId="77777777" w:rsidR="005E4BEA" w:rsidRDefault="00000000">
      <w:pPr>
        <w:pStyle w:val="Author"/>
      </w:pPr>
      <w:r>
        <w:rPr>
          <w:vertAlign w:val="superscript"/>
        </w:rPr>
        <w:t>1</w:t>
      </w:r>
      <w:r>
        <w:t xml:space="preserve"> University of Oxford</w:t>
      </w:r>
    </w:p>
    <w:p w14:paraId="64741334" w14:textId="77777777" w:rsidR="005E4BEA" w:rsidRDefault="00000000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411ACEC" w14:textId="77777777" w:rsidR="005E4BEA" w:rsidRDefault="00000000">
      <w:pPr>
        <w:pStyle w:val="BodyText"/>
      </w:pPr>
      <w:r>
        <w:t> </w:t>
      </w:r>
    </w:p>
    <w:p w14:paraId="4523BD50" w14:textId="77777777" w:rsidR="005E4BEA" w:rsidRDefault="00000000">
      <w:pPr>
        <w:pStyle w:val="h1-pagebreak"/>
      </w:pPr>
      <w:r>
        <w:lastRenderedPageBreak/>
        <w:t>Expected visibility</w:t>
      </w:r>
    </w:p>
    <w:p w14:paraId="07228F44" w14:textId="77777777" w:rsidR="005E4BEA" w:rsidRDefault="00000000">
      <w:pPr>
        <w:pStyle w:val="Heading3"/>
        <w:framePr w:wrap="around"/>
      </w:pPr>
      <w:bookmarkStart w:id="0" w:name="participants"/>
      <w:r>
        <w:t>Participants.</w:t>
      </w:r>
    </w:p>
    <w:p w14:paraId="53DED814" w14:textId="77777777" w:rsidR="005E4BEA" w:rsidRDefault="00000000">
      <w:pPr>
        <w:pStyle w:val="FirstParagraph"/>
      </w:pPr>
      <w:r>
        <w:t>216 participants took part in the letter-detection task. Participants were excluded if their accuracy fell below 50% (0 participants). We also excluded participants if they had extremely fast (0 participants) or slow (2 participants) reaction times in this task (below 100 milliseconds or above 7 seconds in more than 25% of the trials). Trials with reaction times below 100 milliseconds (0.00 of all trials) or above 7 seconds (0.01 of all trials) were excluded from the reaction time analysis.</w:t>
      </w:r>
    </w:p>
    <w:p w14:paraId="27144FD5" w14:textId="77777777" w:rsidR="005E4BEA" w:rsidRDefault="00000000">
      <w:pPr>
        <w:pStyle w:val="Heading3"/>
        <w:framePr w:wrap="around"/>
      </w:pPr>
      <w:bookmarkStart w:id="1" w:name="hypotheses"/>
      <w:bookmarkEnd w:id="0"/>
      <w:r>
        <w:t>Hypotheses.</w:t>
      </w:r>
    </w:p>
    <w:p w14:paraId="51476CAE" w14:textId="77777777" w:rsidR="005E4BEA" w:rsidRDefault="00000000">
      <w:pPr>
        <w:pStyle w:val="FirstParagraph"/>
      </w:pPr>
      <w:r>
        <w:t>This study is designed to test whether expected visibility impacts participants’ decisions about presence and absence.</w:t>
      </w:r>
    </w:p>
    <w:p w14:paraId="5E1F95AE" w14:textId="77777777" w:rsidR="005E4BEA" w:rsidRDefault="00000000">
      <w:pPr>
        <w:pStyle w:val="FirstParagraph"/>
      </w:pPr>
      <w:r>
        <w:rPr>
          <w:i/>
          <w:iCs/>
        </w:rPr>
        <w:t>Hypothesis 1 (PRESENCE/ABSENCE RESPONSE TIME)</w:t>
      </w:r>
      <w:r>
        <w:t>: We tested the null hypothesis that response times are similar for target-present and target-absent responses, aiming to replicate the finding that decisions about the target-absence are slower than decisions about target-presence (Mazor, Moran, &amp; Fleming, 2021).</w:t>
      </w:r>
    </w:p>
    <w:p w14:paraId="7CBE1577" w14:textId="77777777" w:rsidR="005E4BEA" w:rsidRDefault="00000000">
      <w:pPr>
        <w:pStyle w:val="BodyText"/>
      </w:pPr>
      <w:r>
        <w:t xml:space="preserve">We performed paired t-test on the following individual-level contrast from correct trials: </w:t>
      </w:r>
      <m:oMath>
        <m:r>
          <w:rPr>
            <w:rFonts w:ascii="Cambria Math" w:hAnsi="Cambria Math"/>
          </w:rPr>
          <m:t>median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median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t>.</w:t>
      </w:r>
    </w:p>
    <w:p w14:paraId="234A6D98" w14:textId="77777777" w:rsidR="005E4BEA" w:rsidRDefault="00000000">
      <w:pPr>
        <w:pStyle w:val="BodyText"/>
      </w:pPr>
      <w:r>
        <w:t>This revealed a significant difference in response times for target-present and target-absent responses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348.75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405.98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291.52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12.01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), with overall slower response times for decisions about absence.</w:t>
      </w:r>
    </w:p>
    <w:p w14:paraId="381A8DCD" w14:textId="77777777" w:rsidR="005E4BEA" w:rsidRDefault="00000000">
      <w:pPr>
        <w:pStyle w:val="FirstParagraph"/>
      </w:pPr>
      <w:r>
        <w:rPr>
          <w:i/>
          <w:iCs/>
        </w:rPr>
        <w:t>Hypothesis 2 (SIZE EFFECT ON REACTION TIME IN PRESENCE)</w:t>
      </w:r>
      <w:r>
        <w:t>: We tested the null hypothesis that target-present response times are similar when the display is big and small.</w:t>
      </w:r>
    </w:p>
    <w:p w14:paraId="6DBEB5BB" w14:textId="77777777" w:rsidR="005E4BEA" w:rsidRDefault="00000000">
      <w:pPr>
        <w:pStyle w:val="BodyText"/>
      </w:pPr>
      <w:r>
        <w:lastRenderedPageBreak/>
        <w:t xml:space="preserve">We performed a paired t-test on the following individual-level contrast from correct trials: </w:t>
      </w:r>
      <m:oMath>
        <m:r>
          <w:rPr>
            <w:rFonts w:ascii="Cambria Math" w:hAnsi="Cambria Math"/>
          </w:rPr>
          <m:t>median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big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median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small</m:t>
                </m:r>
              </m:sub>
            </m:sSub>
          </m:e>
        </m:d>
      </m:oMath>
      <w:r>
        <w:t xml:space="preserve"> where P stands for present.</w:t>
      </w:r>
    </w:p>
    <w:p w14:paraId="484EB2FB" w14:textId="77777777" w:rsidR="005E4BEA" w:rsidRDefault="00000000">
      <w:pPr>
        <w:pStyle w:val="BodyText"/>
      </w:pPr>
      <w:r>
        <w:t>This revealed a significant difference in response times between big and small stimuli in target-present decisions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123.72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83.25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164.20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6.03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), with slower response times for big stimuli.</w:t>
      </w:r>
    </w:p>
    <w:p w14:paraId="26D93982" w14:textId="77777777" w:rsidR="005E4BEA" w:rsidRDefault="00000000">
      <w:pPr>
        <w:pStyle w:val="FirstParagraph"/>
      </w:pPr>
      <w:r>
        <w:rPr>
          <w:i/>
          <w:iCs/>
        </w:rPr>
        <w:t>Hypothesis 3 (SIZE EFFECT ON REACTION TIME IN ABSENCE)</w:t>
      </w:r>
      <w:r>
        <w:t>: We tested the null hypothesis that target-absent response times are similar when the display is big and small.</w:t>
      </w:r>
    </w:p>
    <w:p w14:paraId="76800485" w14:textId="77777777" w:rsidR="005E4BEA" w:rsidRDefault="00000000">
      <w:pPr>
        <w:pStyle w:val="BodyText"/>
      </w:pPr>
      <w:r>
        <w:t xml:space="preserve">We performed a paired t-test on the following individual-level contrast from correct trials: </w:t>
      </w:r>
      <m:oMath>
        <m:r>
          <w:rPr>
            <w:rFonts w:ascii="Cambria Math" w:hAnsi="Cambria Math"/>
          </w:rPr>
          <m:t>median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big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median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small</m:t>
                </m:r>
              </m:sub>
            </m:sSub>
          </m:e>
        </m:d>
      </m:oMath>
      <w:r>
        <w:t xml:space="preserve"> where A stands for absent.</w:t>
      </w:r>
    </w:p>
    <w:p w14:paraId="283A496B" w14:textId="77777777" w:rsidR="005E4BEA" w:rsidRDefault="00000000">
      <w:pPr>
        <w:pStyle w:val="BodyText"/>
      </w:pPr>
      <w:r>
        <w:t>This revealed a null effect of stimulus size on response time in target-absent decisions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19.47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58.25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19.31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0.99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.323</m:t>
        </m:r>
      </m:oMath>
      <w:r>
        <w:t>), with a small but insignificant increase in response times for small stimuli.</w:t>
      </w:r>
    </w:p>
    <w:p w14:paraId="527E86ED" w14:textId="77777777" w:rsidR="005E4BEA" w:rsidRDefault="00000000">
      <w:pPr>
        <w:pStyle w:val="FirstParagraph"/>
      </w:pPr>
      <w:r>
        <w:rPr>
          <w:i/>
          <w:iCs/>
        </w:rPr>
        <w:t>Hypothesis 4 (SIZE RESPONSE INTERACTION ON REACTION TIME)</w:t>
      </w:r>
      <w:r>
        <w:t>: We tested the null hypothesis that the effect of stimulus size on reaction time is similar in target-absent and target-present responses.</w:t>
      </w:r>
    </w:p>
    <w:p w14:paraId="5B0B1C45" w14:textId="77777777" w:rsidR="005E4BEA" w:rsidRDefault="00000000">
      <w:pPr>
        <w:pStyle w:val="BodyText"/>
      </w:pPr>
      <w:r>
        <w:t xml:space="preserve">We performed a group-level t-test on a subject-level contrast in correct trials only: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median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small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median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big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median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small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median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big</m:t>
                    </m:r>
                  </m:sub>
                </m:sSub>
              </m:e>
            </m:d>
          </m:e>
        </m:d>
      </m:oMath>
      <w:r>
        <w:t xml:space="preserve"> where P and A stand for present and absent respectively.</w:t>
      </w:r>
    </w:p>
    <w:p w14:paraId="54486BAA" w14:textId="77777777" w:rsidR="005E4BEA" w:rsidRDefault="00000000">
      <w:pPr>
        <w:pStyle w:val="BodyText"/>
      </w:pPr>
      <w:r>
        <w:t>This revealed a significant interaction between stimulus size and target presence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143.19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82.66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203.73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4.66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).</w:t>
      </w:r>
    </w:p>
    <w:p w14:paraId="2484437E" w14:textId="77777777" w:rsidR="005E4BEA" w:rsidRDefault="00000000">
      <w:pPr>
        <w:pStyle w:val="FirstParagraph"/>
      </w:pPr>
      <w:r>
        <w:rPr>
          <w:i/>
          <w:iCs/>
        </w:rPr>
        <w:lastRenderedPageBreak/>
        <w:t>Hypothesis 5 (SENSITIVITY)</w:t>
      </w:r>
      <w:r>
        <w:t xml:space="preserve">: We tested the null hypothesis that perceptual sensitivity (measured as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>) is equal as a function of the size of the stimulus. To allow the extraction of d’ for participants who committed no false-alarms or misses, we added 0.5 to miss, hit, false-alarm and correct rejection counts (Snodgrass &amp; Corwin, 1988).</w:t>
      </w:r>
    </w:p>
    <w:p w14:paraId="011E043B" w14:textId="77777777" w:rsidR="005E4BEA" w:rsidRDefault="00000000">
      <w:pPr>
        <w:pStyle w:val="BodyText"/>
      </w:pPr>
      <w:r>
        <w:t xml:space="preserve">We performed a paired t-test on the following subject-level contrast: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big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small</m:t>
            </m:r>
          </m:sub>
        </m:sSub>
      </m:oMath>
      <w:r>
        <w:t>.</w:t>
      </w:r>
    </w:p>
    <w:p w14:paraId="7794FB89" w14:textId="77777777" w:rsidR="005E4BEA" w:rsidRDefault="00000000">
      <w:pPr>
        <w:pStyle w:val="BodyText"/>
      </w:pPr>
      <w:r>
        <w:t xml:space="preserve">We found a significant effect of stimulus size on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0.17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0.26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0.08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3.88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), with increased sensitivity for small stimuli.</w:t>
      </w:r>
    </w:p>
    <w:p w14:paraId="1479255A" w14:textId="77777777" w:rsidR="005E4BEA" w:rsidRDefault="00000000">
      <w:pPr>
        <w:pStyle w:val="FirstParagraph"/>
      </w:pPr>
      <w:r>
        <w:rPr>
          <w:i/>
          <w:iCs/>
        </w:rPr>
        <w:t>Hypothesis 6 (CRITERION)</w:t>
      </w:r>
      <w:r>
        <w:t xml:space="preserve">: We tested the null hypothesis that decision criterion (measured as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>
        <w:t>) is unaffected by the size of the display. To allow the extraction of a decision criterion for participants who committed no false-alarms or misses, we added 0.5 to miss, hit, false-alarm and correct rejection counts (Snodgrass &amp; Corwin, 1988).</w:t>
      </w:r>
    </w:p>
    <w:p w14:paraId="069AB0FC" w14:textId="77777777" w:rsidR="005E4BEA" w:rsidRDefault="00000000">
      <w:pPr>
        <w:pStyle w:val="BodyText"/>
      </w:pPr>
      <w:r>
        <w:t xml:space="preserve">We performed a paired t-test on the following subject-level contrast: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big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small</m:t>
            </m:r>
          </m:sub>
        </m:sSub>
      </m:oMath>
      <w:r>
        <w:t>.</w:t>
      </w:r>
    </w:p>
    <w:p w14:paraId="77846B5E" w14:textId="77777777" w:rsidR="005E4BEA" w:rsidRDefault="00000000">
      <w:pPr>
        <w:pStyle w:val="BodyText"/>
      </w:pPr>
      <w:r>
        <w:t>We found a significantly more conservative criterion for big stimuli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0.17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0.12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0.22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6.86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).</w:t>
      </w:r>
    </w:p>
    <w:p w14:paraId="6446DC3E" w14:textId="77777777" w:rsidR="005E4BEA" w:rsidRDefault="00000000">
      <w:pPr>
        <w:pStyle w:val="FirstParagraph"/>
      </w:pPr>
      <w:r>
        <w:rPr>
          <w:i/>
          <w:iCs/>
        </w:rPr>
        <w:t>Hypothesis 7 (PRESENCE/ABSENCE CONFIDENCE RATINGS)</w:t>
      </w:r>
      <w:r>
        <w:t>: We tested the null hypothesis that confidence ratings are similar for target-present and target-absent responses, aiming to replicate the finding that subjective confidence levels are lower for decisions about absence than decisions about presence (Mazor et al., 2021).</w:t>
      </w:r>
    </w:p>
    <w:p w14:paraId="0D7C1A7B" w14:textId="77777777" w:rsidR="005E4BEA" w:rsidRDefault="00000000">
      <w:pPr>
        <w:pStyle w:val="BodyText"/>
      </w:pPr>
      <w:r>
        <w:t xml:space="preserve">We performed a paired t-test on the the following subject-level contrast from correct trials: </w:t>
      </w: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confidenc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present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confidenc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absent</m:t>
                </m:r>
              </m:sub>
            </m:sSub>
          </m:e>
        </m:d>
      </m:oMath>
    </w:p>
    <w:p w14:paraId="6D109FFF" w14:textId="77777777" w:rsidR="005E4BEA" w:rsidRDefault="00000000">
      <w:pPr>
        <w:pStyle w:val="BodyText"/>
      </w:pPr>
      <w:r>
        <w:lastRenderedPageBreak/>
        <w:t>This revealed a significant difference in confidence ratings for decisions about presence and absence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0.06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6.75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), with higher confidence ratings for present responses.</w:t>
      </w:r>
    </w:p>
    <w:p w14:paraId="1C4780CB" w14:textId="77777777" w:rsidR="005E4BEA" w:rsidRDefault="00000000">
      <w:pPr>
        <w:pStyle w:val="FirstParagraph"/>
      </w:pPr>
      <w:r>
        <w:rPr>
          <w:i/>
          <w:iCs/>
        </w:rPr>
        <w:t>Hypothesis 8 (SIZE EFFECT ON CONFIDENCE IN PRESENCE)</w:t>
      </w:r>
      <w:r>
        <w:t>: We tested the null hypothesis that target-present confidence ratings are similar when the stimulus is small or big.</w:t>
      </w:r>
    </w:p>
    <w:p w14:paraId="7E24A86F" w14:textId="77777777" w:rsidR="005E4BEA" w:rsidRDefault="00000000">
      <w:pPr>
        <w:pStyle w:val="BodyText"/>
      </w:pPr>
      <w:r>
        <w:t xml:space="preserve">We performed a paired t-test on the following individual-level contrast from correct trials: </w:t>
      </w: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confidenc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big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mean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confidence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small</m:t>
            </m:r>
          </m:sub>
        </m:sSub>
      </m:oMath>
      <w:r>
        <w:t xml:space="preserve"> where P stands for present.</w:t>
      </w:r>
    </w:p>
    <w:p w14:paraId="5F5EAF78" w14:textId="77777777" w:rsidR="005E4BEA" w:rsidRDefault="00000000">
      <w:pPr>
        <w:pStyle w:val="BodyText"/>
      </w:pPr>
      <w:r>
        <w:t>This revealed a significant difference in confidence ratings for big and small stimuli in target-present responses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0.03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0.04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0.02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6.13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), with higher confidence ratings for small stimuli.</w:t>
      </w:r>
    </w:p>
    <w:p w14:paraId="66F14886" w14:textId="77777777" w:rsidR="005E4BEA" w:rsidRDefault="00000000">
      <w:pPr>
        <w:pStyle w:val="FirstParagraph"/>
      </w:pPr>
      <w:r>
        <w:rPr>
          <w:i/>
          <w:iCs/>
        </w:rPr>
        <w:t>Hypothesis 9 (SIZE EFFECT ON CONFIDENCE IN ABSENCE)</w:t>
      </w:r>
      <w:r>
        <w:t>: We tested the null hypothesis that target-absent confidence ratings are similar when the stimulus is small or big.</w:t>
      </w:r>
    </w:p>
    <w:p w14:paraId="51781F82" w14:textId="77777777" w:rsidR="005E4BEA" w:rsidRDefault="00000000">
      <w:pPr>
        <w:pStyle w:val="BodyText"/>
      </w:pPr>
      <w:r>
        <w:t xml:space="preserve">We performed a paired t-test on the following individual-level contrast from correct trials: </w:t>
      </w: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confidenc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big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mean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confidence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small</m:t>
            </m:r>
          </m:sub>
        </m:sSub>
      </m:oMath>
      <w:r>
        <w:t xml:space="preserve"> where A stands for absent.</w:t>
      </w:r>
    </w:p>
    <w:p w14:paraId="085DAE79" w14:textId="77777777" w:rsidR="005E4BEA" w:rsidRDefault="00000000">
      <w:pPr>
        <w:pStyle w:val="BodyText"/>
      </w:pPr>
      <w:r>
        <w:t>This revealed a significant effect of stimulus size on confidence ratings in target-absent responses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0.03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4.68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), with higher confidence ratings for big stimuli.</w:t>
      </w:r>
    </w:p>
    <w:p w14:paraId="16822C88" w14:textId="77777777" w:rsidR="005E4BEA" w:rsidRDefault="00000000">
      <w:pPr>
        <w:pStyle w:val="FirstParagraph"/>
      </w:pPr>
      <w:r>
        <w:rPr>
          <w:i/>
          <w:iCs/>
        </w:rPr>
        <w:t>Hypothesis 10 (SIZE RESPONSE INTERACTION ON CONFIDENCE)</w:t>
      </w:r>
      <w:r>
        <w:t>: We tested the null hypothesis that the effect of stimulus size on confidence ratings is similar in target-present and target-absent responses.</w:t>
      </w:r>
    </w:p>
    <w:p w14:paraId="1AF32890" w14:textId="77777777" w:rsidR="005E4BEA" w:rsidRDefault="00000000">
      <w:pPr>
        <w:pStyle w:val="BodyText"/>
      </w:pPr>
      <w:r>
        <w:lastRenderedPageBreak/>
        <w:t xml:space="preserve">We performed a group-level t-test on a subject-level contrast in correct trials only: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mean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confidence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small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mean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confidence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big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mean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confidence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small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mean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confidence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big</m:t>
                    </m:r>
                  </m:sub>
                </m:sSub>
              </m:e>
            </m:d>
          </m:e>
        </m:d>
      </m:oMath>
      <w:r>
        <w:t xml:space="preserve"> where P and A stand for present and absent respectively.</w:t>
      </w:r>
    </w:p>
    <w:p w14:paraId="7D67D6E7" w14:textId="77777777" w:rsidR="005E4BEA" w:rsidRDefault="00000000">
      <w:pPr>
        <w:pStyle w:val="BodyText"/>
      </w:pPr>
      <w:r>
        <w:t>This revealed a significant interaction effect between stimulus size and target presence on subjective confidence levels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0.05</m:t>
        </m:r>
      </m:oMath>
      <w:r>
        <w:t xml:space="preserve">, 95% CI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0.06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0.04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213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6.93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.001</m:t>
        </m:r>
      </m:oMath>
      <w:r>
        <w:t>).</w:t>
      </w:r>
    </w:p>
    <w:p w14:paraId="13AC5DC6" w14:textId="77777777" w:rsidR="005E4BEA" w:rsidRDefault="00000000">
      <w:r>
        <w:br w:type="page"/>
      </w:r>
    </w:p>
    <w:p w14:paraId="5696202A" w14:textId="77777777" w:rsidR="005E4BEA" w:rsidRDefault="00000000">
      <w:pPr>
        <w:pStyle w:val="Heading2"/>
      </w:pPr>
      <w:bookmarkStart w:id="2" w:name="references"/>
      <w:bookmarkEnd w:id="1"/>
      <w:r>
        <w:lastRenderedPageBreak/>
        <w:t>References</w:t>
      </w:r>
    </w:p>
    <w:p w14:paraId="585CBDAE" w14:textId="77777777" w:rsidR="005E4BEA" w:rsidRDefault="00000000">
      <w:pPr>
        <w:pStyle w:val="Bibliography"/>
      </w:pPr>
      <w:bookmarkStart w:id="3" w:name="ref-mazor_metacognitive_2021"/>
      <w:bookmarkStart w:id="4" w:name="refs"/>
      <w:r>
        <w:t xml:space="preserve">Mazor, M., Moran, R., &amp; Fleming, S. M. (2021). Metacognitive asymmetries in visual perception. </w:t>
      </w:r>
      <w:r>
        <w:rPr>
          <w:i/>
          <w:iCs/>
        </w:rPr>
        <w:t>Neuroscience of Consciousness</w:t>
      </w:r>
      <w:r>
        <w:t xml:space="preserve">, </w:t>
      </w:r>
      <w:r>
        <w:rPr>
          <w:i/>
          <w:iCs/>
        </w:rPr>
        <w:t>2021</w:t>
      </w:r>
      <w:r>
        <w:t>(2).</w:t>
      </w:r>
    </w:p>
    <w:p w14:paraId="78E58E8E" w14:textId="77777777" w:rsidR="005E4BEA" w:rsidRDefault="00000000">
      <w:pPr>
        <w:pStyle w:val="Bibliography"/>
      </w:pPr>
      <w:bookmarkStart w:id="5" w:name="ref-snodgrass_pragmatics_1988"/>
      <w:bookmarkEnd w:id="3"/>
      <w:r>
        <w:t xml:space="preserve">Snodgrass, J. G., &amp; Corwin, J. (1988). Pragmatics of measuring recognition memory: Applications to dementia and amnesia. </w:t>
      </w:r>
      <w:r>
        <w:rPr>
          <w:i/>
          <w:iCs/>
        </w:rPr>
        <w:t>Journal of Experimental Psychology: General</w:t>
      </w:r>
      <w:r>
        <w:t xml:space="preserve">, </w:t>
      </w:r>
      <w:r>
        <w:rPr>
          <w:i/>
          <w:iCs/>
        </w:rPr>
        <w:t>117</w:t>
      </w:r>
      <w:r>
        <w:t xml:space="preserve">(1), 34–50. </w:t>
      </w:r>
      <w:hyperlink r:id="rId7">
        <w:r>
          <w:rPr>
            <w:rStyle w:val="Hyperlink"/>
          </w:rPr>
          <w:t>https://doi.org/10.1037/0096-3445.117.1.34</w:t>
        </w:r>
      </w:hyperlink>
      <w:bookmarkEnd w:id="2"/>
      <w:bookmarkEnd w:id="4"/>
      <w:bookmarkEnd w:id="5"/>
    </w:p>
    <w:sectPr w:rsidR="005E4BEA" w:rsidSect="00084144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61E38" w14:textId="77777777" w:rsidR="0050087D" w:rsidRDefault="0050087D">
      <w:pPr>
        <w:spacing w:before="0" w:after="0" w:line="240" w:lineRule="auto"/>
      </w:pPr>
      <w:r>
        <w:separator/>
      </w:r>
    </w:p>
  </w:endnote>
  <w:endnote w:type="continuationSeparator" w:id="0">
    <w:p w14:paraId="016D777A" w14:textId="77777777" w:rsidR="0050087D" w:rsidRDefault="005008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42A0C" w14:textId="77777777" w:rsidR="0050087D" w:rsidRDefault="0050087D">
      <w:r>
        <w:separator/>
      </w:r>
    </w:p>
  </w:footnote>
  <w:footnote w:type="continuationSeparator" w:id="0">
    <w:p w14:paraId="4F78BD2A" w14:textId="77777777" w:rsidR="0050087D" w:rsidRDefault="0050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26F14419" w14:textId="77777777" w:rsidR="00000000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CE2AC2" w14:textId="77777777" w:rsidR="00000000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69409007" w14:textId="77777777" w:rsidR="00000000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E23FBF" w14:textId="77777777" w:rsidR="00000000" w:rsidRPr="00A05772" w:rsidRDefault="00000000" w:rsidP="00693388">
    <w:pPr>
      <w:pStyle w:val="Header"/>
      <w:ind w:right="360"/>
    </w:pPr>
    <w:r>
      <w:t>EXPECTED VISIBILITY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2B174E3B" w14:textId="77777777" w:rsidR="00000000" w:rsidRDefault="0000000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20E4BB" w14:textId="77777777" w:rsidR="00000000" w:rsidRPr="00A05772" w:rsidRDefault="00000000" w:rsidP="00084144">
    <w:pPr>
      <w:pStyle w:val="Header"/>
      <w:ind w:right="360"/>
    </w:pPr>
    <w:r>
      <w:t xml:space="preserve">Running head: </w:t>
    </w:r>
    <w:r>
      <w:t>EXPECTED VISIBILITY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4F4C5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A94A03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21330309">
    <w:abstractNumId w:val="13"/>
  </w:num>
  <w:num w:numId="2" w16cid:durableId="1086849720">
    <w:abstractNumId w:val="13"/>
  </w:num>
  <w:num w:numId="3" w16cid:durableId="1586454020">
    <w:abstractNumId w:val="14"/>
  </w:num>
  <w:num w:numId="4" w16cid:durableId="1652557490">
    <w:abstractNumId w:val="1"/>
  </w:num>
  <w:num w:numId="5" w16cid:durableId="981545960">
    <w:abstractNumId w:val="2"/>
  </w:num>
  <w:num w:numId="6" w16cid:durableId="326641879">
    <w:abstractNumId w:val="3"/>
  </w:num>
  <w:num w:numId="7" w16cid:durableId="1350911909">
    <w:abstractNumId w:val="4"/>
  </w:num>
  <w:num w:numId="8" w16cid:durableId="824589462">
    <w:abstractNumId w:val="9"/>
  </w:num>
  <w:num w:numId="9" w16cid:durableId="1994793735">
    <w:abstractNumId w:val="5"/>
  </w:num>
  <w:num w:numId="10" w16cid:durableId="1449354487">
    <w:abstractNumId w:val="6"/>
  </w:num>
  <w:num w:numId="11" w16cid:durableId="1063135840">
    <w:abstractNumId w:val="7"/>
  </w:num>
  <w:num w:numId="12" w16cid:durableId="271591504">
    <w:abstractNumId w:val="8"/>
  </w:num>
  <w:num w:numId="13" w16cid:durableId="497039121">
    <w:abstractNumId w:val="10"/>
  </w:num>
  <w:num w:numId="14" w16cid:durableId="1923493219">
    <w:abstractNumId w:val="14"/>
  </w:num>
  <w:num w:numId="15" w16cid:durableId="1584221404">
    <w:abstractNumId w:val="0"/>
  </w:num>
  <w:num w:numId="16" w16cid:durableId="494882077">
    <w:abstractNumId w:val="0"/>
  </w:num>
  <w:num w:numId="17" w16cid:durableId="308897801">
    <w:abstractNumId w:val="11"/>
  </w:num>
  <w:num w:numId="18" w16cid:durableId="1788769957">
    <w:abstractNumId w:val="12"/>
  </w:num>
  <w:num w:numId="19" w16cid:durableId="1358312147">
    <w:abstractNumId w:val="11"/>
  </w:num>
  <w:num w:numId="20" w16cid:durableId="1448742991">
    <w:abstractNumId w:val="12"/>
  </w:num>
  <w:num w:numId="21" w16cid:durableId="642663850">
    <w:abstractNumId w:val="11"/>
  </w:num>
  <w:num w:numId="22" w16cid:durableId="1756826311">
    <w:abstractNumId w:val="12"/>
  </w:num>
  <w:num w:numId="23" w16cid:durableId="3913928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BEA"/>
    <w:rsid w:val="0050087D"/>
    <w:rsid w:val="005E4BEA"/>
    <w:rsid w:val="006061F9"/>
    <w:rsid w:val="00DD11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93BD"/>
  <w15:docId w15:val="{7B55D1D3-CE9F-4362-B089-7B312D47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25AA9"/>
    <w:pPr>
      <w:suppressLineNumbers/>
      <w:spacing w:before="0"/>
    </w:pPr>
  </w:style>
  <w:style w:type="table" w:customStyle="1" w:styleId="Table">
    <w:name w:val="Table"/>
    <w:basedOn w:val="TableNormal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val="single" w:sz="12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E6812"/>
    <w:pPr>
      <w:keepNext/>
      <w:suppressLineNumbers/>
      <w:spacing w:before="240"/>
    </w:pPr>
    <w:rPr>
      <w:i w:val="0"/>
    </w:rPr>
  </w:style>
  <w:style w:type="paragraph" w:customStyle="1" w:styleId="ImageCaption">
    <w:name w:val="Image Caption"/>
    <w:basedOn w:val="Caption"/>
    <w:rsid w:val="009E05DE"/>
    <w:pPr>
      <w:keepLines/>
      <w:suppressLineNumbers/>
      <w:spacing w:after="600"/>
    </w:pPr>
    <w:rPr>
      <w:i w:val="0"/>
    </w:rPr>
  </w:style>
  <w:style w:type="paragraph" w:customStyle="1" w:styleId="Figure">
    <w:name w:val="Figure"/>
    <w:basedOn w:val="Normal"/>
    <w:rsid w:val="003D36D1"/>
    <w:pPr>
      <w:framePr w:wrap="notBeside" w:vAnchor="text" w:hAnchor="text" w:xAlign="center" w:y="1"/>
      <w:suppressLineNumbers/>
      <w:jc w:val="center"/>
    </w:pPr>
  </w:style>
  <w:style w:type="paragraph" w:customStyle="1" w:styleId="CaptionedFigure">
    <w:name w:val="Captioned Figure"/>
    <w:basedOn w:val="Figure"/>
    <w:rsid w:val="003D36D1"/>
    <w:pPr>
      <w:keepNext/>
      <w:framePr w:wrap="notBeside"/>
      <w:spacing w:before="240" w:after="12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table-note">
    <w:name w:val="table-note"/>
    <w:basedOn w:val="Compact"/>
    <w:qFormat/>
    <w:rsid w:val="003D36D1"/>
    <w:pPr>
      <w:suppressLineNumbers/>
    </w:pPr>
  </w:style>
  <w:style w:type="character" w:styleId="LineNumber">
    <w:name w:val="line number"/>
    <w:basedOn w:val="DefaultParagraphFont"/>
    <w:semiHidden/>
    <w:unhideWhenUsed/>
    <w:rsid w:val="003D36D1"/>
  </w:style>
  <w:style w:type="paragraph" w:customStyle="1" w:styleId="authornote">
    <w:name w:val="authornote"/>
    <w:basedOn w:val="BodyText"/>
    <w:qFormat/>
    <w:rsid w:val="00EB1F7E"/>
    <w:pPr>
      <w:framePr w:wrap="notBeside" w:hAnchor="text" w:yAlign="bottom"/>
    </w:pPr>
  </w:style>
  <w:style w:type="paragraph" w:customStyle="1" w:styleId="authornote-title">
    <w:name w:val="authornote-title"/>
    <w:basedOn w:val="Author"/>
    <w:qFormat/>
    <w:rsid w:val="00EB1F7E"/>
    <w:pPr>
      <w:framePr w:wrap="notBeside" w:hAnchor="text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37/0096-3445.117.1.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7563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Expected visibility</dc:title>
  <dc:creator/>
  <cp:keywords/>
  <cp:lastModifiedBy>Maya Schipper</cp:lastModifiedBy>
  <cp:revision>2</cp:revision>
  <dcterms:created xsi:type="dcterms:W3CDTF">2024-07-24T10:35:00Z</dcterms:created>
  <dcterms:modified xsi:type="dcterms:W3CDTF">2024-07-24T10:36:00Z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references.bib</vt:lpwstr>
  </property>
  <property fmtid="{D5CDD505-2E9C-101B-9397-08002B2CF9AE}" pid="4" name="classoption">
    <vt:lpwstr>man</vt:lpwstr>
  </property>
  <property fmtid="{D5CDD505-2E9C-101B-9397-08002B2CF9AE}" pid="5" name="csl">
    <vt:lpwstr>C:\Users\schip\AppData\Local\R\win-library\4.4\papaja\rmd\apa6.csl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linenumbers">
    <vt:lpwstr>True</vt:lpwstr>
  </property>
  <property fmtid="{D5CDD505-2E9C-101B-9397-08002B2CF9AE}" pid="11" name="mask">
    <vt:lpwstr>False</vt:lpwstr>
  </property>
  <property fmtid="{D5CDD505-2E9C-101B-9397-08002B2CF9AE}" pid="12" name="output">
    <vt:lpwstr>papaja::apa6_word</vt:lpwstr>
  </property>
  <property fmtid="{D5CDD505-2E9C-101B-9397-08002B2CF9AE}" pid="13" name="shorttitle">
    <vt:lpwstr>Expected visibility</vt:lpwstr>
  </property>
  <property fmtid="{D5CDD505-2E9C-101B-9397-08002B2CF9AE}" pid="14" name="tablelist">
    <vt:lpwstr>False</vt:lpwstr>
  </property>
</Properties>
</file>