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DB4F4C7" w:rsidR="00453A9D" w:rsidRDefault="00A40387" w:rsidP="00453A9D">
      <w:pPr>
        <w:pStyle w:val="Heading1"/>
        <w:rPr>
          <w:rFonts w:cs="Times New Roman"/>
          <w:szCs w:val="22"/>
        </w:rPr>
      </w:pPr>
      <w:r>
        <w:rPr>
          <w:rFonts w:cs="Times New Roman"/>
          <w:szCs w:val="22"/>
        </w:rPr>
        <w:t>ISRAEL</w:t>
      </w:r>
    </w:p>
    <w:p w14:paraId="19E6285B" w14:textId="77777777" w:rsidR="00AB3DBC" w:rsidRDefault="00AB3DBC" w:rsidP="00AB3DBC"/>
    <w:p w14:paraId="2DA6E953" w14:textId="74E65815" w:rsidR="00453A9D" w:rsidRDefault="00A40387" w:rsidP="00453A9D">
      <w:pPr>
        <w:pStyle w:val="Heading2"/>
      </w:pPr>
      <w:r>
        <w:t>Palestinians</w:t>
      </w:r>
    </w:p>
    <w:p w14:paraId="7751ECD1" w14:textId="77777777" w:rsidR="00453A9D" w:rsidRDefault="00453A9D" w:rsidP="00453A9D"/>
    <w:p w14:paraId="1CF6FBB3" w14:textId="0B1586DE" w:rsidR="00453A9D" w:rsidRPr="00F83BF0" w:rsidRDefault="00453A9D" w:rsidP="00453A9D">
      <w:pPr>
        <w:rPr>
          <w:rFonts w:cs="Times New Roman"/>
        </w:rPr>
      </w:pPr>
      <w:r>
        <w:rPr>
          <w:rFonts w:cs="Times New Roman"/>
        </w:rPr>
        <w:t xml:space="preserve">Activity: </w:t>
      </w:r>
      <w:r w:rsidR="0083315D">
        <w:rPr>
          <w:rFonts w:cs="Times New Roman"/>
        </w:rPr>
        <w:t>1974</w:t>
      </w:r>
      <w:r w:rsidR="00A40387">
        <w:rPr>
          <w:rFonts w:cs="Times New Roman"/>
        </w:rPr>
        <w:t>-20</w:t>
      </w:r>
      <w:r w:rsidR="00FA5858">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58EB34C4" w:rsidR="00794F7B" w:rsidRDefault="0083315D" w:rsidP="00794F7B">
      <w:pPr>
        <w:rPr>
          <w:rFonts w:cs="Times New Roman"/>
          <w:bCs/>
          <w:szCs w:val="22"/>
        </w:rPr>
      </w:pPr>
      <w:r>
        <w:rPr>
          <w:rFonts w:cs="Times New Roman"/>
          <w:bCs/>
          <w:szCs w:val="22"/>
        </w:rPr>
        <w:t>NA</w:t>
      </w:r>
    </w:p>
    <w:p w14:paraId="5B853D47" w14:textId="77777777" w:rsidR="00FA5858" w:rsidRDefault="00FA5858" w:rsidP="00FA5858">
      <w:pPr>
        <w:rPr>
          <w:rFonts w:cs="Times New Roman"/>
          <w:b/>
          <w:szCs w:val="22"/>
        </w:rPr>
      </w:pPr>
    </w:p>
    <w:p w14:paraId="303CB459" w14:textId="77777777" w:rsidR="00FA5858" w:rsidRDefault="00FA5858" w:rsidP="00FA5858">
      <w:pPr>
        <w:rPr>
          <w:rFonts w:cs="Times New Roman"/>
          <w:b/>
          <w:szCs w:val="22"/>
        </w:rPr>
      </w:pPr>
    </w:p>
    <w:p w14:paraId="6BB3E191" w14:textId="218CC3B5" w:rsidR="00FA5858" w:rsidRDefault="00FA5858" w:rsidP="00FA585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EE16585" w14:textId="77777777" w:rsidR="00FA5858" w:rsidRPr="006F657B" w:rsidRDefault="00FA5858" w:rsidP="00FA5858">
      <w:pPr>
        <w:rPr>
          <w:rFonts w:cs="Times New Roman"/>
          <w:szCs w:val="22"/>
        </w:rPr>
      </w:pPr>
    </w:p>
    <w:p w14:paraId="2A7503FB" w14:textId="77777777" w:rsidR="00FA5858" w:rsidRPr="00FA5858" w:rsidRDefault="00FA5858" w:rsidP="00FA5858">
      <w:pPr>
        <w:pStyle w:val="ListParagraph"/>
        <w:numPr>
          <w:ilvl w:val="0"/>
          <w:numId w:val="18"/>
        </w:numPr>
        <w:rPr>
          <w:szCs w:val="22"/>
        </w:rPr>
      </w:pPr>
      <w:r w:rsidRPr="00FA5858">
        <w:rPr>
          <w:rFonts w:cs="Times New Roman"/>
          <w:szCs w:val="22"/>
        </w:rPr>
        <w:t xml:space="preserve">A 1947 UN Special Committee recommended that Palestine be partitioned into Arab and Jewish states, but the plan was rejected by Arabs who wanted of Palestine to become their own state. Jews subsequently declared an independent Israel. Neighboring Arab states invaded but lost the war and Israel ended up with 30% more territory than under the UN plan. Meanwhile, Egypt took control of the Gaza strip and Jordan annexed the West Bank (Minahan 2002: 1496; Roth 2015: 205). After 1948, Palestinian nationalists mobilized and formed a number of organizations in refugee camps in neighboring Arab countries, such as Jordan (Minahan 2002: 1496). In 1964, the Palestine Liberation Organization (PLO) was formed. Initially, the goal of Palestinian nationalist organizations including the PLO was to liberate Palestine, i.e., finish the Jewish state (Becker 1984: 39; Minahan 2002: 1495f). In the 1967 war, Israel captured the West Bank and the Gaza strip and established military rule there. The PLO’s stated goal remained the liberation of Palestine as a whole (Becker 1984: 69; Harms &amp; Ferry 2017: 119), which is not a claim for increased autonomy or secession and therefore not considered here. </w:t>
      </w:r>
    </w:p>
    <w:p w14:paraId="5800843E" w14:textId="3121109E" w:rsidR="00FA5858" w:rsidRPr="007F66C9" w:rsidRDefault="00FA5858" w:rsidP="00F35B8C">
      <w:pPr>
        <w:pStyle w:val="ListParagraph"/>
        <w:numPr>
          <w:ilvl w:val="0"/>
          <w:numId w:val="18"/>
        </w:numPr>
      </w:pPr>
      <w:r>
        <w:t xml:space="preserve">In late 1973, the PLO began to readjust its policy towards claiming that Palestinian self-rule could be installed in the West Bank and Gaza before the liberation of all Palestinian lands (UCDP Conflict Encyclopedia). In other words, the PLO’s official goal became a two-state solution with the </w:t>
      </w:r>
      <w:r w:rsidRPr="00FA5858">
        <w:rPr>
          <w:rFonts w:cs="Times New Roman"/>
          <w:szCs w:val="22"/>
        </w:rPr>
        <w:t xml:space="preserve">borders roughly coinciding with territories that Israel had annexed in 1967 - the West Bank and Gaza. This can be seen as a self-determination claim according to SDM; however, it should be noted that some factions saw this as an intermediate goal on the road towards re-capturing the whole of Palestine. The readjustment was formally adopted by the PLO’s legislative body, the Palestinian National Council, in June 1974 (see the PLO’s Ten Point Program), hence the start date. Palestinian claims for a two-state solution continued in subsequent years and the claims are ongoing (Harms &amp; Ferry 2017). </w:t>
      </w:r>
      <w:r w:rsidRPr="00FA5858">
        <w:rPr>
          <w:rFonts w:eastAsia="Times New Roman"/>
          <w:color w:val="000000"/>
        </w:rPr>
        <w:t>[start date: 1974; end date: ongoing]</w:t>
      </w:r>
      <w:r w:rsidRPr="007F66C9">
        <w:t xml:space="preserve"> </w:t>
      </w:r>
    </w:p>
    <w:p w14:paraId="26DE3224" w14:textId="77777777" w:rsidR="00FA5858" w:rsidRPr="006F657B" w:rsidRDefault="00FA5858" w:rsidP="00FA5858">
      <w:pPr>
        <w:rPr>
          <w:rFonts w:cs="Times New Roman"/>
          <w:szCs w:val="22"/>
        </w:rPr>
      </w:pPr>
    </w:p>
    <w:p w14:paraId="35364CF8" w14:textId="77777777" w:rsidR="00FA5858" w:rsidRPr="006F657B" w:rsidRDefault="00FA5858" w:rsidP="00FA5858">
      <w:pPr>
        <w:rPr>
          <w:rFonts w:cs="Times New Roman"/>
          <w:szCs w:val="22"/>
        </w:rPr>
      </w:pPr>
    </w:p>
    <w:p w14:paraId="6519BCC3" w14:textId="5061F6D7" w:rsidR="009864B4" w:rsidRPr="00BE5168" w:rsidRDefault="009864B4" w:rsidP="009864B4">
      <w:pPr>
        <w:rPr>
          <w:rFonts w:cs="Times New Roman"/>
          <w:b/>
          <w:szCs w:val="22"/>
        </w:rPr>
      </w:pPr>
      <w:r>
        <w:rPr>
          <w:rFonts w:cs="Times New Roman"/>
          <w:b/>
          <w:szCs w:val="22"/>
        </w:rPr>
        <w:t>Dominant claim</w:t>
      </w:r>
    </w:p>
    <w:p w14:paraId="276B6AAB" w14:textId="77777777" w:rsidR="009864B4" w:rsidRDefault="009864B4" w:rsidP="009864B4">
      <w:pPr>
        <w:rPr>
          <w:rFonts w:cs="Times New Roman"/>
          <w:bCs/>
          <w:szCs w:val="22"/>
        </w:rPr>
      </w:pPr>
    </w:p>
    <w:p w14:paraId="5EE7F630" w14:textId="77777777" w:rsidR="009864B4" w:rsidRDefault="009864B4" w:rsidP="009864B4">
      <w:pPr>
        <w:pStyle w:val="ListParagraph"/>
        <w:numPr>
          <w:ilvl w:val="0"/>
          <w:numId w:val="73"/>
        </w:numPr>
        <w:rPr>
          <w:rFonts w:cs="Times New Roman"/>
          <w:bCs/>
          <w:szCs w:val="22"/>
        </w:rPr>
      </w:pPr>
      <w:r>
        <w:t xml:space="preserve">In late 1973, the PLO began to readjust its policy towards claiming that Palestinian self-rule could be installed in the West Bank and Gaza before the liberation of all Palestinian lands (UCDP Conflict Encyclopedia). In other words, the PLO’s official goal became a two-state solution with the </w:t>
      </w:r>
      <w:r w:rsidRPr="007904CF">
        <w:rPr>
          <w:rFonts w:cs="Times New Roman"/>
          <w:szCs w:val="22"/>
        </w:rPr>
        <w:t>borders roughly coinciding with territories that Israel had annexed in 1967 - the West Bank and Gaza.</w:t>
      </w:r>
      <w:r>
        <w:rPr>
          <w:rFonts w:cs="Times New Roman"/>
          <w:szCs w:val="22"/>
        </w:rPr>
        <w:t xml:space="preserve"> The readjustment was formally adopted by the PLO’s legislative body, the Palestinian National Council, in June 1974 (see the PLO’s Ten Point Program). </w:t>
      </w:r>
      <w:r w:rsidRPr="007904CF">
        <w:rPr>
          <w:rFonts w:cs="Times New Roman"/>
          <w:szCs w:val="22"/>
        </w:rPr>
        <w:t xml:space="preserve"> </w:t>
      </w:r>
      <w:r>
        <w:rPr>
          <w:rFonts w:cs="Times New Roman"/>
          <w:szCs w:val="22"/>
        </w:rPr>
        <w:t xml:space="preserve">Palestinian claims for a two-state solution continued in subsequent years and the claims are ongoing (Harms &amp; Ferry 2017; </w:t>
      </w:r>
      <w:r>
        <w:rPr>
          <w:rFonts w:cs="Times New Roman"/>
          <w:bCs/>
          <w:szCs w:val="22"/>
        </w:rPr>
        <w:t xml:space="preserve">Roth 2015: 207; </w:t>
      </w:r>
      <w:r>
        <w:rPr>
          <w:rFonts w:cs="Times New Roman"/>
          <w:szCs w:val="22"/>
        </w:rPr>
        <w:t xml:space="preserve">UCDP Conflict Encyclopedia). </w:t>
      </w:r>
      <w:r w:rsidRPr="00155104">
        <w:rPr>
          <w:rFonts w:cs="Times New Roman"/>
          <w:bCs/>
          <w:szCs w:val="22"/>
        </w:rPr>
        <w:t xml:space="preserve"> [19</w:t>
      </w:r>
      <w:r>
        <w:rPr>
          <w:rFonts w:cs="Times New Roman"/>
          <w:bCs/>
          <w:szCs w:val="22"/>
        </w:rPr>
        <w:t>74</w:t>
      </w:r>
      <w:r w:rsidRPr="00155104">
        <w:rPr>
          <w:rFonts w:cs="Times New Roman"/>
          <w:bCs/>
          <w:szCs w:val="22"/>
        </w:rPr>
        <w:t>-20</w:t>
      </w:r>
      <w:r>
        <w:rPr>
          <w:rFonts w:cs="Times New Roman"/>
          <w:bCs/>
          <w:szCs w:val="22"/>
        </w:rPr>
        <w:t>20</w:t>
      </w:r>
      <w:r w:rsidRPr="00155104">
        <w:rPr>
          <w:rFonts w:cs="Times New Roman"/>
          <w:bCs/>
          <w:szCs w:val="22"/>
        </w:rPr>
        <w:t>: independence claim]</w:t>
      </w:r>
    </w:p>
    <w:p w14:paraId="03DC8800" w14:textId="3BE58648" w:rsidR="009864B4" w:rsidRDefault="009864B4" w:rsidP="009864B4">
      <w:pPr>
        <w:rPr>
          <w:rFonts w:cs="Times New Roman"/>
          <w:bCs/>
          <w:szCs w:val="22"/>
        </w:rPr>
      </w:pPr>
    </w:p>
    <w:p w14:paraId="6F5D5391" w14:textId="77777777" w:rsidR="009864B4" w:rsidRDefault="009864B4" w:rsidP="009864B4">
      <w:pPr>
        <w:rPr>
          <w:rFonts w:cs="Times New Roman"/>
          <w:bCs/>
          <w:szCs w:val="22"/>
        </w:rPr>
      </w:pPr>
    </w:p>
    <w:p w14:paraId="268152DC" w14:textId="54D53E0F" w:rsidR="009864B4" w:rsidRPr="00BE5168" w:rsidRDefault="009864B4" w:rsidP="009864B4">
      <w:pPr>
        <w:rPr>
          <w:rFonts w:cs="Times New Roman"/>
          <w:b/>
          <w:szCs w:val="22"/>
        </w:rPr>
      </w:pPr>
      <w:r>
        <w:rPr>
          <w:rFonts w:cs="Times New Roman"/>
          <w:b/>
          <w:szCs w:val="22"/>
        </w:rPr>
        <w:t>Independence claims</w:t>
      </w:r>
    </w:p>
    <w:p w14:paraId="3E5A2571" w14:textId="71CE58A5" w:rsidR="009864B4" w:rsidRDefault="009864B4" w:rsidP="009864B4">
      <w:pPr>
        <w:rPr>
          <w:rFonts w:cs="Times New Roman"/>
          <w:bCs/>
          <w:szCs w:val="22"/>
        </w:rPr>
      </w:pPr>
    </w:p>
    <w:p w14:paraId="142BB764" w14:textId="398181B6" w:rsidR="009864B4" w:rsidRPr="009864B4" w:rsidRDefault="009864B4" w:rsidP="009864B4">
      <w:pPr>
        <w:pStyle w:val="ListParagraph"/>
        <w:numPr>
          <w:ilvl w:val="0"/>
          <w:numId w:val="73"/>
        </w:numPr>
        <w:rPr>
          <w:rFonts w:cs="Times New Roman"/>
          <w:bCs/>
          <w:szCs w:val="22"/>
        </w:rPr>
      </w:pPr>
      <w:r>
        <w:rPr>
          <w:rFonts w:cs="Times New Roman"/>
          <w:bCs/>
          <w:szCs w:val="22"/>
        </w:rPr>
        <w:t>See above.</w:t>
      </w:r>
      <w:r w:rsidRPr="009864B4">
        <w:rPr>
          <w:rFonts w:eastAsia="Times New Roman"/>
          <w:color w:val="000000"/>
        </w:rPr>
        <w:t xml:space="preserve"> </w:t>
      </w:r>
      <w:r w:rsidRPr="00FA5858">
        <w:rPr>
          <w:rFonts w:eastAsia="Times New Roman"/>
          <w:color w:val="000000"/>
        </w:rPr>
        <w:t>[start date: 1974; end date: ongoing]</w:t>
      </w:r>
    </w:p>
    <w:p w14:paraId="38879124" w14:textId="77777777" w:rsidR="009864B4" w:rsidRDefault="009864B4" w:rsidP="009864B4">
      <w:pPr>
        <w:rPr>
          <w:rFonts w:cs="Times New Roman"/>
          <w:bCs/>
          <w:szCs w:val="22"/>
        </w:rPr>
      </w:pPr>
    </w:p>
    <w:p w14:paraId="427E6742" w14:textId="4872EABF" w:rsidR="009864B4" w:rsidRPr="00BE5168" w:rsidRDefault="009864B4" w:rsidP="009864B4">
      <w:pPr>
        <w:rPr>
          <w:rFonts w:cs="Times New Roman"/>
          <w:b/>
          <w:szCs w:val="22"/>
        </w:rPr>
      </w:pPr>
      <w:r>
        <w:rPr>
          <w:rFonts w:cs="Times New Roman"/>
          <w:b/>
          <w:szCs w:val="22"/>
        </w:rPr>
        <w:lastRenderedPageBreak/>
        <w:t>Irredentist claims</w:t>
      </w:r>
    </w:p>
    <w:p w14:paraId="2A921D65" w14:textId="7BA4821E" w:rsidR="009864B4" w:rsidRDefault="009864B4" w:rsidP="009864B4">
      <w:pPr>
        <w:rPr>
          <w:rFonts w:cs="Times New Roman"/>
          <w:bCs/>
          <w:szCs w:val="22"/>
        </w:rPr>
      </w:pPr>
    </w:p>
    <w:p w14:paraId="7120A5D7" w14:textId="4B5ED4C3" w:rsidR="009864B4" w:rsidRDefault="009864B4" w:rsidP="009864B4">
      <w:pPr>
        <w:rPr>
          <w:rFonts w:cs="Times New Roman"/>
          <w:bCs/>
          <w:szCs w:val="22"/>
        </w:rPr>
      </w:pPr>
      <w:r>
        <w:rPr>
          <w:rFonts w:cs="Times New Roman"/>
          <w:bCs/>
          <w:szCs w:val="22"/>
        </w:rPr>
        <w:t>NA</w:t>
      </w:r>
    </w:p>
    <w:p w14:paraId="10150AB2" w14:textId="77777777" w:rsidR="009864B4" w:rsidRDefault="009864B4" w:rsidP="009864B4">
      <w:pPr>
        <w:rPr>
          <w:rFonts w:cs="Times New Roman"/>
          <w:bCs/>
          <w:szCs w:val="22"/>
        </w:rPr>
      </w:pPr>
    </w:p>
    <w:p w14:paraId="38E98634" w14:textId="77777777" w:rsidR="009864B4" w:rsidRPr="009C6C8D" w:rsidRDefault="009864B4" w:rsidP="009864B4">
      <w:pPr>
        <w:rPr>
          <w:rFonts w:cs="Times New Roman"/>
          <w:bCs/>
          <w:szCs w:val="22"/>
        </w:rPr>
      </w:pPr>
    </w:p>
    <w:p w14:paraId="235B37CB" w14:textId="77777777" w:rsidR="009864B4" w:rsidRPr="00904609" w:rsidRDefault="009864B4" w:rsidP="009864B4">
      <w:pPr>
        <w:rPr>
          <w:rFonts w:cs="Times New Roman"/>
        </w:rPr>
      </w:pPr>
      <w:r>
        <w:rPr>
          <w:rFonts w:cs="Times New Roman"/>
          <w:b/>
        </w:rPr>
        <w:t xml:space="preserve">Claimed </w:t>
      </w:r>
      <w:proofErr w:type="gramStart"/>
      <w:r>
        <w:rPr>
          <w:rFonts w:cs="Times New Roman"/>
          <w:b/>
        </w:rPr>
        <w:t>territory</w:t>
      </w:r>
      <w:proofErr w:type="gramEnd"/>
    </w:p>
    <w:p w14:paraId="7D78351E" w14:textId="77777777" w:rsidR="009864B4" w:rsidRPr="006F657B" w:rsidRDefault="009864B4" w:rsidP="009864B4">
      <w:pPr>
        <w:rPr>
          <w:rFonts w:cs="Times New Roman"/>
          <w:bCs/>
          <w:szCs w:val="22"/>
        </w:rPr>
      </w:pPr>
    </w:p>
    <w:p w14:paraId="079ABFF4" w14:textId="67A05974" w:rsidR="009864B4" w:rsidRPr="00424F2D" w:rsidRDefault="00DD0F66" w:rsidP="009864B4">
      <w:pPr>
        <w:pStyle w:val="ListParagraph"/>
        <w:numPr>
          <w:ilvl w:val="0"/>
          <w:numId w:val="73"/>
        </w:numPr>
        <w:rPr>
          <w:rFonts w:cs="Times New Roman"/>
          <w:bCs/>
          <w:szCs w:val="22"/>
        </w:rPr>
      </w:pPr>
      <w:r w:rsidRPr="00DD0F66">
        <w:rPr>
          <w:rFonts w:cs="Times New Roman"/>
          <w:bCs/>
          <w:szCs w:val="22"/>
        </w:rPr>
        <w:t xml:space="preserve">The territory claimed by the PLO starting in 1974 includes the following territories: The West Bank, including eastern Jerusalem, and Gaza </w:t>
      </w:r>
      <w:r w:rsidR="009864B4" w:rsidRPr="00424F2D">
        <w:rPr>
          <w:rFonts w:cs="Times New Roman"/>
          <w:bCs/>
          <w:szCs w:val="22"/>
        </w:rPr>
        <w:t xml:space="preserve">(Minahan 2002: 1491; Roth 2015: 206; Minahan 2016: 326). We code this claim </w:t>
      </w:r>
      <w:r w:rsidR="00172063">
        <w:rPr>
          <w:rFonts w:cs="Times New Roman"/>
          <w:bCs/>
          <w:szCs w:val="22"/>
        </w:rPr>
        <w:t xml:space="preserve">using GIS </w:t>
      </w:r>
      <w:proofErr w:type="gramStart"/>
      <w:r w:rsidR="00172063">
        <w:rPr>
          <w:rFonts w:cs="Times New Roman"/>
          <w:bCs/>
          <w:szCs w:val="22"/>
        </w:rPr>
        <w:t>data on</w:t>
      </w:r>
      <w:proofErr w:type="gramEnd"/>
      <w:r w:rsidR="00172063">
        <w:rPr>
          <w:rFonts w:cs="Times New Roman"/>
          <w:bCs/>
          <w:szCs w:val="22"/>
        </w:rPr>
        <w:t xml:space="preserve"> from the</w:t>
      </w:r>
      <w:r w:rsidR="009864B4" w:rsidRPr="00424F2D">
        <w:rPr>
          <w:rFonts w:cs="Times New Roman"/>
          <w:bCs/>
          <w:szCs w:val="22"/>
        </w:rPr>
        <w:t xml:space="preserve"> Global Administrative Areas database.</w:t>
      </w:r>
    </w:p>
    <w:p w14:paraId="56C2B773" w14:textId="77777777" w:rsidR="009864B4" w:rsidRDefault="009864B4" w:rsidP="009864B4">
      <w:pPr>
        <w:rPr>
          <w:rFonts w:cs="Times New Roman"/>
          <w:bCs/>
          <w:szCs w:val="22"/>
        </w:rPr>
      </w:pPr>
    </w:p>
    <w:p w14:paraId="07049F62" w14:textId="77777777" w:rsidR="009864B4" w:rsidRPr="006F657B" w:rsidRDefault="009864B4" w:rsidP="009864B4">
      <w:pPr>
        <w:rPr>
          <w:rFonts w:cs="Times New Roman"/>
          <w:bCs/>
          <w:szCs w:val="22"/>
        </w:rPr>
      </w:pPr>
    </w:p>
    <w:p w14:paraId="57631598" w14:textId="77777777" w:rsidR="009864B4" w:rsidRPr="00BE5168" w:rsidRDefault="009864B4" w:rsidP="009864B4">
      <w:pPr>
        <w:rPr>
          <w:rFonts w:cs="Times New Roman"/>
          <w:b/>
          <w:szCs w:val="22"/>
        </w:rPr>
      </w:pPr>
      <w:r w:rsidRPr="00BE5168">
        <w:rPr>
          <w:rFonts w:cs="Times New Roman"/>
          <w:b/>
          <w:szCs w:val="22"/>
        </w:rPr>
        <w:t>Sovereignty declarations</w:t>
      </w:r>
    </w:p>
    <w:p w14:paraId="0F403B64" w14:textId="77777777" w:rsidR="009864B4" w:rsidRDefault="009864B4" w:rsidP="009864B4">
      <w:pPr>
        <w:rPr>
          <w:rFonts w:cs="Times New Roman"/>
          <w:szCs w:val="22"/>
        </w:rPr>
      </w:pPr>
    </w:p>
    <w:p w14:paraId="2E3336A2" w14:textId="77777777" w:rsidR="009864B4" w:rsidRPr="00A84E40" w:rsidRDefault="009864B4" w:rsidP="009864B4">
      <w:pPr>
        <w:pStyle w:val="ListParagraph"/>
        <w:numPr>
          <w:ilvl w:val="0"/>
          <w:numId w:val="73"/>
        </w:numPr>
        <w:rPr>
          <w:rFonts w:cs="Times New Roman"/>
          <w:szCs w:val="22"/>
        </w:rPr>
      </w:pPr>
      <w:r>
        <w:rPr>
          <w:rFonts w:cs="Times New Roman"/>
          <w:szCs w:val="22"/>
        </w:rPr>
        <w:t>In November 1988, the PLO proclaimed an independent state of Palestine in the context of a two-state solution (Harms &amp; Ferry 2017: 147; Minahan 2002: 1497; Roth 2015: 207). Ca two thirds of UN members have recognized Palestine, with Israel, the U.S., and Western Europe ranging among the most important exceptions. [1988: independence declaration]</w:t>
      </w:r>
    </w:p>
    <w:p w14:paraId="56DF5BD9" w14:textId="77777777" w:rsidR="009864B4" w:rsidRDefault="009864B4" w:rsidP="00FA5858">
      <w:pPr>
        <w:rPr>
          <w:rFonts w:cs="Times New Roman"/>
          <w:b/>
          <w:szCs w:val="22"/>
        </w:rPr>
      </w:pPr>
    </w:p>
    <w:p w14:paraId="3603BE17" w14:textId="77777777" w:rsidR="009864B4" w:rsidRDefault="009864B4" w:rsidP="00FA5858">
      <w:pPr>
        <w:rPr>
          <w:rFonts w:cs="Times New Roman"/>
          <w:b/>
          <w:szCs w:val="22"/>
        </w:rPr>
      </w:pPr>
    </w:p>
    <w:p w14:paraId="7F33A147" w14:textId="51D3662D" w:rsidR="00FA5858" w:rsidRDefault="00FA5858" w:rsidP="00FA5858">
      <w:pPr>
        <w:rPr>
          <w:rFonts w:cs="Times New Roman"/>
          <w:b/>
          <w:szCs w:val="22"/>
        </w:rPr>
      </w:pPr>
      <w:r>
        <w:rPr>
          <w:rFonts w:cs="Times New Roman"/>
          <w:b/>
          <w:szCs w:val="22"/>
        </w:rPr>
        <w:t>Separatist armed conflict</w:t>
      </w:r>
    </w:p>
    <w:p w14:paraId="7ABF232A" w14:textId="77777777" w:rsidR="00FA5858" w:rsidRPr="006F657B" w:rsidRDefault="00FA5858" w:rsidP="00FA5858">
      <w:pPr>
        <w:rPr>
          <w:rFonts w:cs="Times New Roman"/>
          <w:szCs w:val="22"/>
        </w:rPr>
      </w:pPr>
    </w:p>
    <w:p w14:paraId="74A49399" w14:textId="2EF60EAF" w:rsidR="009232CF" w:rsidRPr="009232CF" w:rsidRDefault="00FA5858" w:rsidP="00C27127">
      <w:pPr>
        <w:pStyle w:val="ListParagraph"/>
        <w:numPr>
          <w:ilvl w:val="0"/>
          <w:numId w:val="18"/>
        </w:numPr>
        <w:rPr>
          <w:rFonts w:cs="Times New Roman"/>
          <w:b/>
        </w:rPr>
      </w:pPr>
      <w:r w:rsidRPr="007267B3">
        <w:rPr>
          <w:rFonts w:cs="Times New Roman"/>
          <w:szCs w:val="22"/>
        </w:rPr>
        <w:t>Throughout the 1970s and 1980s, groups associated with the PLO carried out numerous acts of terrorism</w:t>
      </w:r>
      <w:r w:rsidR="007267B3">
        <w:rPr>
          <w:rFonts w:cs="Times New Roman"/>
          <w:szCs w:val="22"/>
        </w:rPr>
        <w:t>; as such, the movement can be seen as violent from the start</w:t>
      </w:r>
      <w:r w:rsidRPr="007267B3">
        <w:rPr>
          <w:rFonts w:cs="Times New Roman"/>
          <w:szCs w:val="22"/>
        </w:rPr>
        <w:t>. The LVIOLSD coding for 1974-</w:t>
      </w:r>
      <w:r w:rsidR="009232CF">
        <w:rPr>
          <w:rFonts w:cs="Times New Roman"/>
          <w:szCs w:val="22"/>
        </w:rPr>
        <w:t>19</w:t>
      </w:r>
      <w:r w:rsidRPr="007267B3">
        <w:rPr>
          <w:rFonts w:cs="Times New Roman"/>
          <w:szCs w:val="22"/>
        </w:rPr>
        <w:t xml:space="preserve">86 </w:t>
      </w:r>
      <w:r w:rsidRPr="007267B3">
        <w:rPr>
          <w:szCs w:val="22"/>
        </w:rPr>
        <w:t>follows UCDP/PRIO. The HVIOLSD coding for 1987-</w:t>
      </w:r>
      <w:r w:rsidR="00FC7B93">
        <w:rPr>
          <w:szCs w:val="22"/>
        </w:rPr>
        <w:t>19</w:t>
      </w:r>
      <w:r w:rsidRPr="007267B3">
        <w:rPr>
          <w:szCs w:val="22"/>
        </w:rPr>
        <w:t>97 follow</w:t>
      </w:r>
      <w:r w:rsidR="009232CF">
        <w:rPr>
          <w:szCs w:val="22"/>
        </w:rPr>
        <w:t>s</w:t>
      </w:r>
      <w:r w:rsidRPr="007267B3">
        <w:rPr>
          <w:szCs w:val="22"/>
        </w:rPr>
        <w:t xml:space="preserve"> Sambanis &amp; </w:t>
      </w:r>
      <w:proofErr w:type="spellStart"/>
      <w:r w:rsidRPr="007267B3">
        <w:rPr>
          <w:szCs w:val="22"/>
        </w:rPr>
        <w:t>Schulhofer</w:t>
      </w:r>
      <w:proofErr w:type="spellEnd"/>
      <w:r w:rsidRPr="007267B3">
        <w:rPr>
          <w:szCs w:val="22"/>
        </w:rPr>
        <w:t xml:space="preserve">-Wohl (2009). </w:t>
      </w:r>
    </w:p>
    <w:p w14:paraId="64371A4A" w14:textId="03049720" w:rsidR="00FC7B93" w:rsidRPr="009232CF" w:rsidRDefault="009232CF" w:rsidP="00C27127">
      <w:pPr>
        <w:pStyle w:val="ListParagraph"/>
        <w:numPr>
          <w:ilvl w:val="0"/>
          <w:numId w:val="18"/>
        </w:numPr>
        <w:rPr>
          <w:rFonts w:cs="Times New Roman"/>
          <w:b/>
        </w:rPr>
      </w:pPr>
      <w:r>
        <w:rPr>
          <w:szCs w:val="22"/>
        </w:rPr>
        <w:t xml:space="preserve">In 1997-1999, violence decreased markedly in the wake of the Oslo process. UCDP/PRIO records just two deaths in 1997, 5 in 1998, and 4 in 1999. Given this de-escalation, </w:t>
      </w:r>
      <w:r w:rsidR="00FA5858" w:rsidRPr="007267B3">
        <w:rPr>
          <w:szCs w:val="22"/>
        </w:rPr>
        <w:t>1998-</w:t>
      </w:r>
      <w:proofErr w:type="gramStart"/>
      <w:r w:rsidR="00FA5858" w:rsidRPr="007267B3">
        <w:rPr>
          <w:szCs w:val="22"/>
        </w:rPr>
        <w:t>1999</w:t>
      </w:r>
      <w:r>
        <w:rPr>
          <w:szCs w:val="22"/>
        </w:rPr>
        <w:t xml:space="preserve"> </w:t>
      </w:r>
      <w:r w:rsidR="00FA5858" w:rsidRPr="007267B3">
        <w:rPr>
          <w:szCs w:val="22"/>
        </w:rPr>
        <w:t xml:space="preserve"> are</w:t>
      </w:r>
      <w:proofErr w:type="gramEnd"/>
      <w:r w:rsidR="00FA5858" w:rsidRPr="007267B3">
        <w:rPr>
          <w:szCs w:val="22"/>
        </w:rPr>
        <w:t xml:space="preserve"> coded as NVIOLSD</w:t>
      </w:r>
      <w:r>
        <w:rPr>
          <w:szCs w:val="22"/>
        </w:rPr>
        <w:t xml:space="preserve">. </w:t>
      </w:r>
    </w:p>
    <w:p w14:paraId="74D81F13" w14:textId="77777777" w:rsidR="009232CF" w:rsidRPr="009232CF" w:rsidRDefault="009232CF" w:rsidP="009232CF">
      <w:pPr>
        <w:pStyle w:val="ListParagraph"/>
        <w:numPr>
          <w:ilvl w:val="0"/>
          <w:numId w:val="18"/>
        </w:numPr>
        <w:rPr>
          <w:rFonts w:cs="Times New Roman"/>
          <w:b/>
        </w:rPr>
      </w:pPr>
      <w:r>
        <w:rPr>
          <w:szCs w:val="22"/>
        </w:rPr>
        <w:t xml:space="preserve">Violence increased again in 2000. </w:t>
      </w:r>
      <w:r w:rsidRPr="007267B3">
        <w:rPr>
          <w:szCs w:val="22"/>
        </w:rPr>
        <w:t>The HVIOLSD coding for 2000-2009</w:t>
      </w:r>
      <w:r>
        <w:rPr>
          <w:szCs w:val="22"/>
        </w:rPr>
        <w:t xml:space="preserve"> </w:t>
      </w:r>
      <w:r w:rsidRPr="007267B3">
        <w:rPr>
          <w:szCs w:val="22"/>
        </w:rPr>
        <w:t>follow</w:t>
      </w:r>
      <w:r>
        <w:rPr>
          <w:szCs w:val="22"/>
        </w:rPr>
        <w:t>s</w:t>
      </w:r>
      <w:r w:rsidRPr="007267B3">
        <w:rPr>
          <w:szCs w:val="22"/>
        </w:rPr>
        <w:t xml:space="preserve"> Sambanis &amp; </w:t>
      </w:r>
      <w:proofErr w:type="spellStart"/>
      <w:r w:rsidRPr="007267B3">
        <w:rPr>
          <w:szCs w:val="22"/>
        </w:rPr>
        <w:t>Schulhofer</w:t>
      </w:r>
      <w:proofErr w:type="spellEnd"/>
      <w:r w:rsidRPr="007267B3">
        <w:rPr>
          <w:szCs w:val="22"/>
        </w:rPr>
        <w:t xml:space="preserve">-Wohl (2009). </w:t>
      </w:r>
    </w:p>
    <w:p w14:paraId="48962F56" w14:textId="4802C081" w:rsidR="00FC7B93" w:rsidRPr="00FC7B93" w:rsidRDefault="00FA5858" w:rsidP="00C27127">
      <w:pPr>
        <w:pStyle w:val="ListParagraph"/>
        <w:numPr>
          <w:ilvl w:val="0"/>
          <w:numId w:val="18"/>
        </w:numPr>
        <w:rPr>
          <w:rFonts w:cs="Times New Roman"/>
          <w:b/>
        </w:rPr>
      </w:pPr>
      <w:r w:rsidRPr="007267B3">
        <w:rPr>
          <w:szCs w:val="22"/>
        </w:rPr>
        <w:t>The LVIOLSD code</w:t>
      </w:r>
      <w:r w:rsidR="007267B3" w:rsidRPr="007267B3">
        <w:rPr>
          <w:szCs w:val="22"/>
        </w:rPr>
        <w:t>s</w:t>
      </w:r>
      <w:r w:rsidRPr="007267B3">
        <w:rPr>
          <w:szCs w:val="22"/>
        </w:rPr>
        <w:t xml:space="preserve"> in 2010-2012</w:t>
      </w:r>
      <w:r w:rsidR="007267B3" w:rsidRPr="007267B3">
        <w:rPr>
          <w:szCs w:val="22"/>
        </w:rPr>
        <w:t>, 2014</w:t>
      </w:r>
      <w:r w:rsidR="00FC7B93">
        <w:rPr>
          <w:szCs w:val="22"/>
        </w:rPr>
        <w:t xml:space="preserve"> follow</w:t>
      </w:r>
      <w:r w:rsidR="007267B3" w:rsidRPr="007267B3">
        <w:rPr>
          <w:szCs w:val="22"/>
        </w:rPr>
        <w:t xml:space="preserve"> </w:t>
      </w:r>
      <w:r w:rsidR="00FC7B93">
        <w:rPr>
          <w:szCs w:val="22"/>
        </w:rPr>
        <w:t>UCDP/PRIO, which also reports 12 battle-related deaths in 2013, suggesting fighting was sustained, so we code ongoing LVIOLSD in 2010-2014.</w:t>
      </w:r>
    </w:p>
    <w:p w14:paraId="11B50490" w14:textId="35FE1C2E" w:rsidR="00FA5858" w:rsidRPr="00FC7B93" w:rsidRDefault="00FC7B93" w:rsidP="000058B8">
      <w:pPr>
        <w:pStyle w:val="ListParagraph"/>
        <w:numPr>
          <w:ilvl w:val="0"/>
          <w:numId w:val="18"/>
        </w:numPr>
        <w:rPr>
          <w:rFonts w:cs="Times New Roman"/>
          <w:b/>
        </w:rPr>
      </w:pPr>
      <w:r w:rsidRPr="00FC7B93">
        <w:rPr>
          <w:szCs w:val="22"/>
        </w:rPr>
        <w:t xml:space="preserve">2015-2017 saw fewer battle-related deaths according to UCDP/PRIO (41 across all three years), but the coding notes suggest there continued to be significant violence: “The West Bank and Jerusalem saw a wave of hundreds of attacks in 2015 and 2016, most commonly knifings, by unaffiliated Palestinians against Israeli settlers and security personnel.” UCDP/PRIO does not count those as battle-related deaths, but this is debatable. 2018-2019 saw more than 25 battle-related deaths according to UCDP/PRIO. In 2020, there were just 8, in 2021 there were more than 200, suggesting sustained ongoing fighting. </w:t>
      </w:r>
      <w:r>
        <w:rPr>
          <w:szCs w:val="22"/>
        </w:rPr>
        <w:t xml:space="preserve"> We code ongoing LVIOLSD.</w:t>
      </w:r>
      <w:r w:rsidR="009232CF">
        <w:rPr>
          <w:szCs w:val="22"/>
        </w:rPr>
        <w:t xml:space="preserve"> </w:t>
      </w:r>
      <w:r w:rsidR="00FA5858">
        <w:t>[</w:t>
      </w:r>
      <w:r w:rsidR="007267B3">
        <w:t xml:space="preserve">1974-1986: LVIOLSD; 1987-1997: HVIOLSD; 1998-1999: </w:t>
      </w:r>
      <w:r w:rsidR="00FA5858">
        <w:t>NVIOLSD</w:t>
      </w:r>
      <w:r w:rsidR="007267B3">
        <w:t>; 2000-2009: HVIOLSD; 2010-20</w:t>
      </w:r>
      <w:r>
        <w:t xml:space="preserve">20: </w:t>
      </w:r>
      <w:r w:rsidR="007267B3">
        <w:t>LVIOLSD</w:t>
      </w:r>
      <w:r w:rsidR="00FA5858">
        <w:t>]</w:t>
      </w:r>
    </w:p>
    <w:p w14:paraId="2B151A2F" w14:textId="77777777" w:rsidR="00794F7B" w:rsidRPr="006F657B" w:rsidRDefault="00794F7B" w:rsidP="00794F7B">
      <w:pPr>
        <w:rPr>
          <w:rFonts w:cs="Times New Roman"/>
          <w:bCs/>
          <w:szCs w:val="22"/>
        </w:rPr>
      </w:pPr>
    </w:p>
    <w:p w14:paraId="24EDEB50" w14:textId="77777777" w:rsidR="0083315D" w:rsidRDefault="0083315D" w:rsidP="00794F7B">
      <w:pPr>
        <w:rPr>
          <w:rFonts w:cs="Times New Roman"/>
          <w:b/>
          <w:szCs w:val="22"/>
        </w:rPr>
      </w:pPr>
    </w:p>
    <w:p w14:paraId="639A59D5" w14:textId="2D6A2608" w:rsidR="00794F7B" w:rsidRPr="00BE5168" w:rsidRDefault="002D73D5" w:rsidP="00794F7B">
      <w:pPr>
        <w:rPr>
          <w:rFonts w:cs="Times New Roman"/>
          <w:szCs w:val="22"/>
        </w:rPr>
      </w:pPr>
      <w:r>
        <w:rPr>
          <w:rFonts w:cs="Times New Roman"/>
          <w:b/>
          <w:szCs w:val="22"/>
        </w:rPr>
        <w:t xml:space="preserve">Historical </w:t>
      </w:r>
      <w:r w:rsidR="009864B4">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337DAE56" w14:textId="144CD8B6" w:rsidR="00794F7B" w:rsidRDefault="00FF7318" w:rsidP="00222971">
      <w:pPr>
        <w:pStyle w:val="ListParagraph"/>
        <w:numPr>
          <w:ilvl w:val="0"/>
          <w:numId w:val="74"/>
        </w:numPr>
        <w:rPr>
          <w:rFonts w:cs="Times New Roman"/>
          <w:szCs w:val="22"/>
        </w:rPr>
      </w:pPr>
      <w:r>
        <w:rPr>
          <w:rFonts w:cs="Times New Roman"/>
          <w:szCs w:val="22"/>
        </w:rPr>
        <w:t xml:space="preserve">Before WWI, Palestine had been part of the Ottoman Empire. </w:t>
      </w:r>
      <w:r w:rsidR="00222971">
        <w:rPr>
          <w:rFonts w:cs="Times New Roman"/>
          <w:szCs w:val="22"/>
        </w:rPr>
        <w:t>In the late 19</w:t>
      </w:r>
      <w:r w:rsidR="00222971" w:rsidRPr="00222971">
        <w:rPr>
          <w:rFonts w:cs="Times New Roman"/>
          <w:szCs w:val="22"/>
          <w:vertAlign w:val="superscript"/>
        </w:rPr>
        <w:t>th</w:t>
      </w:r>
      <w:r w:rsidR="00222971">
        <w:rPr>
          <w:rFonts w:cs="Times New Roman"/>
          <w:szCs w:val="22"/>
        </w:rPr>
        <w:t xml:space="preserve"> century, a growing number of Jews immigrated to today’s Israel in response to anti-Semitism and discrimination in other parts of the world. Arab nationalism grew in reaction to political Zionism (Minahan 2002: 1493). Having previously promised an Arab state to be carved out of the Ottoman Empire, Britain issued the Balfour Declaration in November 1917, which supported the establishment of a Jewish </w:t>
      </w:r>
      <w:r w:rsidR="00541D62">
        <w:rPr>
          <w:rFonts w:cs="Times New Roman"/>
          <w:szCs w:val="22"/>
        </w:rPr>
        <w:t>“national home”</w:t>
      </w:r>
      <w:r w:rsidR="00222971">
        <w:rPr>
          <w:rFonts w:cs="Times New Roman"/>
          <w:szCs w:val="22"/>
        </w:rPr>
        <w:t xml:space="preserve"> in Palestine</w:t>
      </w:r>
      <w:r w:rsidR="00541D62">
        <w:rPr>
          <w:rFonts w:cs="Times New Roman"/>
          <w:szCs w:val="22"/>
        </w:rPr>
        <w:t xml:space="preserve"> (Minahan 2002: 1494f).</w:t>
      </w:r>
    </w:p>
    <w:p w14:paraId="7F83107A" w14:textId="5ECFA56C" w:rsidR="00541D62" w:rsidRDefault="00541D62" w:rsidP="00222971">
      <w:pPr>
        <w:pStyle w:val="ListParagraph"/>
        <w:numPr>
          <w:ilvl w:val="0"/>
          <w:numId w:val="74"/>
        </w:numPr>
        <w:rPr>
          <w:rFonts w:cs="Times New Roman"/>
          <w:szCs w:val="22"/>
        </w:rPr>
      </w:pPr>
      <w:r>
        <w:rPr>
          <w:rFonts w:cs="Times New Roman"/>
          <w:szCs w:val="22"/>
        </w:rPr>
        <w:lastRenderedPageBreak/>
        <w:t xml:space="preserve">After WWI, Palestine became a League of Nations mandate, along with Jordan. In 1921, Jordan </w:t>
      </w:r>
      <w:r w:rsidR="00B43D1B">
        <w:rPr>
          <w:rFonts w:cs="Times New Roman"/>
          <w:szCs w:val="22"/>
        </w:rPr>
        <w:t>became a separate British mandate (and 1946 achieved independence).</w:t>
      </w:r>
      <w:r>
        <w:rPr>
          <w:rFonts w:cs="Times New Roman"/>
          <w:szCs w:val="22"/>
        </w:rPr>
        <w:t xml:space="preserve"> </w:t>
      </w:r>
      <w:r w:rsidR="00B43D1B">
        <w:rPr>
          <w:rFonts w:cs="Times New Roman"/>
          <w:szCs w:val="22"/>
        </w:rPr>
        <w:t>Tensions between Jews and Arabs, who both had been promised the rest of Palestine, erupted (Minahan 2002: 1495).</w:t>
      </w:r>
    </w:p>
    <w:p w14:paraId="6804E67E" w14:textId="07975F23" w:rsidR="002F7ABB" w:rsidRPr="002F7ABB" w:rsidRDefault="00B43D1B" w:rsidP="002F7ABB">
      <w:pPr>
        <w:pStyle w:val="ListParagraph"/>
        <w:numPr>
          <w:ilvl w:val="0"/>
          <w:numId w:val="74"/>
        </w:numPr>
        <w:rPr>
          <w:rFonts w:cs="Times New Roman"/>
          <w:szCs w:val="22"/>
        </w:rPr>
      </w:pPr>
      <w:r>
        <w:rPr>
          <w:rFonts w:cs="Times New Roman"/>
          <w:szCs w:val="22"/>
        </w:rPr>
        <w:t>In 1937, the British Peel Commission recommended the partition of Palestine into Arab, Jewish, and British regions. The latter should include Jerusalem and important religious sites. Jews agreed to the proposal, but Palestinian Arabs rejected the plan</w:t>
      </w:r>
      <w:r w:rsidR="002F7ABB">
        <w:rPr>
          <w:rFonts w:cs="Times New Roman"/>
          <w:szCs w:val="22"/>
        </w:rPr>
        <w:t xml:space="preserve"> (Minahan 2002: 1495).</w:t>
      </w:r>
    </w:p>
    <w:p w14:paraId="0CDD4D31" w14:textId="6A727EFF" w:rsidR="002F7ABB" w:rsidRPr="002B0BFA" w:rsidRDefault="00FF7318" w:rsidP="00853A70">
      <w:pPr>
        <w:pStyle w:val="ListParagraph"/>
        <w:numPr>
          <w:ilvl w:val="0"/>
          <w:numId w:val="74"/>
        </w:numPr>
        <w:rPr>
          <w:rFonts w:cs="Times New Roman"/>
          <w:szCs w:val="22"/>
        </w:rPr>
      </w:pPr>
      <w:r w:rsidRPr="002B0BFA">
        <w:rPr>
          <w:rFonts w:cs="Times New Roman"/>
          <w:szCs w:val="22"/>
        </w:rPr>
        <w:t xml:space="preserve">After WWII, Jewish immigration to Israel increased exponentially (UCDP Encyclopedia). </w:t>
      </w:r>
      <w:r w:rsidR="002F7ABB" w:rsidRPr="002B0BFA">
        <w:rPr>
          <w:rFonts w:cs="Times New Roman"/>
          <w:szCs w:val="22"/>
        </w:rPr>
        <w:t xml:space="preserve">A 1947 UN Special Committee again recommended that Palestine be partitioned into Arab and Jewish states. </w:t>
      </w:r>
      <w:r w:rsidR="002B0BFA" w:rsidRPr="002B0BFA">
        <w:rPr>
          <w:rFonts w:cs="Times New Roman"/>
          <w:szCs w:val="22"/>
        </w:rPr>
        <w:t xml:space="preserve">The plan was adopted by the UN General Assembly. </w:t>
      </w:r>
      <w:r w:rsidR="002F7ABB" w:rsidRPr="002B0BFA">
        <w:rPr>
          <w:rFonts w:cs="Times New Roman"/>
          <w:szCs w:val="22"/>
        </w:rPr>
        <w:t xml:space="preserve">Jews accepted the plan, </w:t>
      </w:r>
      <w:r w:rsidRPr="002B0BFA">
        <w:rPr>
          <w:rFonts w:cs="Times New Roman"/>
          <w:szCs w:val="22"/>
        </w:rPr>
        <w:t xml:space="preserve">which would have given them 56% of </w:t>
      </w:r>
      <w:r w:rsidR="002B0BFA" w:rsidRPr="002B0BFA">
        <w:rPr>
          <w:rFonts w:cs="Times New Roman"/>
          <w:szCs w:val="22"/>
        </w:rPr>
        <w:t xml:space="preserve">Palestine. </w:t>
      </w:r>
      <w:r w:rsidR="002F7ABB" w:rsidRPr="002B0BFA">
        <w:rPr>
          <w:rFonts w:cs="Times New Roman"/>
          <w:szCs w:val="22"/>
        </w:rPr>
        <w:t>Arabs</w:t>
      </w:r>
      <w:r w:rsidR="002B0BFA">
        <w:rPr>
          <w:rFonts w:cs="Times New Roman"/>
          <w:szCs w:val="22"/>
        </w:rPr>
        <w:t>, on the other hand,</w:t>
      </w:r>
      <w:r w:rsidR="002F7ABB" w:rsidRPr="002B0BFA">
        <w:rPr>
          <w:rFonts w:cs="Times New Roman"/>
          <w:szCs w:val="22"/>
        </w:rPr>
        <w:t xml:space="preserve"> rejected the plan, instead claiming a single Arab state with minority rights for Jews (Minahan 2002: 149</w:t>
      </w:r>
      <w:r w:rsidR="0014050E" w:rsidRPr="002B0BFA">
        <w:rPr>
          <w:rFonts w:cs="Times New Roman"/>
          <w:szCs w:val="22"/>
        </w:rPr>
        <w:t>6</w:t>
      </w:r>
      <w:r w:rsidR="002B0BFA">
        <w:rPr>
          <w:rFonts w:cs="Times New Roman"/>
          <w:szCs w:val="22"/>
        </w:rPr>
        <w:t>; UCDP Encyclopedia</w:t>
      </w:r>
      <w:r w:rsidR="002F7ABB" w:rsidRPr="002B0BFA">
        <w:rPr>
          <w:rFonts w:cs="Times New Roman"/>
          <w:szCs w:val="22"/>
        </w:rPr>
        <w:t>).</w:t>
      </w:r>
      <w:r w:rsidRPr="002B0BFA">
        <w:rPr>
          <w:rFonts w:cs="Times New Roman"/>
          <w:szCs w:val="22"/>
        </w:rPr>
        <w:t xml:space="preserve"> </w:t>
      </w:r>
    </w:p>
    <w:p w14:paraId="4F4DCA7F" w14:textId="4FC6B83E" w:rsidR="00C83145" w:rsidRPr="00C83145" w:rsidRDefault="002F7ABB" w:rsidP="009F1F6A">
      <w:pPr>
        <w:pStyle w:val="ListParagraph"/>
        <w:numPr>
          <w:ilvl w:val="0"/>
          <w:numId w:val="74"/>
        </w:numPr>
        <w:rPr>
          <w:rFonts w:cs="Times New Roman"/>
          <w:szCs w:val="22"/>
        </w:rPr>
      </w:pPr>
      <w:r w:rsidRPr="00C83145">
        <w:rPr>
          <w:rFonts w:cs="Times New Roman"/>
          <w:szCs w:val="22"/>
        </w:rPr>
        <w:t>Palestinian Jews declared</w:t>
      </w:r>
      <w:r w:rsidR="0014050E" w:rsidRPr="00C83145">
        <w:rPr>
          <w:rFonts w:cs="Times New Roman"/>
          <w:szCs w:val="22"/>
        </w:rPr>
        <w:t xml:space="preserve"> an independent Israel in 1948. Armies of the neighboring Arab states immediately invaded, but lost the war. Many Palestinian Arabs fled to neighboring Arab countries during the 1948 war, thus constituting the large Palestinian Arab diaspora. Israel ended up in control of 30% more territory than had been envisioned in the UN plan</w:t>
      </w:r>
      <w:r w:rsidR="002B0BFA">
        <w:rPr>
          <w:rFonts w:cs="Times New Roman"/>
          <w:szCs w:val="22"/>
        </w:rPr>
        <w:t xml:space="preserve"> (ca 78% of Palestine)</w:t>
      </w:r>
      <w:r w:rsidR="0014050E" w:rsidRPr="00C83145">
        <w:rPr>
          <w:rFonts w:cs="Times New Roman"/>
          <w:szCs w:val="22"/>
        </w:rPr>
        <w:t>. Meanwhile, Egypt took control of the Gaza strip and Jordan annexed the West Bank (Minahan 2002: 1496</w:t>
      </w:r>
      <w:r w:rsidR="002B0BFA">
        <w:rPr>
          <w:rFonts w:cs="Times New Roman"/>
          <w:szCs w:val="22"/>
        </w:rPr>
        <w:t>; UCDP Encyclopedia</w:t>
      </w:r>
      <w:r w:rsidR="0014050E" w:rsidRPr="00C83145">
        <w:rPr>
          <w:rFonts w:cs="Times New Roman"/>
          <w:szCs w:val="22"/>
        </w:rPr>
        <w:t>).</w:t>
      </w:r>
      <w:r w:rsidR="00C83145" w:rsidRPr="00C83145">
        <w:rPr>
          <w:rFonts w:cs="Times New Roman"/>
          <w:szCs w:val="22"/>
        </w:rPr>
        <w:t xml:space="preserve"> </w:t>
      </w:r>
      <w:r w:rsidR="00C83145">
        <w:rPr>
          <w:rFonts w:cs="Times New Roman"/>
          <w:szCs w:val="22"/>
        </w:rPr>
        <w:t>A</w:t>
      </w:r>
      <w:r w:rsidR="00C83145" w:rsidRPr="00C83145">
        <w:rPr>
          <w:rFonts w:cs="Times New Roman"/>
          <w:szCs w:val="22"/>
        </w:rPr>
        <w:t>ccording to MRGI, “Israel confiscated the lands of the Palestinians who had been expelled [in 1948] and also much of that from those who remained. Meanwhile, whilst those who remained in Israel after 1948 were granted citizenship, until 1966 they were subjected to travel restrictions and curfews amounting to martial law.”</w:t>
      </w:r>
    </w:p>
    <w:p w14:paraId="3A7B5341" w14:textId="22355BFD" w:rsidR="00485EA5" w:rsidRDefault="002C6FC9" w:rsidP="00C56B64">
      <w:pPr>
        <w:pStyle w:val="ListParagraph"/>
        <w:numPr>
          <w:ilvl w:val="0"/>
          <w:numId w:val="74"/>
        </w:numPr>
        <w:rPr>
          <w:rFonts w:cs="Times New Roman"/>
          <w:szCs w:val="22"/>
        </w:rPr>
      </w:pPr>
      <w:r w:rsidRPr="00573227">
        <w:rPr>
          <w:rFonts w:cs="Times New Roman"/>
          <w:szCs w:val="22"/>
        </w:rPr>
        <w:t xml:space="preserve">In the 1967 </w:t>
      </w:r>
      <w:r w:rsidR="00B42416">
        <w:rPr>
          <w:rFonts w:cs="Times New Roman"/>
          <w:szCs w:val="22"/>
        </w:rPr>
        <w:t>Six Day War</w:t>
      </w:r>
      <w:r w:rsidRPr="00573227">
        <w:rPr>
          <w:rFonts w:cs="Times New Roman"/>
          <w:szCs w:val="22"/>
        </w:rPr>
        <w:t xml:space="preserve">, Israel captured the </w:t>
      </w:r>
      <w:proofErr w:type="spellStart"/>
      <w:r w:rsidR="00485EA5" w:rsidRPr="00485EA5">
        <w:rPr>
          <w:rFonts w:cs="Times New Roman"/>
          <w:szCs w:val="22"/>
        </w:rPr>
        <w:t>the</w:t>
      </w:r>
      <w:proofErr w:type="spellEnd"/>
      <w:r w:rsidR="00485EA5" w:rsidRPr="00485EA5">
        <w:rPr>
          <w:rFonts w:cs="Times New Roman"/>
          <w:szCs w:val="22"/>
        </w:rPr>
        <w:t xml:space="preserve"> Gaza Strip and the Sinai Peninsula (previously controlled by Egypt), the West Bank (previously controlled by Jordan), and the Golan Heights (previously controlled by Syria)</w:t>
      </w:r>
      <w:r w:rsidRPr="00573227">
        <w:rPr>
          <w:rFonts w:cs="Times New Roman"/>
          <w:szCs w:val="22"/>
        </w:rPr>
        <w:t xml:space="preserve"> (Minahan 2002: 1496</w:t>
      </w:r>
      <w:r w:rsidR="002B1D5C" w:rsidRPr="00573227">
        <w:rPr>
          <w:rFonts w:cs="Times New Roman"/>
          <w:szCs w:val="22"/>
        </w:rPr>
        <w:t xml:space="preserve">; </w:t>
      </w:r>
      <w:r w:rsidR="00573227" w:rsidRPr="00573227">
        <w:rPr>
          <w:rFonts w:cs="Times New Roman"/>
          <w:szCs w:val="22"/>
        </w:rPr>
        <w:t xml:space="preserve">MRGI; </w:t>
      </w:r>
      <w:r w:rsidR="002B1D5C" w:rsidRPr="00573227">
        <w:rPr>
          <w:rFonts w:cs="Times New Roman"/>
          <w:szCs w:val="22"/>
        </w:rPr>
        <w:t>Roth 2015: 207</w:t>
      </w:r>
      <w:r w:rsidR="00485EA5">
        <w:rPr>
          <w:rFonts w:cs="Times New Roman"/>
          <w:szCs w:val="22"/>
        </w:rPr>
        <w:t>; UCDP Conflict Encyclopedia</w:t>
      </w:r>
      <w:r w:rsidRPr="00573227">
        <w:rPr>
          <w:rFonts w:cs="Times New Roman"/>
          <w:szCs w:val="22"/>
        </w:rPr>
        <w:t>).</w:t>
      </w:r>
      <w:r w:rsidR="002B0BFA">
        <w:rPr>
          <w:rFonts w:cs="Times New Roman"/>
          <w:szCs w:val="22"/>
        </w:rPr>
        <w:t xml:space="preserve"> The 1967 war further increased Palestinian refugee populations in neighboring Arab states </w:t>
      </w:r>
      <w:r w:rsidR="00485EA5">
        <w:rPr>
          <w:rFonts w:cs="Times New Roman"/>
          <w:szCs w:val="22"/>
        </w:rPr>
        <w:t xml:space="preserve">and also initiated the settler issue, with Israeli Jews starting to move into the occupied lands to build settlements on Palestinian lands. </w:t>
      </w:r>
      <w:r w:rsidR="006A1E20">
        <w:rPr>
          <w:rFonts w:cs="Times New Roman"/>
          <w:szCs w:val="22"/>
        </w:rPr>
        <w:t xml:space="preserve">However, Israeli settlements in occupied territories remained relatively limited until the late 1970s (Harms &amp; Ferry 2017: 143; UCDP Encyclopedia). </w:t>
      </w:r>
      <w:r w:rsidR="00AB51E5">
        <w:rPr>
          <w:rFonts w:cs="Times New Roman"/>
          <w:szCs w:val="22"/>
        </w:rPr>
        <w:t>We code an independence restriction because Gaza, the West Bank, and other territories transitioned from Arab to Israeli rule. We code another restriction due to the initiation of Israeli settlements in the occupied territories</w:t>
      </w:r>
      <w:r w:rsidR="000F7E2F">
        <w:rPr>
          <w:rFonts w:cs="Times New Roman"/>
          <w:szCs w:val="22"/>
        </w:rPr>
        <w:t>, given that with settlement came requisition of land and resources (Harms &amp; Ferry 2017: 143).</w:t>
      </w:r>
      <w:r w:rsidR="006A50F1">
        <w:rPr>
          <w:rFonts w:cs="Times New Roman"/>
          <w:szCs w:val="22"/>
        </w:rPr>
        <w:t xml:space="preserve"> [1967: independence restriction, autonomy restriction]</w:t>
      </w:r>
    </w:p>
    <w:p w14:paraId="7416BC31" w14:textId="32585737" w:rsidR="0083315D" w:rsidRPr="0083315D" w:rsidRDefault="0083315D" w:rsidP="0083315D">
      <w:pPr>
        <w:pStyle w:val="ListParagraph"/>
        <w:numPr>
          <w:ilvl w:val="0"/>
          <w:numId w:val="74"/>
        </w:numPr>
        <w:rPr>
          <w:rFonts w:cs="Times New Roman"/>
          <w:szCs w:val="22"/>
        </w:rPr>
      </w:pPr>
      <w:r w:rsidRPr="00573227">
        <w:rPr>
          <w:rFonts w:cs="Times New Roman"/>
          <w:szCs w:val="22"/>
        </w:rPr>
        <w:t>In the 1973 Yom Kippur War, Egypt and Syria attempted to regain the territory they had lost in 1973, but were defeated by the Israeli military (</w:t>
      </w:r>
      <w:r>
        <w:rPr>
          <w:rFonts w:cs="Times New Roman"/>
          <w:szCs w:val="22"/>
        </w:rPr>
        <w:t xml:space="preserve">Harms &amp; Ferry 2017: 122ff; </w:t>
      </w:r>
      <w:r w:rsidRPr="00573227">
        <w:rPr>
          <w:rFonts w:cs="Times New Roman"/>
          <w:szCs w:val="22"/>
        </w:rPr>
        <w:t xml:space="preserve">MRGI). Eventually, Jordan and Egypt gave up their sovereignty over the West Bank and Gaza, respectively, which made these territories not just de facto but also de jure occupied territories of Israel. The Golan heights remain occupied by Israel but claimed by Syria (Roth 2015: 207). </w:t>
      </w:r>
      <w:r>
        <w:rPr>
          <w:rFonts w:cs="Times New Roman"/>
          <w:szCs w:val="22"/>
        </w:rPr>
        <w:t>We do not code a concession.</w:t>
      </w:r>
    </w:p>
    <w:p w14:paraId="42FA37FD" w14:textId="1442C725" w:rsidR="00220DF7" w:rsidRDefault="00220DF7" w:rsidP="00220DF7">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35936032" w14:textId="43D5AED8" w:rsidR="006A1E20" w:rsidRDefault="000F7E2F" w:rsidP="0038289E">
      <w:pPr>
        <w:pStyle w:val="ListParagraph"/>
        <w:numPr>
          <w:ilvl w:val="0"/>
          <w:numId w:val="74"/>
        </w:numPr>
        <w:rPr>
          <w:rFonts w:cs="Times New Roman"/>
          <w:szCs w:val="22"/>
        </w:rPr>
      </w:pPr>
      <w:r>
        <w:rPr>
          <w:rFonts w:cs="Times New Roman"/>
          <w:szCs w:val="22"/>
        </w:rPr>
        <w:t>Israeli settlement in occupied territories increased markedly after 1977</w:t>
      </w:r>
      <w:r w:rsidR="006A1E20">
        <w:rPr>
          <w:rFonts w:cs="Times New Roman"/>
          <w:szCs w:val="22"/>
        </w:rPr>
        <w:t>, with the average annual number of settlers increasing almost tenfold from 770 between 1967-77 to 5,690 in 1978-87. By 1987, Israel had requisitioned half of the West Bank and a third of Gaza</w:t>
      </w:r>
      <w:r w:rsidR="000E4655">
        <w:rPr>
          <w:rFonts w:cs="Times New Roman"/>
          <w:szCs w:val="22"/>
        </w:rPr>
        <w:t>, amounting to virtual annexation</w:t>
      </w:r>
      <w:r w:rsidR="006A1E20">
        <w:rPr>
          <w:rFonts w:cs="Times New Roman"/>
          <w:szCs w:val="22"/>
        </w:rPr>
        <w:t xml:space="preserve"> (Harms &amp; Ferry 2017: 143). [1978: autonomy restriction]</w:t>
      </w:r>
    </w:p>
    <w:p w14:paraId="6CBF43FC" w14:textId="54548894" w:rsidR="007357D5" w:rsidRDefault="007357D5" w:rsidP="00BB7DDD">
      <w:pPr>
        <w:pStyle w:val="ListParagraph"/>
        <w:numPr>
          <w:ilvl w:val="0"/>
          <w:numId w:val="74"/>
        </w:numPr>
        <w:rPr>
          <w:rFonts w:cs="Times New Roman"/>
          <w:szCs w:val="22"/>
        </w:rPr>
      </w:pPr>
      <w:r>
        <w:rPr>
          <w:rFonts w:cs="Times New Roman"/>
          <w:szCs w:val="22"/>
        </w:rPr>
        <w:t xml:space="preserve">The 1978 Camp David Accords established a framework for peace negotiations and promised Palestinians self-rule in the occupied territories (West Bank and Gaza). </w:t>
      </w:r>
      <w:r w:rsidR="007E0212">
        <w:rPr>
          <w:rFonts w:cs="Times New Roman"/>
          <w:szCs w:val="22"/>
        </w:rPr>
        <w:t>There were no concrete steps towards implementation, however (Harms &amp; Ferry 2017: 129f).</w:t>
      </w:r>
    </w:p>
    <w:p w14:paraId="243FBF8E" w14:textId="16FCAF80" w:rsidR="00436338" w:rsidRPr="00215840" w:rsidRDefault="00A81F54" w:rsidP="00215840">
      <w:pPr>
        <w:pStyle w:val="ListParagraph"/>
        <w:numPr>
          <w:ilvl w:val="0"/>
          <w:numId w:val="74"/>
        </w:numPr>
        <w:rPr>
          <w:rFonts w:cs="Times New Roman"/>
          <w:szCs w:val="22"/>
        </w:rPr>
      </w:pPr>
      <w:r w:rsidRPr="00E818EF">
        <w:rPr>
          <w:rFonts w:cs="Times New Roman"/>
          <w:szCs w:val="22"/>
        </w:rPr>
        <w:t>In 1992, Israel’s left-wing Labor party won the election for the first time in almost two decades. The subsequent Labor government pursued a more conciliatory approach towards Palestinians and Prime Minister Yitzhak Rabin ordered a freeze on new settlements (</w:t>
      </w:r>
      <w:r w:rsidR="00E818EF" w:rsidRPr="00E818EF">
        <w:rPr>
          <w:rFonts w:cs="Times New Roman"/>
          <w:szCs w:val="22"/>
        </w:rPr>
        <w:t xml:space="preserve">Harms &amp; Ferry 2017: 159; </w:t>
      </w:r>
      <w:r w:rsidRPr="00E818EF">
        <w:rPr>
          <w:rFonts w:cs="Times New Roman"/>
          <w:szCs w:val="22"/>
        </w:rPr>
        <w:t xml:space="preserve">MAR). </w:t>
      </w:r>
      <w:r w:rsidR="007904CF" w:rsidRPr="00E818EF">
        <w:rPr>
          <w:rFonts w:cs="Times New Roman"/>
          <w:szCs w:val="22"/>
        </w:rPr>
        <w:t xml:space="preserve">In 1993, Israel agreed </w:t>
      </w:r>
      <w:r w:rsidR="0049406C" w:rsidRPr="00E818EF">
        <w:rPr>
          <w:rFonts w:cs="Times New Roman"/>
          <w:szCs w:val="22"/>
        </w:rPr>
        <w:t xml:space="preserve">on </w:t>
      </w:r>
      <w:r w:rsidR="001B1AD8" w:rsidRPr="00E818EF">
        <w:rPr>
          <w:rFonts w:cs="Times New Roman"/>
          <w:szCs w:val="22"/>
        </w:rPr>
        <w:t>a framework for</w:t>
      </w:r>
      <w:r w:rsidR="0049406C" w:rsidRPr="00E818EF">
        <w:rPr>
          <w:rFonts w:cs="Times New Roman"/>
          <w:szCs w:val="22"/>
        </w:rPr>
        <w:t xml:space="preserve"> self-rule for Palestinians</w:t>
      </w:r>
      <w:r w:rsidR="007904CF" w:rsidRPr="00E818EF">
        <w:rPr>
          <w:rFonts w:cs="Times New Roman"/>
          <w:szCs w:val="22"/>
        </w:rPr>
        <w:t xml:space="preserve"> </w:t>
      </w:r>
      <w:r w:rsidR="0049406C" w:rsidRPr="00E818EF">
        <w:rPr>
          <w:rFonts w:cs="Times New Roman"/>
          <w:szCs w:val="22"/>
        </w:rPr>
        <w:t>as part of the Oslo agreement</w:t>
      </w:r>
      <w:r w:rsidR="00573227" w:rsidRPr="00E818EF">
        <w:rPr>
          <w:rFonts w:cs="Times New Roman"/>
          <w:szCs w:val="22"/>
        </w:rPr>
        <w:t xml:space="preserve"> in return for Palestinian recognition of the right of Israel to exist</w:t>
      </w:r>
      <w:r w:rsidR="0049406C" w:rsidRPr="00E818EF">
        <w:rPr>
          <w:rFonts w:cs="Times New Roman"/>
          <w:szCs w:val="22"/>
        </w:rPr>
        <w:t xml:space="preserve">. </w:t>
      </w:r>
      <w:r w:rsidR="00017608" w:rsidRPr="00E818EF">
        <w:rPr>
          <w:rFonts w:cs="Times New Roman"/>
          <w:szCs w:val="22"/>
        </w:rPr>
        <w:t>Negotiations continued and i</w:t>
      </w:r>
      <w:r w:rsidR="0049406C" w:rsidRPr="00E818EF">
        <w:rPr>
          <w:rFonts w:cs="Times New Roman"/>
          <w:szCs w:val="22"/>
        </w:rPr>
        <w:t xml:space="preserve">n 1994, another agreement </w:t>
      </w:r>
      <w:r w:rsidR="00017608" w:rsidRPr="00E818EF">
        <w:rPr>
          <w:rFonts w:cs="Times New Roman"/>
          <w:szCs w:val="22"/>
        </w:rPr>
        <w:t>was</w:t>
      </w:r>
      <w:r w:rsidR="0049406C" w:rsidRPr="00E818EF">
        <w:rPr>
          <w:rFonts w:cs="Times New Roman"/>
          <w:szCs w:val="22"/>
        </w:rPr>
        <w:t xml:space="preserve"> signed allowing autonomy in the West Bank </w:t>
      </w:r>
      <w:r w:rsidR="0049406C" w:rsidRPr="00E818EF">
        <w:rPr>
          <w:rFonts w:cs="Times New Roman"/>
          <w:szCs w:val="22"/>
        </w:rPr>
        <w:lastRenderedPageBreak/>
        <w:t>concerning education, taxation, and other matters. In the same year, Israeli troops withdrew from the new Palestinian autonomous area</w:t>
      </w:r>
      <w:r w:rsidR="00436338" w:rsidRPr="00E818EF">
        <w:rPr>
          <w:rFonts w:cs="Times New Roman"/>
          <w:szCs w:val="22"/>
        </w:rPr>
        <w:t>. N</w:t>
      </w:r>
      <w:r w:rsidR="001B1AD8" w:rsidRPr="00E818EF">
        <w:rPr>
          <w:rFonts w:cs="Times New Roman"/>
          <w:szCs w:val="22"/>
        </w:rPr>
        <w:t xml:space="preserve">egotiations continued. </w:t>
      </w:r>
      <w:r w:rsidR="00C129F4" w:rsidRPr="00E818EF">
        <w:rPr>
          <w:rFonts w:cs="Times New Roman"/>
          <w:szCs w:val="22"/>
        </w:rPr>
        <w:t>In 1995, Israel agreed to the transfer of additional powers to the Palestinian Authority (PA) including in the areas of transportation and employment. Also in 1995, Oslo II (or Oslo B) was signed. Oslo II created three areas A, B, and C in the West Bank</w:t>
      </w:r>
      <w:r w:rsidR="00B128AE" w:rsidRPr="00E818EF">
        <w:rPr>
          <w:rFonts w:cs="Times New Roman"/>
          <w:szCs w:val="22"/>
        </w:rPr>
        <w:t xml:space="preserve">. </w:t>
      </w:r>
      <w:proofErr w:type="gramStart"/>
      <w:r w:rsidR="00B128AE" w:rsidRPr="00E818EF">
        <w:rPr>
          <w:rFonts w:cs="Times New Roman"/>
          <w:szCs w:val="22"/>
        </w:rPr>
        <w:t>A</w:t>
      </w:r>
      <w:proofErr w:type="gramEnd"/>
      <w:r w:rsidR="00B128AE" w:rsidRPr="00E818EF">
        <w:rPr>
          <w:rFonts w:cs="Times New Roman"/>
          <w:szCs w:val="22"/>
        </w:rPr>
        <w:t xml:space="preserve"> areas were to be administered by the Palestinian Authority</w:t>
      </w:r>
      <w:r w:rsidR="001B1AD8" w:rsidRPr="00E818EF">
        <w:rPr>
          <w:rFonts w:cs="Times New Roman"/>
          <w:szCs w:val="22"/>
        </w:rPr>
        <w:t xml:space="preserve"> (3% of the West Bank)</w:t>
      </w:r>
      <w:r w:rsidR="00B128AE" w:rsidRPr="00E818EF">
        <w:rPr>
          <w:rFonts w:cs="Times New Roman"/>
          <w:szCs w:val="22"/>
        </w:rPr>
        <w:t>, B areas jointly by the PA and Israel</w:t>
      </w:r>
      <w:r w:rsidR="00436338" w:rsidRPr="00E818EF">
        <w:rPr>
          <w:rFonts w:cs="Times New Roman"/>
          <w:szCs w:val="22"/>
        </w:rPr>
        <w:t xml:space="preserve"> (24% of the West Bank)</w:t>
      </w:r>
      <w:r w:rsidR="00B128AE" w:rsidRPr="00E818EF">
        <w:rPr>
          <w:rFonts w:cs="Times New Roman"/>
          <w:szCs w:val="22"/>
        </w:rPr>
        <w:t>, and C areas, which contain Israeli settlements, are administered by Israel</w:t>
      </w:r>
      <w:r w:rsidR="00436338" w:rsidRPr="00E818EF">
        <w:rPr>
          <w:rFonts w:cs="Times New Roman"/>
          <w:szCs w:val="22"/>
        </w:rPr>
        <w:t xml:space="preserve"> (73% of the West Bank) (Hams &amp; Ferry 2017: 154ff).</w:t>
      </w:r>
      <w:r w:rsidR="00B128AE" w:rsidRPr="00E818EF">
        <w:rPr>
          <w:rFonts w:cs="Times New Roman"/>
          <w:szCs w:val="22"/>
        </w:rPr>
        <w:t xml:space="preserve"> </w:t>
      </w:r>
      <w:r w:rsidR="00215840">
        <w:rPr>
          <w:rFonts w:cs="Times New Roman"/>
          <w:szCs w:val="22"/>
        </w:rPr>
        <w:t xml:space="preserve">Negotiations continued after 1995 on the thorniest issues, including the return of refugees, the status of Jerusalem, the evacuation of Israeli settlements, and Palestinian statehood. While several peace agreements were signed between 1997 and 1999, these catered only to some minor issues, such as continued Israeli withdrawals and slight decreases </w:t>
      </w:r>
      <w:proofErr w:type="gramStart"/>
      <w:r w:rsidR="00215840">
        <w:rPr>
          <w:rFonts w:cs="Times New Roman"/>
          <w:szCs w:val="22"/>
        </w:rPr>
        <w:t>in  Areas</w:t>
      </w:r>
      <w:proofErr w:type="gramEnd"/>
      <w:r w:rsidR="00215840">
        <w:rPr>
          <w:rFonts w:cs="Times New Roman"/>
          <w:szCs w:val="22"/>
        </w:rPr>
        <w:t xml:space="preserve"> C to 60% of the West Bank (Harms &amp; Ferry 2017: 160ff; UCDP Conflict Encyclopedia). </w:t>
      </w:r>
      <w:r w:rsidR="00436338" w:rsidRPr="00215840">
        <w:rPr>
          <w:rFonts w:cs="Times New Roman"/>
          <w:szCs w:val="22"/>
        </w:rPr>
        <w:t>Overall, the Oslo process led to a small increase in Palestinian autonomy</w:t>
      </w:r>
      <w:r w:rsidR="00EA558F" w:rsidRPr="00215840">
        <w:rPr>
          <w:rFonts w:cs="Times New Roman"/>
          <w:szCs w:val="22"/>
        </w:rPr>
        <w:t xml:space="preserve"> as Israel withdrew from six Area A cities and 400 Area B villages and Palestinians could exercise limited autonomy</w:t>
      </w:r>
      <w:r w:rsidR="00436338" w:rsidRPr="00215840">
        <w:rPr>
          <w:rFonts w:cs="Times New Roman"/>
          <w:szCs w:val="22"/>
        </w:rPr>
        <w:t>, so we code an autonomy concession.</w:t>
      </w:r>
      <w:r w:rsidR="00EA558F" w:rsidRPr="00215840">
        <w:rPr>
          <w:rFonts w:cs="Times New Roman"/>
          <w:szCs w:val="22"/>
        </w:rPr>
        <w:t xml:space="preserve"> The division of the West Bank in Oslo II could be seen as a restriction, but we considered this too ambiguous because it largely formalized existing policy of land requisitions and settlements in occupied territories.</w:t>
      </w:r>
      <w:r w:rsidR="00716139" w:rsidRPr="00215840">
        <w:rPr>
          <w:rFonts w:cs="Times New Roman"/>
          <w:szCs w:val="22"/>
        </w:rPr>
        <w:t xml:space="preserve"> </w:t>
      </w:r>
      <w:r w:rsidR="00E818EF" w:rsidRPr="00215840">
        <w:rPr>
          <w:rFonts w:cs="Times New Roman"/>
          <w:szCs w:val="22"/>
        </w:rPr>
        <w:t>[1993: autonomy concession]</w:t>
      </w:r>
    </w:p>
    <w:p w14:paraId="3CB17753" w14:textId="6A5D7FF1" w:rsidR="00EA558F" w:rsidRDefault="00E818EF" w:rsidP="00004FFF">
      <w:pPr>
        <w:pStyle w:val="ListParagraph"/>
        <w:numPr>
          <w:ilvl w:val="0"/>
          <w:numId w:val="74"/>
        </w:numPr>
        <w:rPr>
          <w:rFonts w:cs="Times New Roman"/>
          <w:szCs w:val="22"/>
        </w:rPr>
      </w:pPr>
      <w:r>
        <w:rPr>
          <w:rFonts w:cs="Times New Roman"/>
          <w:szCs w:val="22"/>
        </w:rPr>
        <w:t>In 1996, Benjamin Netanyahu became prime minister. The new government ended the four-year freeze on new settlements in the occupied territories and began to develop new settlements in Palestinian territories</w:t>
      </w:r>
      <w:r w:rsidR="00C759EE">
        <w:rPr>
          <w:rFonts w:cs="Times New Roman"/>
          <w:szCs w:val="22"/>
        </w:rPr>
        <w:t>. Settlement expansion continued throughout the remainder of the 1990s, the 2000s, the 2010s</w:t>
      </w:r>
      <w:r w:rsidR="009A46EC">
        <w:rPr>
          <w:rFonts w:cs="Times New Roman"/>
          <w:szCs w:val="22"/>
        </w:rPr>
        <w:t>, and the early 2020s</w:t>
      </w:r>
      <w:r>
        <w:rPr>
          <w:rFonts w:cs="Times New Roman"/>
          <w:szCs w:val="22"/>
        </w:rPr>
        <w:t xml:space="preserve"> (Harms &amp; Ferry 2017: 159ff</w:t>
      </w:r>
      <w:r w:rsidR="00C759EE">
        <w:rPr>
          <w:rFonts w:cs="Times New Roman"/>
          <w:szCs w:val="22"/>
        </w:rPr>
        <w:t>, 207</w:t>
      </w:r>
      <w:r>
        <w:rPr>
          <w:rFonts w:cs="Times New Roman"/>
          <w:szCs w:val="22"/>
        </w:rPr>
        <w:t>; MRGI</w:t>
      </w:r>
      <w:r w:rsidR="00C759EE">
        <w:rPr>
          <w:rFonts w:cs="Times New Roman"/>
          <w:szCs w:val="22"/>
        </w:rPr>
        <w:t>)</w:t>
      </w:r>
      <w:r>
        <w:rPr>
          <w:rFonts w:cs="Times New Roman"/>
          <w:szCs w:val="22"/>
        </w:rPr>
        <w:t>. [1996: autonomy restriction]</w:t>
      </w:r>
    </w:p>
    <w:p w14:paraId="08E1F2A9" w14:textId="6E820C9D" w:rsidR="00A764DB" w:rsidRDefault="00A764DB" w:rsidP="00004FFF">
      <w:pPr>
        <w:pStyle w:val="ListParagraph"/>
        <w:numPr>
          <w:ilvl w:val="0"/>
          <w:numId w:val="74"/>
        </w:numPr>
        <w:rPr>
          <w:rFonts w:cs="Times New Roman"/>
          <w:szCs w:val="22"/>
        </w:rPr>
      </w:pPr>
      <w:r>
        <w:rPr>
          <w:rFonts w:cs="Times New Roman"/>
          <w:szCs w:val="22"/>
        </w:rPr>
        <w:t>In 2002, Israel began construction of a wall between Israel and the West Bank. The wall, built in the name of security, frequently sneaked deep into the West Bank, thus claiming large portions of land. The International Court of Justice (ICJ) ruled in 2004 that the construction of the wall is equivalent to the annexation of West Bank land (Harms &amp; Ferry 2017: 174ff; MRGI). [2002: autonomy restriction]</w:t>
      </w:r>
    </w:p>
    <w:p w14:paraId="0E2AC904" w14:textId="714030F0" w:rsidR="003B176A" w:rsidRDefault="003B176A" w:rsidP="00004FFF">
      <w:pPr>
        <w:pStyle w:val="ListParagraph"/>
        <w:numPr>
          <w:ilvl w:val="0"/>
          <w:numId w:val="74"/>
        </w:numPr>
        <w:rPr>
          <w:rFonts w:cs="Times New Roman"/>
          <w:szCs w:val="22"/>
        </w:rPr>
      </w:pPr>
      <w:r>
        <w:rPr>
          <w:rFonts w:cs="Times New Roman"/>
          <w:szCs w:val="22"/>
        </w:rPr>
        <w:t>In 2004, prime minister Ariel Sharon announced that Israel would withdrew its forces from Gaza and end all Israeli settlements in Gaza. The withdrawal was implemented in mid-August 2005, lasting just under a week (Hams &amp; Ferry 2017: 182ff). [2004: autonomy concession]</w:t>
      </w:r>
    </w:p>
    <w:p w14:paraId="2FADF5CE" w14:textId="3A201A5C" w:rsidR="00A27606" w:rsidRDefault="003C09A7" w:rsidP="00004FFF">
      <w:pPr>
        <w:pStyle w:val="ListParagraph"/>
        <w:numPr>
          <w:ilvl w:val="0"/>
          <w:numId w:val="74"/>
        </w:numPr>
        <w:rPr>
          <w:rFonts w:cs="Times New Roman"/>
          <w:szCs w:val="22"/>
        </w:rPr>
      </w:pPr>
      <w:r>
        <w:rPr>
          <w:rFonts w:cs="Times New Roman"/>
          <w:szCs w:val="22"/>
        </w:rPr>
        <w:t>In 2006, Hamas won elections in the Palestinian Authority. Immediately, Israel froze its monthly payments of over $50 million to the Palestinian Authority comprised of customs and tax receipts</w:t>
      </w:r>
      <w:r w:rsidR="006F6616">
        <w:rPr>
          <w:rFonts w:cs="Times New Roman"/>
          <w:szCs w:val="22"/>
        </w:rPr>
        <w:t xml:space="preserve"> in violation of earlier agreements</w:t>
      </w:r>
      <w:r w:rsidR="00A27606">
        <w:rPr>
          <w:rFonts w:cs="Times New Roman"/>
          <w:szCs w:val="22"/>
        </w:rPr>
        <w:t xml:space="preserve"> (Hams &amp; Ferry 2017: 184ff)</w:t>
      </w:r>
      <w:r w:rsidR="006F6616">
        <w:rPr>
          <w:rFonts w:cs="Times New Roman"/>
          <w:szCs w:val="22"/>
        </w:rPr>
        <w:t xml:space="preserve">. </w:t>
      </w:r>
      <w:r w:rsidR="00A27606">
        <w:rPr>
          <w:rFonts w:cs="Times New Roman"/>
          <w:szCs w:val="22"/>
        </w:rPr>
        <w:t>[2006: autonomy restriction]</w:t>
      </w:r>
    </w:p>
    <w:p w14:paraId="46A25FE6" w14:textId="7FCC2150" w:rsidR="003C09A7" w:rsidRDefault="006F6616" w:rsidP="00004FFF">
      <w:pPr>
        <w:pStyle w:val="ListParagraph"/>
        <w:numPr>
          <w:ilvl w:val="0"/>
          <w:numId w:val="74"/>
        </w:numPr>
        <w:rPr>
          <w:rFonts w:cs="Times New Roman"/>
          <w:szCs w:val="22"/>
        </w:rPr>
      </w:pPr>
      <w:r>
        <w:rPr>
          <w:rFonts w:cs="Times New Roman"/>
          <w:szCs w:val="22"/>
        </w:rPr>
        <w:t xml:space="preserve">Israel </w:t>
      </w:r>
      <w:r w:rsidR="005A3D11">
        <w:rPr>
          <w:rFonts w:cs="Times New Roman"/>
          <w:szCs w:val="22"/>
        </w:rPr>
        <w:t>restricted</w:t>
      </w:r>
      <w:r>
        <w:rPr>
          <w:rFonts w:cs="Times New Roman"/>
          <w:szCs w:val="22"/>
        </w:rPr>
        <w:t xml:space="preserve"> the movement of people and good</w:t>
      </w:r>
      <w:r w:rsidR="00AD4FCC">
        <w:rPr>
          <w:rFonts w:cs="Times New Roman"/>
          <w:szCs w:val="22"/>
        </w:rPr>
        <w:t>s</w:t>
      </w:r>
      <w:r>
        <w:rPr>
          <w:rFonts w:cs="Times New Roman"/>
          <w:szCs w:val="22"/>
        </w:rPr>
        <w:t xml:space="preserve"> in and out of Gaza</w:t>
      </w:r>
      <w:r w:rsidR="00A27606">
        <w:rPr>
          <w:rFonts w:cs="Times New Roman"/>
          <w:szCs w:val="22"/>
        </w:rPr>
        <w:t xml:space="preserve"> in 2007</w:t>
      </w:r>
      <w:r>
        <w:rPr>
          <w:rFonts w:cs="Times New Roman"/>
          <w:szCs w:val="22"/>
        </w:rPr>
        <w:t xml:space="preserve"> (Hams &amp; Ferry 2017: 184ff). </w:t>
      </w:r>
      <w:r w:rsidR="002A543E">
        <w:rPr>
          <w:rFonts w:cs="Times New Roman"/>
          <w:szCs w:val="22"/>
        </w:rPr>
        <w:t>[200</w:t>
      </w:r>
      <w:r w:rsidR="005A3D11">
        <w:rPr>
          <w:rFonts w:cs="Times New Roman"/>
          <w:szCs w:val="22"/>
        </w:rPr>
        <w:t>7</w:t>
      </w:r>
      <w:r w:rsidR="002A543E">
        <w:rPr>
          <w:rFonts w:cs="Times New Roman"/>
          <w:szCs w:val="22"/>
        </w:rPr>
        <w:t>: autonomy restriction]</w:t>
      </w:r>
    </w:p>
    <w:p w14:paraId="01873AA5" w14:textId="07788372" w:rsidR="00B24A85" w:rsidRPr="00B24A85" w:rsidRDefault="00B24A85" w:rsidP="00B24A85">
      <w:pPr>
        <w:pStyle w:val="ListParagraph"/>
        <w:numPr>
          <w:ilvl w:val="0"/>
          <w:numId w:val="74"/>
        </w:numPr>
        <w:rPr>
          <w:rFonts w:cs="Times New Roman"/>
          <w:szCs w:val="22"/>
        </w:rPr>
      </w:pPr>
      <w:r w:rsidRPr="00B24A85">
        <w:rPr>
          <w:rFonts w:cs="Times New Roman"/>
          <w:szCs w:val="22"/>
        </w:rPr>
        <w:t xml:space="preserve">In March 2018, the Knesset passed the Entry </w:t>
      </w:r>
      <w:proofErr w:type="gramStart"/>
      <w:r w:rsidRPr="00B24A85">
        <w:rPr>
          <w:rFonts w:cs="Times New Roman"/>
          <w:szCs w:val="22"/>
        </w:rPr>
        <w:t>Into</w:t>
      </w:r>
      <w:proofErr w:type="gramEnd"/>
      <w:r w:rsidRPr="00B24A85">
        <w:rPr>
          <w:rFonts w:cs="Times New Roman"/>
          <w:szCs w:val="22"/>
        </w:rPr>
        <w:t xml:space="preserve"> Israel Law (Amendment No. 30). This </w:t>
      </w:r>
      <w:proofErr w:type="gramStart"/>
      <w:r w:rsidRPr="00B24A85">
        <w:rPr>
          <w:rFonts w:cs="Times New Roman"/>
          <w:szCs w:val="22"/>
        </w:rPr>
        <w:t>law  allows</w:t>
      </w:r>
      <w:proofErr w:type="gramEnd"/>
      <w:r w:rsidRPr="00B24A85">
        <w:rPr>
          <w:rFonts w:cs="Times New Roman"/>
          <w:szCs w:val="22"/>
        </w:rPr>
        <w:t xml:space="preserve"> the minister of interior to revoke the residency rights of Palestinians in Jerusalem on the grounds of a “breach of allegiance to the State of Israel” (al Jazeera 2018). Evictions could be seen as a restriction as defined here, but </w:t>
      </w:r>
      <w:proofErr w:type="gramStart"/>
      <w:r w:rsidRPr="00B24A85">
        <w:rPr>
          <w:rFonts w:cs="Times New Roman"/>
          <w:szCs w:val="22"/>
        </w:rPr>
        <w:t>overall</w:t>
      </w:r>
      <w:proofErr w:type="gramEnd"/>
      <w:r w:rsidRPr="00B24A85">
        <w:rPr>
          <w:rFonts w:cs="Times New Roman"/>
          <w:szCs w:val="22"/>
        </w:rPr>
        <w:t xml:space="preserve"> this is an ambiguous case. We still code a restriction in 2018 due to the below.</w:t>
      </w:r>
    </w:p>
    <w:p w14:paraId="3D03F9AD" w14:textId="1E1810FB" w:rsidR="002E2257" w:rsidRPr="00B24A85" w:rsidRDefault="002E2257" w:rsidP="00004FFF">
      <w:pPr>
        <w:pStyle w:val="ListParagraph"/>
        <w:numPr>
          <w:ilvl w:val="0"/>
          <w:numId w:val="74"/>
        </w:numPr>
        <w:rPr>
          <w:rFonts w:cs="Times New Roman"/>
          <w:szCs w:val="22"/>
        </w:rPr>
      </w:pPr>
      <w:r w:rsidRPr="00B24A85">
        <w:rPr>
          <w:rFonts w:cs="Times New Roman"/>
          <w:szCs w:val="22"/>
        </w:rPr>
        <w:t xml:space="preserve">In July 2018, the Knesset (Israeli parliament) adopted the nation-state law, which stripped Arabic of its status as an official language alongside Hebrew that it had had since 1948. The law also established that “Israel is the historic homeland of the Jewish </w:t>
      </w:r>
      <w:proofErr w:type="gramStart"/>
      <w:r w:rsidRPr="00B24A85">
        <w:rPr>
          <w:rFonts w:cs="Times New Roman"/>
          <w:szCs w:val="22"/>
        </w:rPr>
        <w:t>people</w:t>
      </w:r>
      <w:proofErr w:type="gramEnd"/>
      <w:r w:rsidRPr="00B24A85">
        <w:rPr>
          <w:rFonts w:cs="Times New Roman"/>
          <w:szCs w:val="22"/>
        </w:rPr>
        <w:t xml:space="preserve"> and they have an exclusive right to national self-determination in it” and established “Jewish settlement as a national value” (Berger 2018; EPR; MRGI). The language downgrade constitutes a clear cultural rights restriction while the other two provisions seem to mainly reaffirm existing policy. [2018: cultural rights restriction]</w:t>
      </w:r>
    </w:p>
    <w:p w14:paraId="1EA3B613" w14:textId="60D001CB" w:rsidR="007A3E76" w:rsidRPr="00B24A85" w:rsidRDefault="007A3E76" w:rsidP="00004FFF">
      <w:pPr>
        <w:pStyle w:val="ListParagraph"/>
        <w:numPr>
          <w:ilvl w:val="0"/>
          <w:numId w:val="74"/>
        </w:numPr>
        <w:rPr>
          <w:rFonts w:cs="Times New Roman"/>
          <w:szCs w:val="22"/>
        </w:rPr>
      </w:pPr>
      <w:r w:rsidRPr="00B24A85">
        <w:rPr>
          <w:rFonts w:cs="Times New Roman"/>
          <w:szCs w:val="22"/>
        </w:rPr>
        <w:t>On 19 October 2021, the Israeli minister of defense outlawed six leading Palestinian human rights organizations, declaring them “terrorist organizations”</w:t>
      </w:r>
      <w:r w:rsidR="00867264" w:rsidRPr="00B24A85">
        <w:rPr>
          <w:rFonts w:cs="Times New Roman"/>
          <w:szCs w:val="22"/>
        </w:rPr>
        <w:t xml:space="preserve"> and accused the groups - of diverting funds to the Popular Front for the Liberation of Palestine (PFLP)</w:t>
      </w:r>
      <w:r w:rsidRPr="00B24A85">
        <w:rPr>
          <w:rFonts w:cs="Times New Roman"/>
          <w:szCs w:val="22"/>
        </w:rPr>
        <w:t xml:space="preserve">. This is based on the 2016 Israeli Counter-Terrorism Law, which criminalizes all activities conducted by an organization deemed to be a ‘terrorist’. Under the act, such an organization can have </w:t>
      </w:r>
      <w:proofErr w:type="gramStart"/>
      <w:r w:rsidRPr="00B24A85">
        <w:rPr>
          <w:rFonts w:cs="Times New Roman"/>
          <w:szCs w:val="22"/>
        </w:rPr>
        <w:t>all of</w:t>
      </w:r>
      <w:proofErr w:type="gramEnd"/>
      <w:r w:rsidRPr="00B24A85">
        <w:rPr>
          <w:rFonts w:cs="Times New Roman"/>
          <w:szCs w:val="22"/>
        </w:rPr>
        <w:t xml:space="preserve"> its equipment seized and its staff arrested by the military (Zaher 2021; </w:t>
      </w:r>
      <w:proofErr w:type="spellStart"/>
      <w:r w:rsidRPr="00B24A85">
        <w:rPr>
          <w:rFonts w:cs="Times New Roman"/>
          <w:szCs w:val="22"/>
        </w:rPr>
        <w:t>Masarwa</w:t>
      </w:r>
      <w:proofErr w:type="spellEnd"/>
      <w:r w:rsidRPr="00B24A85">
        <w:rPr>
          <w:rFonts w:cs="Times New Roman"/>
          <w:szCs w:val="22"/>
        </w:rPr>
        <w:t xml:space="preserve"> and Mohamed 2021)</w:t>
      </w:r>
      <w:r w:rsidR="002E2257" w:rsidRPr="00B24A85">
        <w:rPr>
          <w:rFonts w:cs="Times New Roman"/>
          <w:szCs w:val="22"/>
        </w:rPr>
        <w:t>.</w:t>
      </w:r>
    </w:p>
    <w:p w14:paraId="7FFA165C" w14:textId="2DD43978" w:rsidR="003711CA" w:rsidRPr="00B24A85" w:rsidRDefault="003711CA" w:rsidP="00004FFF">
      <w:pPr>
        <w:pStyle w:val="ListParagraph"/>
        <w:numPr>
          <w:ilvl w:val="0"/>
          <w:numId w:val="74"/>
        </w:numPr>
        <w:rPr>
          <w:rFonts w:cs="Times New Roman"/>
          <w:szCs w:val="22"/>
        </w:rPr>
      </w:pPr>
      <w:r w:rsidRPr="00B24A85">
        <w:rPr>
          <w:rFonts w:cs="Times New Roman"/>
          <w:szCs w:val="22"/>
        </w:rPr>
        <w:t xml:space="preserve">In March 2022, the Knesset </w:t>
      </w:r>
      <w:r w:rsidR="00214078" w:rsidRPr="00B24A85">
        <w:rPr>
          <w:rFonts w:cs="Times New Roman"/>
          <w:szCs w:val="22"/>
        </w:rPr>
        <w:t xml:space="preserve">voted to renew a law dating back to 2003 that denies naturalization to Palestinians from the occupied West Bank or Gaza married to Israeli citizens and does not apply </w:t>
      </w:r>
      <w:r w:rsidR="00214078" w:rsidRPr="00B24A85">
        <w:rPr>
          <w:rFonts w:cs="Times New Roman"/>
          <w:szCs w:val="22"/>
        </w:rPr>
        <w:lastRenderedPageBreak/>
        <w:t>to Jewish settlers in the West Bank (Krauss 2022).</w:t>
      </w:r>
      <w:r w:rsidR="00D0323F">
        <w:rPr>
          <w:rFonts w:cs="Times New Roman"/>
          <w:szCs w:val="22"/>
        </w:rPr>
        <w:t xml:space="preserve"> While a restriction, this is not a restriction of ethnic rights.</w:t>
      </w:r>
    </w:p>
    <w:p w14:paraId="461C409A" w14:textId="77777777" w:rsidR="003223E2" w:rsidRDefault="003223E2" w:rsidP="003223E2">
      <w:pPr>
        <w:rPr>
          <w:rFonts w:cs="Times New Roman"/>
          <w:szCs w:val="22"/>
        </w:rPr>
      </w:pPr>
    </w:p>
    <w:p w14:paraId="2D728BB0" w14:textId="77777777" w:rsidR="00CE7069" w:rsidRPr="006F657B" w:rsidRDefault="00CE7069"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12BDE065" w14:textId="2271703E" w:rsidR="00B24A85" w:rsidRPr="00424F2D" w:rsidRDefault="0083315D" w:rsidP="00993835">
      <w:pPr>
        <w:pStyle w:val="ListParagraph"/>
        <w:numPr>
          <w:ilvl w:val="0"/>
          <w:numId w:val="74"/>
        </w:numPr>
        <w:rPr>
          <w:rFonts w:cs="Times New Roman"/>
          <w:szCs w:val="22"/>
        </w:rPr>
      </w:pPr>
      <w:r>
        <w:rPr>
          <w:rFonts w:cs="Times New Roman"/>
          <w:szCs w:val="22"/>
        </w:rPr>
        <w:t xml:space="preserve">The Oslo process led to the establishment of the Palestinian Authority (PA) in the mid-1990s. </w:t>
      </w:r>
      <w:r w:rsidR="00B70129">
        <w:rPr>
          <w:rFonts w:cs="Times New Roman"/>
          <w:szCs w:val="22"/>
        </w:rPr>
        <w:t xml:space="preserve">However, while giving the Palestinians a certain degree of self-rule, the extent to which this can be described as meaningful regional autonomy as described in the codebook is questionable. As argued by Harms &amp; Ferry (2017: 158, 205), the main consequence of the Oslo process was an Israeli consolidation of power. Israel claimed most of the West Bank as Area C territories, </w:t>
      </w:r>
      <w:r w:rsidR="00B70129" w:rsidRPr="00424F2D">
        <w:rPr>
          <w:rFonts w:cs="Times New Roman"/>
          <w:szCs w:val="22"/>
        </w:rPr>
        <w:t xml:space="preserve">roadblocks and checkpoints were erected and A and B territories were reduced to virtual islands surrounded by Israeli control of who went in and out. </w:t>
      </w:r>
    </w:p>
    <w:p w14:paraId="74EBB3FE" w14:textId="30967190" w:rsidR="00B24A85" w:rsidRPr="00424F2D" w:rsidRDefault="00B24A85" w:rsidP="00993835">
      <w:pPr>
        <w:pStyle w:val="ListParagraph"/>
        <w:numPr>
          <w:ilvl w:val="0"/>
          <w:numId w:val="74"/>
        </w:numPr>
        <w:rPr>
          <w:rFonts w:cs="Times New Roman"/>
          <w:szCs w:val="22"/>
        </w:rPr>
      </w:pPr>
      <w:r w:rsidRPr="00424F2D">
        <w:rPr>
          <w:rFonts w:cs="Times New Roman"/>
          <w:szCs w:val="22"/>
        </w:rPr>
        <w:t xml:space="preserve">Although the Palestinians have nominal autonomy, Israeli authorities retain primary control over resources and infrastructure and systematically privilege Jewish Israeli settlers over Palestinians in the provision of roads, water, electricity, health care, and other services. Even where Palestinians have a degree of autonomy, they rely on infrastructure projects that require Israeli-issued permits or that cross through Israeli-controlled Area C (Human Rights Watch 2021: 93) Further, the Israeli government has imposed restrictions on the movement of Palestinians in and out of Gaza, the West Bank and </w:t>
      </w:r>
      <w:proofErr w:type="gramStart"/>
      <w:r w:rsidRPr="00424F2D">
        <w:rPr>
          <w:rFonts w:cs="Times New Roman"/>
          <w:szCs w:val="22"/>
        </w:rPr>
        <w:t>beyond  (</w:t>
      </w:r>
      <w:proofErr w:type="gramEnd"/>
      <w:r w:rsidRPr="00424F2D">
        <w:rPr>
          <w:rFonts w:cs="Times New Roman"/>
          <w:szCs w:val="22"/>
        </w:rPr>
        <w:t xml:space="preserve">Human Rights Watch 2021: 172).  </w:t>
      </w:r>
    </w:p>
    <w:p w14:paraId="16AD1341" w14:textId="7DF4C156" w:rsidR="00B70129" w:rsidRPr="00424F2D" w:rsidRDefault="00B70129" w:rsidP="00993835">
      <w:pPr>
        <w:pStyle w:val="ListParagraph"/>
        <w:numPr>
          <w:ilvl w:val="0"/>
          <w:numId w:val="74"/>
        </w:numPr>
        <w:rPr>
          <w:rFonts w:cs="Times New Roman"/>
          <w:szCs w:val="22"/>
        </w:rPr>
      </w:pPr>
      <w:r w:rsidRPr="00424F2D">
        <w:rPr>
          <w:rFonts w:cs="Times New Roman"/>
          <w:szCs w:val="22"/>
        </w:rPr>
        <w:t>We do not code regional autonomy</w:t>
      </w:r>
      <w:r w:rsidR="00F96E64" w:rsidRPr="00424F2D">
        <w:rPr>
          <w:rFonts w:cs="Times New Roman"/>
          <w:szCs w:val="22"/>
        </w:rPr>
        <w:t>. Notably, this coding decision is in line with EPR. [1974-20</w:t>
      </w:r>
      <w:r w:rsidR="00B24A85" w:rsidRPr="00424F2D">
        <w:rPr>
          <w:rFonts w:cs="Times New Roman"/>
          <w:szCs w:val="22"/>
        </w:rPr>
        <w:t>20</w:t>
      </w:r>
      <w:r w:rsidR="00F96E64" w:rsidRPr="00424F2D">
        <w:rPr>
          <w:rFonts w:cs="Times New Roman"/>
          <w:szCs w:val="22"/>
        </w:rPr>
        <w:t>: no regional autonomy]</w:t>
      </w:r>
    </w:p>
    <w:p w14:paraId="68E6D753" w14:textId="31AA0311" w:rsidR="007D31AA" w:rsidRDefault="007D31AA" w:rsidP="007D31AA">
      <w:pPr>
        <w:rPr>
          <w:rFonts w:cs="Times New Roman"/>
          <w:szCs w:val="22"/>
        </w:rPr>
      </w:pPr>
    </w:p>
    <w:p w14:paraId="624482B5" w14:textId="77777777" w:rsidR="00B24A85" w:rsidRPr="006F657B" w:rsidRDefault="00B24A85"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112D7E6" w14:textId="5D3017FB" w:rsidR="007D31AA" w:rsidRPr="006F657B" w:rsidRDefault="00F96E64" w:rsidP="00794F7B">
      <w:pPr>
        <w:rPr>
          <w:rFonts w:cs="Times New Roman"/>
          <w:bCs/>
          <w:szCs w:val="22"/>
        </w:rPr>
      </w:pPr>
      <w:r>
        <w:rPr>
          <w:rFonts w:cs="Times New Roman"/>
          <w:bCs/>
          <w:szCs w:val="22"/>
        </w:rPr>
        <w:t>NA</w:t>
      </w:r>
    </w:p>
    <w:p w14:paraId="3554CFDD" w14:textId="1914E1AF" w:rsidR="007D31AA" w:rsidRDefault="007D31AA" w:rsidP="00794F7B">
      <w:pPr>
        <w:rPr>
          <w:rFonts w:cs="Times New Roman"/>
          <w:bCs/>
          <w:szCs w:val="22"/>
        </w:rPr>
      </w:pPr>
    </w:p>
    <w:p w14:paraId="5122C6D2" w14:textId="77777777" w:rsidR="00F96E64" w:rsidRPr="006F657B" w:rsidRDefault="00F96E64"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2BE98019" w:rsidR="00A2750B" w:rsidRPr="006F657B" w:rsidRDefault="00F96E64" w:rsidP="00794F7B">
      <w:pPr>
        <w:rPr>
          <w:rFonts w:cs="Times New Roman"/>
          <w:bCs/>
          <w:szCs w:val="22"/>
        </w:rPr>
      </w:pPr>
      <w:r>
        <w:rPr>
          <w:rFonts w:cs="Times New Roman"/>
          <w:bCs/>
          <w:szCs w:val="22"/>
        </w:rPr>
        <w:t>NA</w:t>
      </w:r>
    </w:p>
    <w:p w14:paraId="0F62216F" w14:textId="37E403B8" w:rsidR="00B73A8F" w:rsidRDefault="00B73A8F" w:rsidP="00794F7B">
      <w:pPr>
        <w:rPr>
          <w:rFonts w:cs="Times New Roman"/>
          <w:bCs/>
          <w:szCs w:val="22"/>
        </w:rPr>
      </w:pPr>
    </w:p>
    <w:p w14:paraId="416F6C01" w14:textId="77777777" w:rsidR="00F96E64" w:rsidRPr="006F657B" w:rsidRDefault="00F96E64" w:rsidP="00794F7B">
      <w:pPr>
        <w:rPr>
          <w:rFonts w:cs="Times New Roman"/>
          <w:bCs/>
          <w:szCs w:val="22"/>
        </w:rPr>
      </w:pPr>
    </w:p>
    <w:p w14:paraId="5C41CB02" w14:textId="77777777" w:rsidR="009864B4" w:rsidRPr="00D251DF" w:rsidRDefault="009864B4" w:rsidP="009864B4">
      <w:pPr>
        <w:ind w:left="709" w:hanging="709"/>
        <w:rPr>
          <w:rFonts w:cs="Times New Roman"/>
          <w:b/>
        </w:rPr>
      </w:pPr>
      <w:r w:rsidRPr="00D251DF">
        <w:rPr>
          <w:rFonts w:cs="Times New Roman"/>
          <w:b/>
        </w:rPr>
        <w:t>EPR2SDM</w:t>
      </w:r>
    </w:p>
    <w:p w14:paraId="6315FE37" w14:textId="77777777" w:rsidR="009864B4" w:rsidRPr="00D251DF" w:rsidRDefault="009864B4" w:rsidP="009864B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864B4" w:rsidRPr="00D251DF" w14:paraId="208A1225" w14:textId="77777777" w:rsidTr="00A12685">
        <w:trPr>
          <w:trHeight w:val="284"/>
        </w:trPr>
        <w:tc>
          <w:tcPr>
            <w:tcW w:w="4787" w:type="dxa"/>
            <w:vAlign w:val="center"/>
          </w:tcPr>
          <w:p w14:paraId="5DC672CC" w14:textId="77777777" w:rsidR="009864B4" w:rsidRPr="00D251DF" w:rsidRDefault="009864B4" w:rsidP="00A12685">
            <w:pPr>
              <w:rPr>
                <w:i/>
              </w:rPr>
            </w:pPr>
            <w:r w:rsidRPr="00D251DF">
              <w:rPr>
                <w:i/>
              </w:rPr>
              <w:t>Movement</w:t>
            </w:r>
          </w:p>
        </w:tc>
        <w:tc>
          <w:tcPr>
            <w:tcW w:w="4783" w:type="dxa"/>
            <w:vAlign w:val="center"/>
          </w:tcPr>
          <w:p w14:paraId="212EEEC0" w14:textId="77777777" w:rsidR="009864B4" w:rsidRPr="00D251DF" w:rsidRDefault="009864B4" w:rsidP="00A12685">
            <w:r>
              <w:t>Palestinians</w:t>
            </w:r>
          </w:p>
        </w:tc>
      </w:tr>
      <w:tr w:rsidR="009864B4" w:rsidRPr="00D251DF" w14:paraId="217C364D" w14:textId="77777777" w:rsidTr="00A12685">
        <w:trPr>
          <w:trHeight w:val="284"/>
        </w:trPr>
        <w:tc>
          <w:tcPr>
            <w:tcW w:w="4787" w:type="dxa"/>
            <w:vAlign w:val="center"/>
          </w:tcPr>
          <w:p w14:paraId="6BE6D979" w14:textId="77777777" w:rsidR="009864B4" w:rsidRPr="00D251DF" w:rsidRDefault="009864B4" w:rsidP="00A12685">
            <w:pPr>
              <w:rPr>
                <w:i/>
              </w:rPr>
            </w:pPr>
            <w:r w:rsidRPr="00D251DF">
              <w:rPr>
                <w:i/>
              </w:rPr>
              <w:t>Scenario</w:t>
            </w:r>
          </w:p>
        </w:tc>
        <w:tc>
          <w:tcPr>
            <w:tcW w:w="4783" w:type="dxa"/>
            <w:vAlign w:val="center"/>
          </w:tcPr>
          <w:p w14:paraId="1231F477" w14:textId="77777777" w:rsidR="009864B4" w:rsidRPr="00D251DF" w:rsidRDefault="009864B4" w:rsidP="00A12685">
            <w:proofErr w:type="gramStart"/>
            <w:r>
              <w:t>1:n</w:t>
            </w:r>
            <w:proofErr w:type="gramEnd"/>
          </w:p>
        </w:tc>
      </w:tr>
      <w:tr w:rsidR="009864B4" w:rsidRPr="00D251DF" w14:paraId="7BDE9D16" w14:textId="77777777" w:rsidTr="00A12685">
        <w:trPr>
          <w:trHeight w:val="284"/>
        </w:trPr>
        <w:tc>
          <w:tcPr>
            <w:tcW w:w="4787" w:type="dxa"/>
            <w:vAlign w:val="center"/>
          </w:tcPr>
          <w:p w14:paraId="353BDCDF" w14:textId="77777777" w:rsidR="009864B4" w:rsidRPr="00D251DF" w:rsidRDefault="009864B4" w:rsidP="00A12685">
            <w:pPr>
              <w:rPr>
                <w:i/>
              </w:rPr>
            </w:pPr>
            <w:r w:rsidRPr="00D251DF">
              <w:rPr>
                <w:i/>
              </w:rPr>
              <w:t>EPR group(s)</w:t>
            </w:r>
          </w:p>
        </w:tc>
        <w:tc>
          <w:tcPr>
            <w:tcW w:w="4783" w:type="dxa"/>
            <w:vAlign w:val="center"/>
          </w:tcPr>
          <w:p w14:paraId="549539FE" w14:textId="77777777" w:rsidR="009864B4" w:rsidRPr="00D251DF" w:rsidRDefault="009864B4" w:rsidP="00A12685">
            <w:r w:rsidRPr="00A40387">
              <w:t>Palestinian Arabs; Israeli Arabs</w:t>
            </w:r>
          </w:p>
        </w:tc>
      </w:tr>
      <w:tr w:rsidR="009864B4" w:rsidRPr="00D251DF" w14:paraId="55B26990" w14:textId="77777777" w:rsidTr="00A12685">
        <w:trPr>
          <w:trHeight w:val="284"/>
        </w:trPr>
        <w:tc>
          <w:tcPr>
            <w:tcW w:w="4787" w:type="dxa"/>
            <w:vAlign w:val="center"/>
          </w:tcPr>
          <w:p w14:paraId="263D50B3" w14:textId="77777777" w:rsidR="009864B4" w:rsidRPr="00D251DF" w:rsidRDefault="009864B4" w:rsidP="00A12685">
            <w:pPr>
              <w:rPr>
                <w:i/>
              </w:rPr>
            </w:pPr>
            <w:proofErr w:type="spellStart"/>
            <w:r>
              <w:rPr>
                <w:i/>
              </w:rPr>
              <w:t>Gwgroupid</w:t>
            </w:r>
            <w:proofErr w:type="spellEnd"/>
            <w:r>
              <w:rPr>
                <w:i/>
              </w:rPr>
              <w:t>(s)</w:t>
            </w:r>
          </w:p>
        </w:tc>
        <w:tc>
          <w:tcPr>
            <w:tcW w:w="4783" w:type="dxa"/>
            <w:vAlign w:val="center"/>
          </w:tcPr>
          <w:p w14:paraId="194DB8AC" w14:textId="77777777" w:rsidR="009864B4" w:rsidRPr="00457513" w:rsidRDefault="009864B4" w:rsidP="00A12685">
            <w:r w:rsidRPr="00A40387">
              <w:t>66601200; 66601100</w:t>
            </w:r>
          </w:p>
        </w:tc>
      </w:tr>
    </w:tbl>
    <w:p w14:paraId="3888934D" w14:textId="77777777" w:rsidR="009864B4" w:rsidRDefault="009864B4" w:rsidP="009864B4">
      <w:pPr>
        <w:rPr>
          <w:rFonts w:cs="Times New Roman"/>
          <w:b/>
          <w:szCs w:val="22"/>
        </w:rPr>
      </w:pPr>
    </w:p>
    <w:p w14:paraId="6A87D094" w14:textId="77777777" w:rsidR="009864B4" w:rsidRDefault="009864B4" w:rsidP="009864B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38182EB6" w:rsidR="00403CC9" w:rsidRDefault="007A3912" w:rsidP="007A3912">
      <w:pPr>
        <w:pStyle w:val="ListParagraph"/>
        <w:numPr>
          <w:ilvl w:val="0"/>
          <w:numId w:val="73"/>
        </w:numPr>
        <w:rPr>
          <w:rFonts w:cs="Times New Roman"/>
          <w:bCs/>
          <w:szCs w:val="22"/>
        </w:rPr>
      </w:pPr>
      <w:r w:rsidRPr="007A3912">
        <w:rPr>
          <w:rFonts w:cs="Times New Roman"/>
          <w:bCs/>
          <w:szCs w:val="22"/>
        </w:rPr>
        <w:t xml:space="preserve">EPR distinguishes between Arabs in Israel proper (‘Israeli Arabs’, </w:t>
      </w:r>
      <w:r w:rsidR="00A66C46">
        <w:rPr>
          <w:rFonts w:cs="Times New Roman"/>
          <w:bCs/>
          <w:szCs w:val="22"/>
        </w:rPr>
        <w:t>coded as powerless from 1974-2018 and discriminated thereafter</w:t>
      </w:r>
      <w:r w:rsidRPr="007A3912">
        <w:rPr>
          <w:rFonts w:cs="Times New Roman"/>
          <w:bCs/>
          <w:szCs w:val="22"/>
        </w:rPr>
        <w:t xml:space="preserve">) and Palestinians in the West Bank and the Gaza strip (‘Palestinian Arabs’, </w:t>
      </w:r>
      <w:r w:rsidR="00A66C46">
        <w:rPr>
          <w:rFonts w:cs="Times New Roman"/>
          <w:bCs/>
          <w:szCs w:val="22"/>
        </w:rPr>
        <w:t>coded as discriminated throughout</w:t>
      </w:r>
      <w:r w:rsidRPr="007A3912">
        <w:rPr>
          <w:rFonts w:cs="Times New Roman"/>
          <w:bCs/>
          <w:szCs w:val="22"/>
        </w:rPr>
        <w:t>).</w:t>
      </w:r>
      <w:r w:rsidR="00A66C46">
        <w:rPr>
          <w:rFonts w:cs="Times New Roman"/>
          <w:bCs/>
          <w:szCs w:val="22"/>
        </w:rPr>
        <w:t xml:space="preserve"> The latter is the larger group, and Palestinians in the occupied territories were not given any rights to participate in Israeli elections. </w:t>
      </w:r>
      <w:r w:rsidR="00424F2D">
        <w:rPr>
          <w:rFonts w:cs="Times New Roman"/>
          <w:bCs/>
          <w:szCs w:val="22"/>
        </w:rPr>
        <w:t xml:space="preserve">Starting in 2019, EPR codes both Palestinian group (i.e., also those in Israel proper) as discriminated against. </w:t>
      </w:r>
      <w:r w:rsidR="006E4A19">
        <w:rPr>
          <w:rFonts w:cs="Times New Roman"/>
          <w:bCs/>
          <w:szCs w:val="22"/>
        </w:rPr>
        <w:t>[1974-20</w:t>
      </w:r>
      <w:r w:rsidR="00424F2D">
        <w:rPr>
          <w:rFonts w:cs="Times New Roman"/>
          <w:bCs/>
          <w:szCs w:val="22"/>
        </w:rPr>
        <w:t>20</w:t>
      </w:r>
      <w:r w:rsidR="006E4A19">
        <w:rPr>
          <w:rFonts w:cs="Times New Roman"/>
          <w:bCs/>
          <w:szCs w:val="22"/>
        </w:rPr>
        <w:t>: discriminated]</w:t>
      </w:r>
    </w:p>
    <w:p w14:paraId="24C9A43F" w14:textId="23237617" w:rsidR="00424F2D" w:rsidRDefault="00424F2D" w:rsidP="00367333">
      <w:pPr>
        <w:ind w:left="709" w:hanging="709"/>
        <w:rPr>
          <w:rFonts w:cs="Times New Roman"/>
          <w:b/>
          <w:szCs w:val="22"/>
        </w:rPr>
      </w:pPr>
    </w:p>
    <w:p w14:paraId="2276057C" w14:textId="77777777" w:rsidR="00424F2D" w:rsidRDefault="00424F2D" w:rsidP="00367333">
      <w:pPr>
        <w:ind w:left="709" w:hanging="709"/>
        <w:rPr>
          <w:rFonts w:cs="Times New Roman"/>
          <w:b/>
          <w:szCs w:val="22"/>
        </w:rPr>
      </w:pPr>
    </w:p>
    <w:p w14:paraId="107C5B04" w14:textId="77777777" w:rsidR="00D0323F" w:rsidRDefault="00D0323F" w:rsidP="00367333">
      <w:pPr>
        <w:ind w:left="709" w:hanging="709"/>
        <w:rPr>
          <w:rFonts w:cs="Times New Roman"/>
          <w:b/>
          <w:szCs w:val="22"/>
        </w:rPr>
      </w:pPr>
    </w:p>
    <w:p w14:paraId="0DD1EEA1" w14:textId="77777777" w:rsidR="00D0323F" w:rsidRDefault="00D0323F" w:rsidP="00367333">
      <w:pPr>
        <w:ind w:left="709" w:hanging="709"/>
        <w:rPr>
          <w:rFonts w:cs="Times New Roman"/>
          <w:b/>
          <w:szCs w:val="22"/>
        </w:rPr>
      </w:pPr>
    </w:p>
    <w:p w14:paraId="56CA81C6" w14:textId="77777777" w:rsidR="00D0323F" w:rsidRDefault="00D0323F" w:rsidP="00367333">
      <w:pPr>
        <w:ind w:left="709" w:hanging="709"/>
        <w:rPr>
          <w:rFonts w:cs="Times New Roman"/>
          <w:b/>
          <w:szCs w:val="22"/>
        </w:rPr>
      </w:pPr>
    </w:p>
    <w:p w14:paraId="14F83F2E" w14:textId="49BC45B1" w:rsidR="00C524D6" w:rsidRDefault="00C524D6" w:rsidP="00367333">
      <w:pPr>
        <w:ind w:left="709" w:hanging="709"/>
        <w:rPr>
          <w:rFonts w:cs="Times New Roman"/>
          <w:b/>
          <w:szCs w:val="22"/>
        </w:rPr>
      </w:pPr>
      <w:r>
        <w:rPr>
          <w:rFonts w:cs="Times New Roman"/>
          <w:b/>
          <w:szCs w:val="22"/>
        </w:rPr>
        <w:lastRenderedPageBreak/>
        <w:t>Group size</w:t>
      </w:r>
    </w:p>
    <w:p w14:paraId="416A19B3" w14:textId="7FB366D1" w:rsidR="00B412DF" w:rsidRDefault="00B412DF" w:rsidP="00C524D6">
      <w:pPr>
        <w:rPr>
          <w:rFonts w:cs="Times New Roman"/>
        </w:rPr>
      </w:pPr>
    </w:p>
    <w:p w14:paraId="2B86A124" w14:textId="676CBBD5" w:rsidR="007A3912" w:rsidRPr="007A3912" w:rsidRDefault="007A3912" w:rsidP="007A3912">
      <w:pPr>
        <w:pStyle w:val="ListParagraph"/>
        <w:numPr>
          <w:ilvl w:val="0"/>
          <w:numId w:val="73"/>
        </w:numPr>
        <w:rPr>
          <w:rFonts w:cs="Times New Roman"/>
        </w:rPr>
      </w:pPr>
      <w:r w:rsidRPr="007A3912">
        <w:rPr>
          <w:rFonts w:cs="Times New Roman"/>
        </w:rPr>
        <w:t xml:space="preserve">The group sizes of the two EPR groups </w:t>
      </w:r>
      <w:r>
        <w:rPr>
          <w:rFonts w:cs="Times New Roman"/>
        </w:rPr>
        <w:t xml:space="preserve">(see above) </w:t>
      </w:r>
      <w:r w:rsidRPr="007A3912">
        <w:rPr>
          <w:rFonts w:cs="Times New Roman"/>
        </w:rPr>
        <w:t>can be combined. [19</w:t>
      </w:r>
      <w:r>
        <w:rPr>
          <w:rFonts w:cs="Times New Roman"/>
        </w:rPr>
        <w:t>74</w:t>
      </w:r>
      <w:r w:rsidRPr="007A3912">
        <w:rPr>
          <w:rFonts w:cs="Times New Roman"/>
        </w:rPr>
        <w:t>-1976: 0.27+0.11 = 0.38; 1977-1991: 0.29+0.11 = 0.40; 1992-20</w:t>
      </w:r>
      <w:r w:rsidR="00424F2D">
        <w:rPr>
          <w:rFonts w:cs="Times New Roman"/>
        </w:rPr>
        <w:t>20</w:t>
      </w:r>
      <w:r w:rsidRPr="007A3912">
        <w:rPr>
          <w:rFonts w:cs="Times New Roman"/>
        </w:rPr>
        <w:t>: 0.31+0.12 = 0.43]</w:t>
      </w:r>
    </w:p>
    <w:p w14:paraId="66E09FAB" w14:textId="2AE1028A" w:rsidR="007A3912" w:rsidRDefault="007A3912" w:rsidP="006E4A19">
      <w:pPr>
        <w:pStyle w:val="ListParagraph"/>
        <w:numPr>
          <w:ilvl w:val="1"/>
          <w:numId w:val="73"/>
        </w:numPr>
        <w:rPr>
          <w:rFonts w:cs="Times New Roman"/>
        </w:rPr>
      </w:pPr>
      <w:r w:rsidRPr="007A3912">
        <w:rPr>
          <w:rFonts w:cs="Times New Roman"/>
        </w:rPr>
        <w:t xml:space="preserve">Note: Minahan </w:t>
      </w:r>
      <w:r w:rsidR="006E4A19">
        <w:rPr>
          <w:rFonts w:cs="Times New Roman"/>
        </w:rPr>
        <w:t xml:space="preserve">(2002) </w:t>
      </w:r>
      <w:r w:rsidRPr="007A3912">
        <w:rPr>
          <w:rFonts w:cs="Times New Roman"/>
        </w:rPr>
        <w:t xml:space="preserve">suggests a similar group size. According to Minahan, there were around 3.65 </w:t>
      </w:r>
      <w:proofErr w:type="spellStart"/>
      <w:r w:rsidRPr="007A3912">
        <w:rPr>
          <w:rFonts w:cs="Times New Roman"/>
        </w:rPr>
        <w:t>mio</w:t>
      </w:r>
      <w:proofErr w:type="spellEnd"/>
      <w:r w:rsidRPr="007A3912">
        <w:rPr>
          <w:rFonts w:cs="Times New Roman"/>
        </w:rPr>
        <w:t xml:space="preserve"> Palestinians in Israel in 2002 (combining Israel proper, Gaza, and the West Bank). According to the WB, Israel (w/o Palestinian-controlled territories) had a population of 6.5 </w:t>
      </w:r>
      <w:proofErr w:type="gramStart"/>
      <w:r w:rsidRPr="007A3912">
        <w:rPr>
          <w:rFonts w:cs="Times New Roman"/>
        </w:rPr>
        <w:t>millions</w:t>
      </w:r>
      <w:proofErr w:type="gramEnd"/>
      <w:r w:rsidRPr="007A3912">
        <w:rPr>
          <w:rFonts w:cs="Times New Roman"/>
        </w:rPr>
        <w:t xml:space="preserve"> in 2002 and Gaza and West Bank a combined population of 3.1 </w:t>
      </w:r>
      <w:proofErr w:type="spellStart"/>
      <w:r w:rsidRPr="007A3912">
        <w:rPr>
          <w:rFonts w:cs="Times New Roman"/>
        </w:rPr>
        <w:t>mio</w:t>
      </w:r>
      <w:proofErr w:type="spellEnd"/>
      <w:r w:rsidRPr="007A3912">
        <w:rPr>
          <w:rFonts w:cs="Times New Roman"/>
        </w:rPr>
        <w:t>, yielding a relative group size of 38%.</w:t>
      </w:r>
    </w:p>
    <w:p w14:paraId="207C6C92" w14:textId="083B3A9A" w:rsidR="00C524D6" w:rsidRPr="007A3912" w:rsidRDefault="00C524D6" w:rsidP="007A3912">
      <w:pPr>
        <w:rPr>
          <w:rFonts w:cs="Times New Roman"/>
        </w:rPr>
      </w:pPr>
    </w:p>
    <w:p w14:paraId="13445279" w14:textId="77777777"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1CC887D" w:rsidR="00B412DF" w:rsidRPr="006E4A19" w:rsidRDefault="006E4A19" w:rsidP="006E4A19">
      <w:pPr>
        <w:pStyle w:val="ListParagraph"/>
        <w:numPr>
          <w:ilvl w:val="0"/>
          <w:numId w:val="73"/>
        </w:numPr>
        <w:rPr>
          <w:rFonts w:cs="Times New Roman"/>
        </w:rPr>
      </w:pPr>
      <w:r>
        <w:rPr>
          <w:rFonts w:cs="Times New Roman"/>
        </w:rPr>
        <w:t>According to Minahan (2002: 1491), Palestinians ma</w:t>
      </w:r>
      <w:r w:rsidR="008F632A">
        <w:rPr>
          <w:rFonts w:cs="Times New Roman"/>
        </w:rPr>
        <w:t>d</w:t>
      </w:r>
      <w:r>
        <w:rPr>
          <w:rFonts w:cs="Times New Roman"/>
        </w:rPr>
        <w:t>e up 97% of the population of Palestine</w:t>
      </w:r>
      <w:r w:rsidR="008F632A">
        <w:rPr>
          <w:rFonts w:cs="Times New Roman"/>
        </w:rPr>
        <w:t xml:space="preserve"> in 2002, by which he refers to Gaza, the West Bank, and eastern Jerusalem (total population ca. 3 million), where </w:t>
      </w:r>
      <w:proofErr w:type="spellStart"/>
      <w:r w:rsidR="008F632A">
        <w:rPr>
          <w:rFonts w:cs="Times New Roman"/>
        </w:rPr>
        <w:t>approx</w:t>
      </w:r>
      <w:proofErr w:type="spellEnd"/>
      <w:r w:rsidR="008F632A">
        <w:rPr>
          <w:rFonts w:cs="Times New Roman"/>
        </w:rPr>
        <w:t xml:space="preserve"> 85% of all Palestinian Arabs in Israel resided. The 97% figure seems high given the large number of Israeli settlers in the West Bank (ca 380,000 by 2014)</w:t>
      </w:r>
      <w:r w:rsidR="00B634A2">
        <w:rPr>
          <w:rFonts w:cs="Times New Roman"/>
        </w:rPr>
        <w:t xml:space="preserve"> and Gaza and the West Bank are separated by a 20-mile strip of Israeli land. Still, the criteria for territorial concentration are clearly met. MAR and EPR also code territorial concentration, with MAR noting that 50-75% of Palestinians live in their regional base. [regionally concentrated]</w:t>
      </w:r>
    </w:p>
    <w:p w14:paraId="2F3AC9DE" w14:textId="77777777" w:rsidR="00D0323F" w:rsidRDefault="00D0323F" w:rsidP="00B412DF">
      <w:pPr>
        <w:rPr>
          <w:rFonts w:cs="Times New Roman"/>
          <w:b/>
        </w:rPr>
      </w:pPr>
    </w:p>
    <w:p w14:paraId="451AED01" w14:textId="77777777" w:rsidR="00D0323F" w:rsidRDefault="00D0323F" w:rsidP="00B412DF">
      <w:pPr>
        <w:rPr>
          <w:rFonts w:cs="Times New Roman"/>
          <w:b/>
        </w:rPr>
      </w:pPr>
    </w:p>
    <w:p w14:paraId="71BC5A79" w14:textId="7D5F1E50"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1427ED10" w14:textId="33FB6E2C" w:rsidR="00B412DF" w:rsidRPr="00B634A2" w:rsidRDefault="00B634A2" w:rsidP="00B634A2">
      <w:pPr>
        <w:pStyle w:val="ListParagraph"/>
        <w:numPr>
          <w:ilvl w:val="0"/>
          <w:numId w:val="73"/>
        </w:numPr>
        <w:spacing w:after="60"/>
        <w:rPr>
          <w:rFonts w:cs="Times New Roman"/>
          <w:bCs/>
          <w:szCs w:val="22"/>
        </w:rPr>
      </w:pPr>
      <w:r>
        <w:rPr>
          <w:rFonts w:cs="Times New Roman"/>
          <w:bCs/>
          <w:szCs w:val="22"/>
        </w:rPr>
        <w:t>There are large numbers of Palestinian Arabs in Jordan</w:t>
      </w:r>
      <w:r w:rsidR="007E1EF4">
        <w:rPr>
          <w:rFonts w:cs="Times New Roman"/>
          <w:bCs/>
          <w:szCs w:val="22"/>
        </w:rPr>
        <w:t xml:space="preserve"> (ca 2 </w:t>
      </w:r>
      <w:proofErr w:type="spellStart"/>
      <w:r w:rsidR="007E1EF4">
        <w:rPr>
          <w:rFonts w:cs="Times New Roman"/>
          <w:bCs/>
          <w:szCs w:val="22"/>
        </w:rPr>
        <w:t>milion</w:t>
      </w:r>
      <w:proofErr w:type="spellEnd"/>
      <w:r w:rsidR="007E1EF4">
        <w:rPr>
          <w:rFonts w:cs="Times New Roman"/>
          <w:bCs/>
          <w:szCs w:val="22"/>
        </w:rPr>
        <w:t xml:space="preserve">) and </w:t>
      </w:r>
      <w:r>
        <w:rPr>
          <w:rFonts w:cs="Times New Roman"/>
          <w:bCs/>
          <w:szCs w:val="22"/>
        </w:rPr>
        <w:t>Lebanon</w:t>
      </w:r>
      <w:r w:rsidR="007E1EF4">
        <w:rPr>
          <w:rFonts w:cs="Times New Roman"/>
          <w:bCs/>
          <w:szCs w:val="22"/>
        </w:rPr>
        <w:t xml:space="preserve"> (several hundred </w:t>
      </w:r>
      <w:proofErr w:type="gramStart"/>
      <w:r w:rsidR="007E1EF4">
        <w:rPr>
          <w:rFonts w:cs="Times New Roman"/>
          <w:bCs/>
          <w:szCs w:val="22"/>
        </w:rPr>
        <w:t>thousands</w:t>
      </w:r>
      <w:proofErr w:type="gramEnd"/>
      <w:r w:rsidR="007E1EF4">
        <w:rPr>
          <w:rFonts w:cs="Times New Roman"/>
          <w:bCs/>
          <w:szCs w:val="22"/>
        </w:rPr>
        <w:t>)</w:t>
      </w:r>
      <w:r>
        <w:rPr>
          <w:rFonts w:cs="Times New Roman"/>
          <w:bCs/>
          <w:szCs w:val="22"/>
        </w:rPr>
        <w:t xml:space="preserve">, </w:t>
      </w:r>
      <w:r w:rsidR="007E1EF4">
        <w:rPr>
          <w:rFonts w:cs="Times New Roman"/>
          <w:bCs/>
          <w:szCs w:val="22"/>
        </w:rPr>
        <w:t xml:space="preserve">and smaller communities in many other states including </w:t>
      </w:r>
      <w:r>
        <w:rPr>
          <w:rFonts w:cs="Times New Roman"/>
          <w:bCs/>
          <w:szCs w:val="22"/>
        </w:rPr>
        <w:t>Egypt, and Syria, as well as other Arab states (</w:t>
      </w:r>
      <w:r w:rsidR="007E1EF4">
        <w:rPr>
          <w:rFonts w:cs="Times New Roman"/>
          <w:bCs/>
          <w:szCs w:val="22"/>
        </w:rPr>
        <w:t xml:space="preserve">EPR; MAR; </w:t>
      </w:r>
      <w:r>
        <w:rPr>
          <w:rFonts w:cs="Times New Roman"/>
          <w:bCs/>
          <w:szCs w:val="22"/>
        </w:rPr>
        <w:t>Minahan 2002: 1491).</w:t>
      </w:r>
      <w:r w:rsidR="007E1EF4">
        <w:rPr>
          <w:rFonts w:cs="Times New Roman"/>
          <w:bCs/>
          <w:szCs w:val="22"/>
        </w:rPr>
        <w:t xml:space="preserve"> [kin in neighboring country]</w:t>
      </w:r>
    </w:p>
    <w:p w14:paraId="4D89C565" w14:textId="4FBE5E02" w:rsidR="00403CC9" w:rsidRDefault="00403CC9" w:rsidP="00794F7B">
      <w:pPr>
        <w:spacing w:after="60"/>
        <w:ind w:left="709" w:hanging="709"/>
        <w:rPr>
          <w:rFonts w:cs="Times New Roman"/>
          <w:bCs/>
          <w:szCs w:val="22"/>
        </w:rPr>
      </w:pPr>
    </w:p>
    <w:p w14:paraId="4FDFCF4A" w14:textId="48608AA8" w:rsidR="00573CBB" w:rsidRDefault="00573CB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55EBD270"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Al Jazeera (2018) ‘Israel passes law to strip residency of </w:t>
      </w:r>
      <w:proofErr w:type="spellStart"/>
      <w:r w:rsidRPr="00424F2D">
        <w:rPr>
          <w:sz w:val="22"/>
          <w:szCs w:val="22"/>
          <w:lang w:val="en-US"/>
        </w:rPr>
        <w:t>Jerusalm’s</w:t>
      </w:r>
      <w:proofErr w:type="spellEnd"/>
      <w:r w:rsidRPr="00424F2D">
        <w:rPr>
          <w:sz w:val="22"/>
          <w:szCs w:val="22"/>
          <w:lang w:val="en-US"/>
        </w:rPr>
        <w:t xml:space="preserve"> Palestinians’, 07 March. </w:t>
      </w:r>
      <w:r w:rsidR="00000000">
        <w:fldChar w:fldCharType="begin"/>
      </w:r>
      <w:r w:rsidR="00000000" w:rsidRPr="00DD0F66">
        <w:rPr>
          <w:lang w:val="en-US"/>
        </w:rPr>
        <w:instrText>HYPERLINK "https://www.aljazeera.com/news/2018/3/7/israel-passes-law-to-strip-residency-of-jerusalems-palestinians"</w:instrText>
      </w:r>
      <w:r w:rsidR="00000000">
        <w:fldChar w:fldCharType="separate"/>
      </w:r>
      <w:r w:rsidRPr="00424F2D">
        <w:rPr>
          <w:rStyle w:val="Hyperlink"/>
          <w:sz w:val="22"/>
          <w:szCs w:val="22"/>
        </w:rPr>
        <w:t>https://www.aljazeera.com/news/2018/3/7/israel-passes-law-to-strip-residency-of-jerusalems-palestinians</w:t>
      </w:r>
      <w:r w:rsidR="00000000">
        <w:rPr>
          <w:rStyle w:val="Hyperlink"/>
          <w:sz w:val="22"/>
          <w:szCs w:val="22"/>
        </w:rPr>
        <w:fldChar w:fldCharType="end"/>
      </w:r>
      <w:r w:rsidRPr="00424F2D">
        <w:rPr>
          <w:sz w:val="22"/>
          <w:szCs w:val="22"/>
        </w:rPr>
        <w:t xml:space="preserve">. </w:t>
      </w:r>
      <w:r w:rsidRPr="00424F2D">
        <w:rPr>
          <w:sz w:val="22"/>
          <w:szCs w:val="22"/>
          <w:lang w:val="en-US"/>
        </w:rPr>
        <w:t>[25 July 2022].</w:t>
      </w:r>
    </w:p>
    <w:p w14:paraId="52F4FD03"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Becker, Jillian (1984). </w:t>
      </w:r>
      <w:r w:rsidRPr="00424F2D">
        <w:rPr>
          <w:i/>
          <w:iCs/>
          <w:sz w:val="22"/>
          <w:szCs w:val="22"/>
          <w:lang w:val="en-US"/>
        </w:rPr>
        <w:t>The PLO: The Rise and Fall of the Palestine Liberation Organization.</w:t>
      </w:r>
      <w:r w:rsidRPr="00424F2D">
        <w:rPr>
          <w:sz w:val="22"/>
          <w:szCs w:val="22"/>
          <w:lang w:val="en-US"/>
        </w:rPr>
        <w:t xml:space="preserve"> New York, NY: St. Martin’s Press.</w:t>
      </w:r>
    </w:p>
    <w:p w14:paraId="1B9B2C44" w14:textId="77777777" w:rsidR="00424F2D" w:rsidRPr="00424F2D" w:rsidRDefault="00424F2D" w:rsidP="007267B3">
      <w:pPr>
        <w:spacing w:after="60"/>
        <w:ind w:left="709" w:hanging="709"/>
        <w:rPr>
          <w:rFonts w:cs="Times New Roman"/>
          <w:szCs w:val="22"/>
        </w:rPr>
      </w:pPr>
      <w:r w:rsidRPr="00424F2D">
        <w:rPr>
          <w:rFonts w:cs="Times New Roman"/>
          <w:szCs w:val="22"/>
        </w:rPr>
        <w:t xml:space="preserve">Berger, Miriam (2018). “Israel’s Hugely Controversial “Nation-State” Law, Explained.” </w:t>
      </w:r>
      <w:r w:rsidRPr="00424F2D">
        <w:rPr>
          <w:rFonts w:cs="Times New Roman"/>
          <w:i/>
          <w:iCs/>
          <w:szCs w:val="22"/>
        </w:rPr>
        <w:t xml:space="preserve">Vox. </w:t>
      </w:r>
      <w:hyperlink r:id="rId9" w:history="1">
        <w:r w:rsidRPr="00424F2D">
          <w:rPr>
            <w:rStyle w:val="Hyperlink"/>
            <w:rFonts w:cs="Times New Roman"/>
            <w:szCs w:val="22"/>
          </w:rPr>
          <w:t>https://www.vox.com/world/2018/7/31/17623978/israel-jewish-nation-state-law-bill-explained-apartheid-netanyahu-democracy</w:t>
        </w:r>
      </w:hyperlink>
      <w:r w:rsidRPr="00424F2D">
        <w:rPr>
          <w:rFonts w:cs="Times New Roman"/>
          <w:szCs w:val="22"/>
        </w:rPr>
        <w:t xml:space="preserve"> [March 31, 2022].</w:t>
      </w:r>
    </w:p>
    <w:p w14:paraId="2AFDEDD1" w14:textId="77777777" w:rsidR="00424F2D" w:rsidRPr="00424F2D" w:rsidRDefault="00424F2D" w:rsidP="007267B3">
      <w:pPr>
        <w:spacing w:after="60"/>
        <w:ind w:left="709" w:hanging="709"/>
        <w:rPr>
          <w:rFonts w:cs="Times New Roman"/>
          <w:szCs w:val="22"/>
        </w:rPr>
      </w:pPr>
      <w:r w:rsidRPr="00424F2D">
        <w:rPr>
          <w:rFonts w:cs="Times New Roman"/>
          <w:szCs w:val="22"/>
        </w:rPr>
        <w:t xml:space="preserve">Black, Ian, Beaumont and Roberts, Dan (2014) ‘Israel suspends peace talks with Palestinians after Fatah-Hamas deal’, </w:t>
      </w:r>
      <w:r w:rsidRPr="00424F2D">
        <w:rPr>
          <w:rFonts w:cs="Times New Roman"/>
          <w:i/>
          <w:iCs/>
          <w:szCs w:val="22"/>
        </w:rPr>
        <w:t xml:space="preserve">The Guardian, </w:t>
      </w:r>
      <w:r w:rsidRPr="00424F2D">
        <w:rPr>
          <w:rFonts w:cs="Times New Roman"/>
          <w:szCs w:val="22"/>
        </w:rPr>
        <w:t xml:space="preserve">24 April. </w:t>
      </w:r>
      <w:hyperlink r:id="rId10" w:history="1">
        <w:r w:rsidRPr="00424F2D">
          <w:rPr>
            <w:rStyle w:val="Hyperlink"/>
            <w:rFonts w:cs="Times New Roman"/>
            <w:szCs w:val="22"/>
          </w:rPr>
          <w:t>https://www.theguardian.com/world/2014/apr/24/middle-east-israel-halts-peace-talks-palestinians</w:t>
        </w:r>
      </w:hyperlink>
      <w:r w:rsidRPr="00424F2D">
        <w:rPr>
          <w:rFonts w:cs="Times New Roman"/>
          <w:szCs w:val="22"/>
        </w:rPr>
        <w:t>. [29 July 2022].</w:t>
      </w:r>
    </w:p>
    <w:p w14:paraId="6A993ED8" w14:textId="77777777" w:rsidR="00424F2D" w:rsidRPr="00424F2D" w:rsidRDefault="00424F2D" w:rsidP="007267B3">
      <w:pPr>
        <w:spacing w:after="60"/>
        <w:ind w:left="709" w:hanging="709"/>
        <w:rPr>
          <w:rFonts w:cs="Times New Roman"/>
          <w:szCs w:val="22"/>
        </w:rPr>
      </w:pPr>
      <w:proofErr w:type="spellStart"/>
      <w:r w:rsidRPr="00424F2D">
        <w:rPr>
          <w:rFonts w:cs="Times New Roman"/>
          <w:szCs w:val="22"/>
        </w:rPr>
        <w:t>Cederman</w:t>
      </w:r>
      <w:proofErr w:type="spellEnd"/>
      <w:r w:rsidRPr="00424F2D">
        <w:rPr>
          <w:rFonts w:cs="Times New Roman"/>
          <w:szCs w:val="22"/>
        </w:rPr>
        <w:t xml:space="preserve">, Lars-Erik, Andreas Wimmer, and Brian Min (2010). “Why Do Ethnic Groups Rebel: New Data and Analysis.” </w:t>
      </w:r>
      <w:r w:rsidRPr="00424F2D">
        <w:rPr>
          <w:rFonts w:cs="Times New Roman"/>
          <w:i/>
          <w:iCs/>
          <w:szCs w:val="22"/>
        </w:rPr>
        <w:t>World Politics</w:t>
      </w:r>
      <w:r w:rsidRPr="00424F2D">
        <w:rPr>
          <w:rFonts w:cs="Times New Roman"/>
          <w:szCs w:val="22"/>
        </w:rPr>
        <w:t xml:space="preserve"> </w:t>
      </w:r>
      <w:r w:rsidRPr="00424F2D">
        <w:rPr>
          <w:rFonts w:cs="Times New Roman"/>
          <w:iCs/>
          <w:szCs w:val="22"/>
        </w:rPr>
        <w:t>62</w:t>
      </w:r>
      <w:r w:rsidRPr="00424F2D">
        <w:rPr>
          <w:rFonts w:cs="Times New Roman"/>
          <w:szCs w:val="22"/>
        </w:rPr>
        <w:t>(1): 87-119.</w:t>
      </w:r>
    </w:p>
    <w:p w14:paraId="140CCF18" w14:textId="77777777" w:rsidR="00424F2D" w:rsidRPr="00424F2D" w:rsidRDefault="00424F2D" w:rsidP="007267B3">
      <w:pPr>
        <w:spacing w:after="60"/>
        <w:ind w:left="709" w:hanging="709"/>
        <w:rPr>
          <w:rFonts w:eastAsia="Times New Roman" w:cs="Times New Roman"/>
          <w:szCs w:val="22"/>
        </w:rPr>
      </w:pPr>
      <w:r w:rsidRPr="00424F2D">
        <w:rPr>
          <w:rFonts w:eastAsia="Times New Roman" w:cs="Times New Roman"/>
          <w:szCs w:val="22"/>
        </w:rPr>
        <w:t xml:space="preserve">Cunningham, Kathleen Gallagher (2014). </w:t>
      </w:r>
      <w:r w:rsidRPr="00424F2D">
        <w:rPr>
          <w:rFonts w:eastAsia="Times New Roman" w:cs="Times New Roman"/>
          <w:i/>
          <w:szCs w:val="22"/>
        </w:rPr>
        <w:t xml:space="preserve">Inside the Politics of Self-Determination. </w:t>
      </w:r>
      <w:r w:rsidRPr="00424F2D">
        <w:rPr>
          <w:rFonts w:eastAsia="Times New Roman" w:cs="Times New Roman"/>
          <w:szCs w:val="22"/>
        </w:rPr>
        <w:t>Oxford: Oxford University Press.</w:t>
      </w:r>
    </w:p>
    <w:p w14:paraId="4A719167" w14:textId="77777777" w:rsidR="00424F2D" w:rsidRPr="00424F2D" w:rsidRDefault="00424F2D" w:rsidP="007267B3">
      <w:pPr>
        <w:spacing w:after="60"/>
        <w:ind w:left="709" w:hanging="709"/>
        <w:rPr>
          <w:rFonts w:eastAsia="Times New Roman" w:cs="Times New Roman"/>
          <w:szCs w:val="22"/>
        </w:rPr>
      </w:pPr>
      <w:r w:rsidRPr="00424F2D">
        <w:rPr>
          <w:rFonts w:cs="Times New Roman"/>
          <w:szCs w:val="22"/>
        </w:rPr>
        <w:t>Entry into Israel Law (Amendment No. 30), 5778-2018. Unofficial English translation available at:</w:t>
      </w:r>
      <w:r w:rsidRPr="00424F2D">
        <w:t xml:space="preserve"> </w:t>
      </w:r>
      <w:hyperlink r:id="rId11" w:history="1">
        <w:r w:rsidRPr="00424F2D">
          <w:rPr>
            <w:rStyle w:val="Hyperlink"/>
            <w:rFonts w:cs="Times New Roman"/>
            <w:szCs w:val="22"/>
          </w:rPr>
          <w:t>https://hamoked.org/files/2018/1162702_eng.pdf</w:t>
        </w:r>
      </w:hyperlink>
      <w:r w:rsidRPr="00424F2D">
        <w:rPr>
          <w:rFonts w:cs="Times New Roman"/>
          <w:szCs w:val="22"/>
        </w:rPr>
        <w:t>. [28 July 2022].</w:t>
      </w:r>
    </w:p>
    <w:p w14:paraId="01E3F36A" w14:textId="77777777" w:rsidR="00424F2D" w:rsidRPr="00172063" w:rsidRDefault="00424F2D" w:rsidP="007267B3">
      <w:pPr>
        <w:pStyle w:val="NormalWeb"/>
        <w:spacing w:before="0" w:beforeAutospacing="0" w:after="60" w:afterAutospacing="0"/>
        <w:ind w:left="709" w:hanging="709"/>
        <w:rPr>
          <w:i/>
          <w:iCs/>
          <w:sz w:val="22"/>
          <w:szCs w:val="22"/>
          <w:lang w:val="en-US"/>
        </w:rPr>
      </w:pPr>
      <w:r w:rsidRPr="00424F2D">
        <w:rPr>
          <w:sz w:val="22"/>
          <w:szCs w:val="22"/>
          <w:lang w:val="en-US"/>
        </w:rPr>
        <w:t xml:space="preserve">GADM (2019). Database of Global Administrative Boundaries, Version 3.6. </w:t>
      </w:r>
      <w:r w:rsidR="00000000">
        <w:fldChar w:fldCharType="begin"/>
      </w:r>
      <w:r w:rsidR="00000000" w:rsidRPr="00DD0F66">
        <w:rPr>
          <w:lang w:val="en-US"/>
        </w:rPr>
        <w:instrText>HYPERLINK "https://gadm.org/"</w:instrText>
      </w:r>
      <w:r w:rsidR="00000000">
        <w:fldChar w:fldCharType="separate"/>
      </w:r>
      <w:r w:rsidRPr="00172063">
        <w:rPr>
          <w:rStyle w:val="Hyperlink"/>
          <w:sz w:val="22"/>
          <w:szCs w:val="22"/>
          <w:lang w:val="en-US"/>
        </w:rPr>
        <w:t>https://gadm.org/</w:t>
      </w:r>
      <w:r w:rsidR="00000000">
        <w:rPr>
          <w:rStyle w:val="Hyperlink"/>
          <w:sz w:val="22"/>
          <w:szCs w:val="22"/>
          <w:lang w:val="en-US"/>
        </w:rPr>
        <w:fldChar w:fldCharType="end"/>
      </w:r>
      <w:r w:rsidRPr="00172063">
        <w:rPr>
          <w:sz w:val="22"/>
          <w:szCs w:val="22"/>
          <w:lang w:val="en-US"/>
        </w:rPr>
        <w:t xml:space="preserve"> [November 19, 2021].</w:t>
      </w:r>
    </w:p>
    <w:p w14:paraId="20FDD891"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rPr>
        <w:t xml:space="preserve">Gleditsch, Nils P., Peter </w:t>
      </w:r>
      <w:proofErr w:type="spellStart"/>
      <w:r w:rsidRPr="00424F2D">
        <w:rPr>
          <w:sz w:val="22"/>
          <w:szCs w:val="22"/>
        </w:rPr>
        <w:t>Wallensteen</w:t>
      </w:r>
      <w:proofErr w:type="spellEnd"/>
      <w:r w:rsidRPr="00424F2D">
        <w:rPr>
          <w:sz w:val="22"/>
          <w:szCs w:val="22"/>
        </w:rPr>
        <w:t xml:space="preserve">, Mikael Eriksson, Margareta </w:t>
      </w:r>
      <w:proofErr w:type="spellStart"/>
      <w:r w:rsidRPr="00424F2D">
        <w:rPr>
          <w:sz w:val="22"/>
          <w:szCs w:val="22"/>
        </w:rPr>
        <w:t>Sollenberg</w:t>
      </w:r>
      <w:proofErr w:type="spellEnd"/>
      <w:r w:rsidRPr="00424F2D">
        <w:rPr>
          <w:sz w:val="22"/>
          <w:szCs w:val="22"/>
        </w:rPr>
        <w:t xml:space="preserve">, and </w:t>
      </w:r>
      <w:proofErr w:type="spellStart"/>
      <w:r w:rsidRPr="00424F2D">
        <w:rPr>
          <w:sz w:val="22"/>
          <w:szCs w:val="22"/>
        </w:rPr>
        <w:t>Havard</w:t>
      </w:r>
      <w:proofErr w:type="spellEnd"/>
      <w:r w:rsidRPr="00424F2D">
        <w:rPr>
          <w:sz w:val="22"/>
          <w:szCs w:val="22"/>
        </w:rPr>
        <w:t xml:space="preserve"> Strand (2002). </w:t>
      </w:r>
      <w:r w:rsidRPr="00424F2D">
        <w:rPr>
          <w:sz w:val="22"/>
          <w:szCs w:val="22"/>
          <w:lang w:val="en-US"/>
        </w:rPr>
        <w:t xml:space="preserve">“Armed Conflict 1946-2001: A New Dataset.” </w:t>
      </w:r>
      <w:r w:rsidRPr="00424F2D">
        <w:rPr>
          <w:i/>
          <w:sz w:val="22"/>
          <w:szCs w:val="22"/>
          <w:lang w:val="en-US"/>
        </w:rPr>
        <w:t>Journal of Peace Research</w:t>
      </w:r>
      <w:r w:rsidRPr="00424F2D">
        <w:rPr>
          <w:sz w:val="22"/>
          <w:szCs w:val="22"/>
          <w:lang w:val="en-US"/>
        </w:rPr>
        <w:t xml:space="preserve"> 39(5): 615-637.</w:t>
      </w:r>
    </w:p>
    <w:p w14:paraId="4569E8DA" w14:textId="77777777" w:rsidR="00424F2D" w:rsidRPr="00424F2D" w:rsidRDefault="00424F2D" w:rsidP="007267B3">
      <w:pPr>
        <w:pStyle w:val="NormalWeb"/>
        <w:spacing w:before="0" w:beforeAutospacing="0" w:after="60" w:afterAutospacing="0"/>
        <w:ind w:left="709" w:hanging="709"/>
        <w:rPr>
          <w:i/>
          <w:iCs/>
          <w:sz w:val="22"/>
          <w:szCs w:val="22"/>
          <w:lang w:val="en-US"/>
        </w:rPr>
      </w:pPr>
      <w:r w:rsidRPr="00424F2D">
        <w:rPr>
          <w:sz w:val="22"/>
          <w:szCs w:val="22"/>
          <w:lang w:val="en-US"/>
        </w:rPr>
        <w:lastRenderedPageBreak/>
        <w:t xml:space="preserve">Harms, Gregory, and Todd M. Ferry (2017). </w:t>
      </w:r>
      <w:r w:rsidRPr="00424F2D">
        <w:rPr>
          <w:i/>
          <w:iCs/>
          <w:sz w:val="22"/>
          <w:szCs w:val="22"/>
          <w:lang w:val="en-US"/>
        </w:rPr>
        <w:t xml:space="preserve">The Palestine-Israel Conflict. A Basic Introduction. Fourth Edition. </w:t>
      </w:r>
      <w:r w:rsidRPr="00424F2D">
        <w:rPr>
          <w:sz w:val="22"/>
          <w:szCs w:val="22"/>
          <w:lang w:val="en-US"/>
        </w:rPr>
        <w:t>London: Pluto Press.</w:t>
      </w:r>
    </w:p>
    <w:p w14:paraId="0B16CA31" w14:textId="77777777" w:rsidR="00424F2D" w:rsidRPr="00424F2D" w:rsidRDefault="00424F2D" w:rsidP="007267B3">
      <w:pPr>
        <w:pStyle w:val="NormalWeb"/>
        <w:spacing w:before="0" w:beforeAutospacing="0" w:after="60" w:afterAutospacing="0"/>
        <w:ind w:left="709" w:hanging="709"/>
        <w:rPr>
          <w:sz w:val="22"/>
          <w:szCs w:val="22"/>
          <w:lang w:val="en-US"/>
        </w:rPr>
      </w:pPr>
      <w:bookmarkStart w:id="0" w:name="_Hlk87882186"/>
      <w:r w:rsidRPr="00424F2D">
        <w:rPr>
          <w:sz w:val="22"/>
          <w:szCs w:val="22"/>
          <w:lang w:val="en-US"/>
        </w:rPr>
        <w:t xml:space="preserve">Hewitt, Christopher, and Tom Cheetham (2000). </w:t>
      </w:r>
      <w:r w:rsidRPr="00424F2D">
        <w:rPr>
          <w:i/>
          <w:sz w:val="22"/>
          <w:szCs w:val="22"/>
          <w:lang w:val="en-US"/>
        </w:rPr>
        <w:t>Encyclopedia of Modern Separatist Movements.</w:t>
      </w:r>
      <w:r w:rsidRPr="00424F2D">
        <w:rPr>
          <w:sz w:val="22"/>
          <w:szCs w:val="22"/>
          <w:lang w:val="en-US"/>
        </w:rPr>
        <w:t xml:space="preserve"> Santa Barbara, CA: ABC-CLIO, pp. 26-27, 82, 98-99, 121-122, 130, 135-139, 225-230, 238.</w:t>
      </w:r>
    </w:p>
    <w:p w14:paraId="045768DC"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Hewitt, Joseph J., Jonathan Wilkenfeld, and Ted R. Gurr (eds.) (2008). </w:t>
      </w:r>
      <w:r w:rsidRPr="00424F2D">
        <w:rPr>
          <w:i/>
          <w:sz w:val="22"/>
          <w:szCs w:val="22"/>
          <w:lang w:val="en-US"/>
        </w:rPr>
        <w:t xml:space="preserve">Peace and Conflict 2008. </w:t>
      </w:r>
      <w:r w:rsidRPr="00424F2D">
        <w:rPr>
          <w:sz w:val="22"/>
          <w:szCs w:val="22"/>
          <w:lang w:val="en-US"/>
        </w:rPr>
        <w:t>Boulder, CO: Paradigm Publishers.</w:t>
      </w:r>
    </w:p>
    <w:p w14:paraId="285E7619"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Human Rights Watch (2021) </w:t>
      </w:r>
      <w:r w:rsidRPr="00424F2D">
        <w:rPr>
          <w:i/>
          <w:iCs/>
          <w:sz w:val="22"/>
          <w:szCs w:val="22"/>
          <w:lang w:val="en-US"/>
        </w:rPr>
        <w:t xml:space="preserve">A </w:t>
      </w:r>
      <w:proofErr w:type="spellStart"/>
      <w:r w:rsidRPr="00424F2D">
        <w:rPr>
          <w:i/>
          <w:iCs/>
          <w:sz w:val="22"/>
          <w:szCs w:val="22"/>
          <w:lang w:val="en-US"/>
        </w:rPr>
        <w:t>Theshold</w:t>
      </w:r>
      <w:proofErr w:type="spellEnd"/>
      <w:r w:rsidRPr="00424F2D">
        <w:rPr>
          <w:i/>
          <w:iCs/>
          <w:sz w:val="22"/>
          <w:szCs w:val="22"/>
          <w:lang w:val="en-US"/>
        </w:rPr>
        <w:t xml:space="preserve"> Crossed: Israeli Authorities and the Crimes of Apartheid and Persecution. </w:t>
      </w:r>
      <w:r w:rsidRPr="00424F2D">
        <w:rPr>
          <w:sz w:val="22"/>
          <w:szCs w:val="22"/>
          <w:lang w:val="en-US"/>
        </w:rPr>
        <w:t xml:space="preserve">April 2021. </w:t>
      </w:r>
      <w:r w:rsidR="00000000">
        <w:fldChar w:fldCharType="begin"/>
      </w:r>
      <w:r w:rsidR="00000000" w:rsidRPr="00DD0F66">
        <w:rPr>
          <w:lang w:val="en-US"/>
        </w:rPr>
        <w:instrText>HYPERLINK "https://www.hrw.org/sites/default/files/media_2021/04/israel_palestine0421_web_0.pdf"</w:instrText>
      </w:r>
      <w:r w:rsidR="00000000">
        <w:fldChar w:fldCharType="separate"/>
      </w:r>
      <w:r w:rsidRPr="00424F2D">
        <w:rPr>
          <w:rStyle w:val="Hyperlink"/>
          <w:sz w:val="22"/>
          <w:szCs w:val="22"/>
          <w:lang w:val="en-US"/>
        </w:rPr>
        <w:t>https://www.hrw.org/sites/default/files/media_2021/04/israel_palestine0421_web_0.pdf</w:t>
      </w:r>
      <w:r w:rsidR="00000000">
        <w:rPr>
          <w:rStyle w:val="Hyperlink"/>
          <w:sz w:val="22"/>
          <w:szCs w:val="22"/>
          <w:lang w:val="en-US"/>
        </w:rPr>
        <w:fldChar w:fldCharType="end"/>
      </w:r>
      <w:r w:rsidRPr="00424F2D">
        <w:rPr>
          <w:sz w:val="22"/>
          <w:szCs w:val="22"/>
          <w:lang w:val="en-US"/>
        </w:rPr>
        <w:t>. [29 July 2022].</w:t>
      </w:r>
    </w:p>
    <w:p w14:paraId="4AE55D12"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Krauss, Joseph (2022) ‘Israel renews law keeping out some Palestinian spouses of Israeli citizens’, </w:t>
      </w:r>
      <w:r w:rsidRPr="00424F2D">
        <w:rPr>
          <w:i/>
          <w:iCs/>
          <w:sz w:val="22"/>
          <w:szCs w:val="22"/>
          <w:lang w:val="en-US"/>
        </w:rPr>
        <w:t xml:space="preserve">Los Angeles Times, </w:t>
      </w:r>
      <w:r w:rsidRPr="00424F2D">
        <w:rPr>
          <w:sz w:val="22"/>
          <w:szCs w:val="22"/>
          <w:lang w:val="en-US"/>
        </w:rPr>
        <w:t xml:space="preserve">11 March. </w:t>
      </w:r>
      <w:r w:rsidR="00000000">
        <w:fldChar w:fldCharType="begin"/>
      </w:r>
      <w:r w:rsidR="00000000" w:rsidRPr="00DD0F66">
        <w:rPr>
          <w:lang w:val="en-US"/>
        </w:rPr>
        <w:instrText>HYPERLINK "https://www.latimes.com/world-nation/story/2022-03-11/israel-renews-law-exclude-palestinian-spouses"</w:instrText>
      </w:r>
      <w:r w:rsidR="00000000">
        <w:fldChar w:fldCharType="separate"/>
      </w:r>
      <w:r w:rsidRPr="00424F2D">
        <w:rPr>
          <w:rStyle w:val="Hyperlink"/>
          <w:sz w:val="22"/>
          <w:szCs w:val="22"/>
        </w:rPr>
        <w:t>https://www.latimes.com/world-nation/story/2022-03-11/israel-renews-law-exclude-palestinian-spouses</w:t>
      </w:r>
      <w:r w:rsidR="00000000">
        <w:rPr>
          <w:rStyle w:val="Hyperlink"/>
          <w:sz w:val="22"/>
          <w:szCs w:val="22"/>
        </w:rPr>
        <w:fldChar w:fldCharType="end"/>
      </w:r>
      <w:r w:rsidRPr="00424F2D">
        <w:rPr>
          <w:sz w:val="22"/>
          <w:szCs w:val="22"/>
        </w:rPr>
        <w:t xml:space="preserve">. </w:t>
      </w:r>
      <w:r w:rsidRPr="00424F2D">
        <w:rPr>
          <w:sz w:val="22"/>
          <w:szCs w:val="22"/>
          <w:lang w:val="en-US"/>
        </w:rPr>
        <w:t>[27 July 2022].</w:t>
      </w:r>
    </w:p>
    <w:bookmarkEnd w:id="0"/>
    <w:p w14:paraId="5C305A06"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Marshall, Monty G., and Ted R. Gurr (2003). </w:t>
      </w:r>
      <w:r w:rsidRPr="00424F2D">
        <w:rPr>
          <w:i/>
          <w:sz w:val="22"/>
          <w:szCs w:val="22"/>
          <w:lang w:val="en-US"/>
        </w:rPr>
        <w:t>Peace and Conflict 2003: A Global Survey of Armed Conflicts, Self-Determination Movements and Democracy.</w:t>
      </w:r>
      <w:r w:rsidRPr="00424F2D">
        <w:rPr>
          <w:sz w:val="22"/>
          <w:szCs w:val="22"/>
          <w:lang w:val="en-US"/>
        </w:rPr>
        <w:t xml:space="preserve"> College Park, MD: Center for International Development and Conflict Management, p. 61.</w:t>
      </w:r>
    </w:p>
    <w:p w14:paraId="45FA73E4"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Marshall, Monty G., and Ted R. Gurr (2005). </w:t>
      </w:r>
      <w:r w:rsidRPr="00424F2D">
        <w:rPr>
          <w:i/>
          <w:iCs/>
          <w:sz w:val="22"/>
          <w:szCs w:val="22"/>
          <w:lang w:val="en-US"/>
        </w:rPr>
        <w:t>Peace and Conflict 2005:</w:t>
      </w:r>
      <w:r w:rsidRPr="00424F2D">
        <w:rPr>
          <w:sz w:val="22"/>
          <w:szCs w:val="22"/>
          <w:lang w:val="en-US"/>
        </w:rPr>
        <w:t xml:space="preserve"> </w:t>
      </w:r>
      <w:r w:rsidRPr="00424F2D">
        <w:rPr>
          <w:i/>
          <w:sz w:val="22"/>
          <w:szCs w:val="22"/>
          <w:lang w:val="en-US"/>
        </w:rPr>
        <w:t xml:space="preserve">A Global Survey of Armed Conflicts, Self-Determination Movements, and Democracy. </w:t>
      </w:r>
      <w:r w:rsidRPr="00424F2D">
        <w:rPr>
          <w:sz w:val="22"/>
          <w:szCs w:val="22"/>
          <w:lang w:val="en-US"/>
        </w:rPr>
        <w:t>College Park, MD: Center for International Development and Conflict Management.</w:t>
      </w:r>
    </w:p>
    <w:p w14:paraId="343CD842" w14:textId="77777777" w:rsidR="00424F2D" w:rsidRPr="00424F2D" w:rsidRDefault="00424F2D" w:rsidP="007267B3">
      <w:pPr>
        <w:pStyle w:val="NormalWeb"/>
        <w:spacing w:before="0" w:beforeAutospacing="0" w:after="60" w:afterAutospacing="0"/>
        <w:ind w:left="709" w:hanging="709"/>
        <w:rPr>
          <w:rFonts w:eastAsia="Times"/>
          <w:sz w:val="22"/>
          <w:szCs w:val="22"/>
          <w:lang w:val="en-US"/>
        </w:rPr>
      </w:pPr>
      <w:r w:rsidRPr="00424F2D">
        <w:rPr>
          <w:rFonts w:eastAsia="Times"/>
          <w:sz w:val="22"/>
          <w:szCs w:val="22"/>
          <w:lang w:val="en-US"/>
        </w:rPr>
        <w:t xml:space="preserve">Minahan, James (2002). </w:t>
      </w:r>
      <w:r w:rsidRPr="00424F2D">
        <w:rPr>
          <w:rFonts w:eastAsia="Times"/>
          <w:i/>
          <w:sz w:val="22"/>
          <w:szCs w:val="22"/>
          <w:lang w:val="en-US"/>
        </w:rPr>
        <w:t xml:space="preserve">Encyclopedia of the Stateless Nations. </w:t>
      </w:r>
      <w:r w:rsidRPr="00424F2D">
        <w:rPr>
          <w:rFonts w:eastAsia="Times"/>
          <w:sz w:val="22"/>
          <w:szCs w:val="22"/>
          <w:lang w:val="en-US"/>
        </w:rPr>
        <w:t>Westport, CT: Greenwood Press, pp. 1491-1498.</w:t>
      </w:r>
    </w:p>
    <w:p w14:paraId="1D411B12" w14:textId="77777777" w:rsidR="00424F2D" w:rsidRPr="00424F2D" w:rsidRDefault="00424F2D" w:rsidP="007267B3">
      <w:pPr>
        <w:pStyle w:val="NormalWeb"/>
        <w:spacing w:before="0" w:beforeAutospacing="0" w:after="60" w:afterAutospacing="0"/>
        <w:ind w:left="709" w:hanging="709"/>
        <w:rPr>
          <w:sz w:val="22"/>
          <w:szCs w:val="22"/>
          <w:lang w:val="en-US"/>
        </w:rPr>
      </w:pPr>
      <w:r w:rsidRPr="00424F2D">
        <w:rPr>
          <w:sz w:val="22"/>
          <w:szCs w:val="22"/>
          <w:lang w:val="en-US"/>
        </w:rPr>
        <w:t xml:space="preserve">Minahan, James (2016). </w:t>
      </w:r>
      <w:r w:rsidRPr="00424F2D">
        <w:rPr>
          <w:i/>
          <w:iCs/>
          <w:sz w:val="22"/>
          <w:szCs w:val="22"/>
          <w:lang w:val="en-US"/>
        </w:rPr>
        <w:t>Encyclopedia of Stateless Nations.</w:t>
      </w:r>
      <w:r w:rsidRPr="00424F2D">
        <w:rPr>
          <w:sz w:val="22"/>
          <w:szCs w:val="22"/>
          <w:lang w:val="en-US"/>
        </w:rPr>
        <w:t xml:space="preserve"> Second Edition. Santa Barbara, CA: Greenwood Press.</w:t>
      </w:r>
    </w:p>
    <w:p w14:paraId="65B832C4" w14:textId="77777777" w:rsidR="00424F2D" w:rsidRPr="00424F2D" w:rsidRDefault="00424F2D" w:rsidP="007267B3">
      <w:pPr>
        <w:pStyle w:val="NormalWeb"/>
        <w:spacing w:before="0" w:beforeAutospacing="0" w:after="60" w:afterAutospacing="0"/>
        <w:ind w:left="709" w:hanging="709"/>
        <w:rPr>
          <w:rFonts w:eastAsia="Times"/>
          <w:sz w:val="22"/>
          <w:szCs w:val="22"/>
          <w:lang w:val="en-US"/>
        </w:rPr>
      </w:pPr>
      <w:r w:rsidRPr="00424F2D">
        <w:rPr>
          <w:rFonts w:eastAsia="Times"/>
          <w:sz w:val="22"/>
          <w:szCs w:val="22"/>
          <w:lang w:val="en-US"/>
        </w:rPr>
        <w:t>Minorities at Risk Project (2009). College Park, MD: University of Maryland.</w:t>
      </w:r>
    </w:p>
    <w:p w14:paraId="66807001" w14:textId="77777777" w:rsidR="00424F2D" w:rsidRPr="00424F2D" w:rsidRDefault="00424F2D" w:rsidP="007267B3">
      <w:pPr>
        <w:widowControl w:val="0"/>
        <w:spacing w:after="60"/>
        <w:ind w:left="709" w:hanging="709"/>
        <w:rPr>
          <w:szCs w:val="22"/>
        </w:rPr>
      </w:pPr>
      <w:r w:rsidRPr="00424F2D">
        <w:rPr>
          <w:szCs w:val="22"/>
        </w:rPr>
        <w:t xml:space="preserve">Minority Rights Group International. </w:t>
      </w:r>
      <w:r w:rsidRPr="00424F2D">
        <w:rPr>
          <w:i/>
          <w:szCs w:val="22"/>
        </w:rPr>
        <w:t>World Directory of Minorities and Indigenous Groups</w:t>
      </w:r>
      <w:r w:rsidRPr="00424F2D">
        <w:rPr>
          <w:szCs w:val="22"/>
        </w:rPr>
        <w:t xml:space="preserve">. </w:t>
      </w:r>
      <w:hyperlink r:id="rId12" w:history="1">
        <w:r w:rsidRPr="00424F2D">
          <w:rPr>
            <w:szCs w:val="22"/>
          </w:rPr>
          <w:t>http://minorityrights.org/directory/</w:t>
        </w:r>
      </w:hyperlink>
      <w:r w:rsidRPr="00424F2D">
        <w:rPr>
          <w:szCs w:val="22"/>
        </w:rPr>
        <w:t xml:space="preserve"> [November 9, 2021].</w:t>
      </w:r>
    </w:p>
    <w:p w14:paraId="6855B84B" w14:textId="77777777" w:rsidR="00424F2D" w:rsidRPr="00424F2D" w:rsidRDefault="00424F2D" w:rsidP="007267B3">
      <w:pPr>
        <w:widowControl w:val="0"/>
        <w:spacing w:after="60"/>
        <w:ind w:left="709" w:hanging="709"/>
        <w:rPr>
          <w:szCs w:val="22"/>
        </w:rPr>
      </w:pPr>
      <w:proofErr w:type="spellStart"/>
      <w:r w:rsidRPr="00424F2D">
        <w:rPr>
          <w:szCs w:val="22"/>
        </w:rPr>
        <w:t>Mosarwa</w:t>
      </w:r>
      <w:proofErr w:type="spellEnd"/>
      <w:r w:rsidRPr="00424F2D">
        <w:rPr>
          <w:szCs w:val="22"/>
        </w:rPr>
        <w:t xml:space="preserve">, Lubna and Mohamed, Edna (2021) ‘Lawyers demand evidence for Israeli terrorism claims against Palestinian NGOs’, </w:t>
      </w:r>
      <w:r w:rsidRPr="00424F2D">
        <w:rPr>
          <w:i/>
          <w:iCs/>
          <w:szCs w:val="22"/>
        </w:rPr>
        <w:t>Middle East Eye</w:t>
      </w:r>
      <w:r w:rsidRPr="00424F2D">
        <w:rPr>
          <w:szCs w:val="22"/>
        </w:rPr>
        <w:t xml:space="preserve">, 27 December. </w:t>
      </w:r>
      <w:hyperlink r:id="rId13" w:history="1">
        <w:r w:rsidRPr="00424F2D">
          <w:rPr>
            <w:rStyle w:val="Hyperlink"/>
            <w:szCs w:val="22"/>
          </w:rPr>
          <w:t>https://www.middleeasteye.net/news/israel-palestine-lawyers-demand-evidence-terror-claims-ngos</w:t>
        </w:r>
      </w:hyperlink>
      <w:r w:rsidRPr="00424F2D">
        <w:rPr>
          <w:szCs w:val="22"/>
        </w:rPr>
        <w:t>. [27 July 2022].</w:t>
      </w:r>
    </w:p>
    <w:p w14:paraId="3B8BFE99" w14:textId="77777777" w:rsidR="00424F2D" w:rsidRPr="00424F2D" w:rsidRDefault="00424F2D" w:rsidP="002C6EAC">
      <w:pPr>
        <w:ind w:left="720" w:hanging="720"/>
      </w:pPr>
      <w:r w:rsidRPr="00424F2D">
        <w:t xml:space="preserve">Petersson, Therese, Shawn Davis, Amber Deniz, </w:t>
      </w:r>
      <w:proofErr w:type="spellStart"/>
      <w:r w:rsidRPr="00424F2D">
        <w:t>Garoun</w:t>
      </w:r>
      <w:proofErr w:type="spellEnd"/>
      <w:r w:rsidRPr="00424F2D">
        <w:t xml:space="preserve"> Engström, Nanar </w:t>
      </w:r>
      <w:proofErr w:type="spellStart"/>
      <w:r w:rsidRPr="00424F2D">
        <w:t>Hawach</w:t>
      </w:r>
      <w:proofErr w:type="spellEnd"/>
      <w:r w:rsidRPr="00424F2D">
        <w:t xml:space="preserve">, Stina </w:t>
      </w:r>
      <w:proofErr w:type="spellStart"/>
      <w:r w:rsidRPr="00424F2D">
        <w:t>Högbladh</w:t>
      </w:r>
      <w:proofErr w:type="spellEnd"/>
      <w:r w:rsidRPr="00424F2D">
        <w:t xml:space="preserve">, Margareta </w:t>
      </w:r>
      <w:proofErr w:type="spellStart"/>
      <w:r w:rsidRPr="00424F2D">
        <w:t>Sollenberg</w:t>
      </w:r>
      <w:proofErr w:type="spellEnd"/>
      <w:r w:rsidRPr="00424F2D">
        <w:t xml:space="preserve">, and Magnus Öberg (2021). “Organized Violence 1989-2020, with a Special Emphasis on Syria.” </w:t>
      </w:r>
      <w:r w:rsidRPr="00424F2D">
        <w:rPr>
          <w:i/>
          <w:iCs/>
        </w:rPr>
        <w:t>Journal of Peace Research</w:t>
      </w:r>
      <w:r w:rsidRPr="00424F2D">
        <w:t xml:space="preserve"> 58(4): 809-825.</w:t>
      </w:r>
    </w:p>
    <w:p w14:paraId="04B2F5E6" w14:textId="77777777" w:rsidR="00424F2D" w:rsidRPr="00424F2D" w:rsidRDefault="00424F2D" w:rsidP="007267B3">
      <w:pPr>
        <w:widowControl w:val="0"/>
        <w:spacing w:after="60"/>
        <w:ind w:left="709" w:hanging="709"/>
        <w:rPr>
          <w:szCs w:val="22"/>
        </w:rPr>
      </w:pPr>
      <w:r w:rsidRPr="00424F2D">
        <w:rPr>
          <w:szCs w:val="22"/>
        </w:rPr>
        <w:t xml:space="preserve">PLO (1974). “Ten Point Plan.” </w:t>
      </w:r>
      <w:hyperlink r:id="rId14" w:history="1">
        <w:r w:rsidRPr="00424F2D">
          <w:rPr>
            <w:rStyle w:val="Hyperlink"/>
            <w:szCs w:val="22"/>
          </w:rPr>
          <w:t>https://www.jewishvirtuallibrary.org/ten-point-plan-of-the-plo-june-1974</w:t>
        </w:r>
      </w:hyperlink>
      <w:r w:rsidRPr="00424F2D">
        <w:rPr>
          <w:szCs w:val="22"/>
        </w:rPr>
        <w:t xml:space="preserve"> [April 1, 2022].</w:t>
      </w:r>
    </w:p>
    <w:p w14:paraId="60902283" w14:textId="77777777" w:rsidR="00424F2D" w:rsidRPr="00424F2D" w:rsidRDefault="00424F2D" w:rsidP="007267B3">
      <w:pPr>
        <w:pStyle w:val="NormalWeb"/>
        <w:spacing w:before="0" w:beforeAutospacing="0" w:after="60" w:afterAutospacing="0"/>
        <w:ind w:left="709" w:hanging="709"/>
        <w:jc w:val="both"/>
        <w:rPr>
          <w:sz w:val="22"/>
          <w:szCs w:val="22"/>
          <w:lang w:val="en-US"/>
        </w:rPr>
      </w:pPr>
      <w:r w:rsidRPr="00424F2D">
        <w:rPr>
          <w:sz w:val="22"/>
          <w:szCs w:val="22"/>
          <w:lang w:val="en-US"/>
        </w:rPr>
        <w:t xml:space="preserve">Roth, Christopher F. (2015). </w:t>
      </w:r>
      <w:r w:rsidRPr="00424F2D">
        <w:rPr>
          <w:i/>
          <w:iCs/>
          <w:sz w:val="22"/>
          <w:szCs w:val="22"/>
          <w:lang w:val="en-US"/>
        </w:rPr>
        <w:t>Let's Split! A Complete Guide to Separatist Movements and Aspirant Nations, from Abkhazia to Zanzibar.</w:t>
      </w:r>
      <w:r w:rsidRPr="00424F2D">
        <w:rPr>
          <w:sz w:val="22"/>
          <w:szCs w:val="22"/>
          <w:lang w:val="en-US"/>
        </w:rPr>
        <w:t xml:space="preserve"> Sacramento, CA: Litwin Books.</w:t>
      </w:r>
    </w:p>
    <w:p w14:paraId="1488F101" w14:textId="77777777" w:rsidR="00424F2D" w:rsidRPr="00424F2D" w:rsidRDefault="00424F2D" w:rsidP="002C6EAC">
      <w:pPr>
        <w:ind w:left="720" w:hanging="720"/>
      </w:pPr>
      <w:r w:rsidRPr="00424F2D">
        <w:t xml:space="preserve">Sambanis, Nicholas, &amp; </w:t>
      </w:r>
      <w:proofErr w:type="spellStart"/>
      <w:r w:rsidRPr="00424F2D">
        <w:t>Schulhofer</w:t>
      </w:r>
      <w:proofErr w:type="spellEnd"/>
      <w:r w:rsidRPr="00424F2D">
        <w:t xml:space="preserve">-Wohl, Jonas (2019). “Sovereignty Rupture as a Central Concept in Quantitative Measures of Civil War.” </w:t>
      </w:r>
      <w:r w:rsidRPr="00424F2D">
        <w:rPr>
          <w:i/>
          <w:iCs/>
        </w:rPr>
        <w:t>Journal of Conflict Resolution</w:t>
      </w:r>
      <w:r w:rsidRPr="00424F2D">
        <w:t xml:space="preserve"> 63(6): 1542–1578. </w:t>
      </w:r>
    </w:p>
    <w:p w14:paraId="64927F0A" w14:textId="77777777" w:rsidR="00424F2D" w:rsidRPr="00424F2D" w:rsidRDefault="00424F2D" w:rsidP="007267B3">
      <w:pPr>
        <w:pStyle w:val="NormalWeb"/>
        <w:spacing w:before="0" w:beforeAutospacing="0" w:after="60" w:afterAutospacing="0"/>
        <w:ind w:left="709" w:hanging="709"/>
        <w:rPr>
          <w:rFonts w:eastAsia="Times"/>
          <w:sz w:val="22"/>
          <w:szCs w:val="22"/>
          <w:lang w:val="en-US"/>
        </w:rPr>
      </w:pPr>
      <w:r w:rsidRPr="00424F2D">
        <w:rPr>
          <w:rFonts w:eastAsia="Times"/>
          <w:sz w:val="22"/>
          <w:szCs w:val="22"/>
          <w:lang w:val="en-US"/>
        </w:rPr>
        <w:t xml:space="preserve">UCDP Conflict Encyclopedia. </w:t>
      </w:r>
      <w:r w:rsidR="00000000">
        <w:fldChar w:fldCharType="begin"/>
      </w:r>
      <w:r w:rsidR="00000000" w:rsidRPr="00DD0F66">
        <w:rPr>
          <w:lang w:val="en-US"/>
        </w:rPr>
        <w:instrText>HYPERLINK "https://ucdp.uu.se/conflict/234%20%5b27"</w:instrText>
      </w:r>
      <w:r w:rsidR="00000000">
        <w:fldChar w:fldCharType="separate"/>
      </w:r>
      <w:r w:rsidRPr="00424F2D">
        <w:rPr>
          <w:rStyle w:val="Hyperlink"/>
          <w:rFonts w:eastAsia="Times"/>
          <w:sz w:val="22"/>
          <w:szCs w:val="22"/>
          <w:lang w:val="en-US"/>
        </w:rPr>
        <w:t>https://ucdp.uu.se/conflict/234 [27</w:t>
      </w:r>
      <w:r w:rsidR="00000000">
        <w:rPr>
          <w:rStyle w:val="Hyperlink"/>
          <w:rFonts w:eastAsia="Times"/>
          <w:sz w:val="22"/>
          <w:szCs w:val="22"/>
          <w:lang w:val="en-US"/>
        </w:rPr>
        <w:fldChar w:fldCharType="end"/>
      </w:r>
      <w:r w:rsidRPr="00424F2D">
        <w:rPr>
          <w:rFonts w:eastAsia="Times"/>
          <w:sz w:val="22"/>
          <w:szCs w:val="22"/>
          <w:lang w:val="en-US"/>
        </w:rPr>
        <w:t xml:space="preserve"> July 2022].</w:t>
      </w:r>
    </w:p>
    <w:p w14:paraId="63208E01" w14:textId="77777777" w:rsidR="00424F2D" w:rsidRPr="00424F2D" w:rsidRDefault="00424F2D" w:rsidP="007267B3">
      <w:pPr>
        <w:widowControl w:val="0"/>
        <w:spacing w:after="60"/>
        <w:ind w:left="709" w:hanging="709"/>
        <w:rPr>
          <w:rFonts w:cs="Times New Roman"/>
          <w:szCs w:val="22"/>
        </w:rPr>
      </w:pPr>
      <w:r w:rsidRPr="00424F2D">
        <w:rPr>
          <w:rFonts w:cs="Times New Roman"/>
          <w:szCs w:val="22"/>
        </w:rPr>
        <w:t xml:space="preserve">Vogt, Manuel, Nils-Christian Bormann, Seraina Rüegger, Lars-Erik </w:t>
      </w:r>
      <w:proofErr w:type="spellStart"/>
      <w:r w:rsidRPr="00424F2D">
        <w:rPr>
          <w:rFonts w:cs="Times New Roman"/>
          <w:szCs w:val="22"/>
        </w:rPr>
        <w:t>Cederman</w:t>
      </w:r>
      <w:proofErr w:type="spellEnd"/>
      <w:r w:rsidRPr="00424F2D">
        <w:rPr>
          <w:rFonts w:cs="Times New Roman"/>
          <w:szCs w:val="22"/>
        </w:rPr>
        <w:t xml:space="preserve">, Philipp Hunziker, and Luc Girardin (2015). “Integrating Data on Ethnicity, Geography, and Conflict: The Ethnic Power Relations Data Set Family.” </w:t>
      </w:r>
      <w:r w:rsidRPr="00424F2D">
        <w:rPr>
          <w:rFonts w:cs="Times New Roman"/>
          <w:i/>
          <w:iCs/>
          <w:szCs w:val="22"/>
        </w:rPr>
        <w:t>Journal of Conflict Resolution</w:t>
      </w:r>
      <w:r w:rsidRPr="00424F2D">
        <w:rPr>
          <w:rFonts w:cs="Times New Roman"/>
          <w:szCs w:val="22"/>
        </w:rPr>
        <w:t xml:space="preserve"> 59(7): 1327-1342.</w:t>
      </w:r>
    </w:p>
    <w:p w14:paraId="72F4A15D" w14:textId="77777777" w:rsidR="00424F2D" w:rsidRPr="007A3E76" w:rsidRDefault="00424F2D" w:rsidP="007267B3">
      <w:pPr>
        <w:widowControl w:val="0"/>
        <w:spacing w:after="60"/>
        <w:ind w:left="709" w:hanging="709"/>
        <w:rPr>
          <w:rFonts w:cs="Times New Roman"/>
          <w:szCs w:val="22"/>
        </w:rPr>
      </w:pPr>
      <w:r w:rsidRPr="00424F2D">
        <w:rPr>
          <w:rFonts w:cs="Times New Roman"/>
          <w:szCs w:val="22"/>
        </w:rPr>
        <w:t xml:space="preserve">Zaher, Sawsan (2021)’ Israel has outlawed six Palestinian human rights organizations. Why?’, </w:t>
      </w:r>
      <w:r w:rsidRPr="00424F2D">
        <w:rPr>
          <w:rFonts w:cs="Times New Roman"/>
          <w:i/>
          <w:iCs/>
          <w:szCs w:val="22"/>
        </w:rPr>
        <w:t>Open Democracy</w:t>
      </w:r>
      <w:r w:rsidRPr="00424F2D">
        <w:rPr>
          <w:rFonts w:cs="Times New Roman"/>
          <w:szCs w:val="22"/>
        </w:rPr>
        <w:t xml:space="preserve">. </w:t>
      </w:r>
      <w:hyperlink r:id="rId15" w:history="1">
        <w:r w:rsidRPr="00424F2D">
          <w:rPr>
            <w:rStyle w:val="Hyperlink"/>
            <w:rFonts w:cs="Times New Roman"/>
            <w:szCs w:val="22"/>
          </w:rPr>
          <w:t>https://www.opendemocracy.net/en/north-africa-west-asia/israel-has-outlawed-six-palestinian-human-rights-organizations-why/</w:t>
        </w:r>
      </w:hyperlink>
      <w:r w:rsidRPr="00424F2D">
        <w:rPr>
          <w:rFonts w:cs="Times New Roman"/>
          <w:szCs w:val="22"/>
        </w:rPr>
        <w:t>. [27 July 2022].</w:t>
      </w:r>
    </w:p>
    <w:p w14:paraId="0C6CBECC" w14:textId="71DB5774" w:rsidR="004C3762" w:rsidRDefault="004C3762">
      <w:pPr>
        <w:spacing w:after="200" w:line="276" w:lineRule="auto"/>
      </w:pPr>
    </w:p>
    <w:sectPr w:rsidR="004C3762" w:rsidSect="00377142">
      <w:footerReference w:type="default" r:id="rId16"/>
      <w:headerReference w:type="first" r:id="rId1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69EC" w14:textId="77777777" w:rsidR="00316433" w:rsidRDefault="00316433" w:rsidP="00A76598">
      <w:r>
        <w:separator/>
      </w:r>
    </w:p>
  </w:endnote>
  <w:endnote w:type="continuationSeparator" w:id="0">
    <w:p w14:paraId="6D14F874" w14:textId="77777777" w:rsidR="00316433" w:rsidRDefault="00316433"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AADF5" w14:textId="77777777" w:rsidR="00316433" w:rsidRPr="00ED0D02" w:rsidRDefault="00316433" w:rsidP="00ED0D02">
      <w:pPr>
        <w:pStyle w:val="Footer"/>
      </w:pPr>
      <w:r>
        <w:separator/>
      </w:r>
    </w:p>
  </w:footnote>
  <w:footnote w:type="continuationSeparator" w:id="0">
    <w:p w14:paraId="2027D59B" w14:textId="77777777" w:rsidR="00316433" w:rsidRDefault="00316433"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E6F60FC"/>
    <w:multiLevelType w:val="hybridMultilevel"/>
    <w:tmpl w:val="DA3A8F72"/>
    <w:lvl w:ilvl="0" w:tplc="1898D5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AA67FC"/>
    <w:multiLevelType w:val="hybridMultilevel"/>
    <w:tmpl w:val="C7C2D3B4"/>
    <w:lvl w:ilvl="0" w:tplc="97FAEA7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81015559">
    <w:abstractNumId w:val="47"/>
  </w:num>
  <w:num w:numId="2" w16cid:durableId="974413394">
    <w:abstractNumId w:val="64"/>
  </w:num>
  <w:num w:numId="3" w16cid:durableId="106853431">
    <w:abstractNumId w:val="32"/>
  </w:num>
  <w:num w:numId="4" w16cid:durableId="425806215">
    <w:abstractNumId w:val="51"/>
  </w:num>
  <w:num w:numId="5" w16cid:durableId="5908213">
    <w:abstractNumId w:val="22"/>
  </w:num>
  <w:num w:numId="6" w16cid:durableId="1940522685">
    <w:abstractNumId w:val="20"/>
  </w:num>
  <w:num w:numId="7" w16cid:durableId="1092966770">
    <w:abstractNumId w:val="48"/>
  </w:num>
  <w:num w:numId="8" w16cid:durableId="553856045">
    <w:abstractNumId w:val="56"/>
  </w:num>
  <w:num w:numId="9" w16cid:durableId="1767311702">
    <w:abstractNumId w:val="55"/>
  </w:num>
  <w:num w:numId="10" w16cid:durableId="2087805374">
    <w:abstractNumId w:val="52"/>
  </w:num>
  <w:num w:numId="11" w16cid:durableId="1552497565">
    <w:abstractNumId w:val="45"/>
  </w:num>
  <w:num w:numId="12" w16cid:durableId="133646606">
    <w:abstractNumId w:val="4"/>
  </w:num>
  <w:num w:numId="13" w16cid:durableId="1630739973">
    <w:abstractNumId w:val="42"/>
  </w:num>
  <w:num w:numId="14" w16cid:durableId="1223516728">
    <w:abstractNumId w:val="35"/>
  </w:num>
  <w:num w:numId="15" w16cid:durableId="1831285432">
    <w:abstractNumId w:val="39"/>
  </w:num>
  <w:num w:numId="16" w16cid:durableId="154343800">
    <w:abstractNumId w:val="41"/>
  </w:num>
  <w:num w:numId="17" w16cid:durableId="330566941">
    <w:abstractNumId w:val="68"/>
  </w:num>
  <w:num w:numId="18" w16cid:durableId="1799957079">
    <w:abstractNumId w:val="36"/>
  </w:num>
  <w:num w:numId="19" w16cid:durableId="2028633285">
    <w:abstractNumId w:val="17"/>
  </w:num>
  <w:num w:numId="20" w16cid:durableId="1377387419">
    <w:abstractNumId w:val="10"/>
  </w:num>
  <w:num w:numId="21" w16cid:durableId="981806874">
    <w:abstractNumId w:val="69"/>
  </w:num>
  <w:num w:numId="22" w16cid:durableId="1975599203">
    <w:abstractNumId w:val="25"/>
  </w:num>
  <w:num w:numId="23" w16cid:durableId="1201357602">
    <w:abstractNumId w:val="38"/>
  </w:num>
  <w:num w:numId="24" w16cid:durableId="1633707893">
    <w:abstractNumId w:val="14"/>
  </w:num>
  <w:num w:numId="25" w16cid:durableId="305281903">
    <w:abstractNumId w:val="6"/>
  </w:num>
  <w:num w:numId="26" w16cid:durableId="1008141948">
    <w:abstractNumId w:val="65"/>
  </w:num>
  <w:num w:numId="27" w16cid:durableId="419184680">
    <w:abstractNumId w:val="12"/>
  </w:num>
  <w:num w:numId="28" w16cid:durableId="644971426">
    <w:abstractNumId w:val="23"/>
  </w:num>
  <w:num w:numId="29" w16cid:durableId="195653995">
    <w:abstractNumId w:val="18"/>
  </w:num>
  <w:num w:numId="30" w16cid:durableId="1592622142">
    <w:abstractNumId w:val="44"/>
  </w:num>
  <w:num w:numId="31" w16cid:durableId="1676956343">
    <w:abstractNumId w:val="66"/>
  </w:num>
  <w:num w:numId="32" w16cid:durableId="1822769490">
    <w:abstractNumId w:val="11"/>
  </w:num>
  <w:num w:numId="33" w16cid:durableId="1198935733">
    <w:abstractNumId w:val="3"/>
  </w:num>
  <w:num w:numId="34" w16cid:durableId="733623255">
    <w:abstractNumId w:val="19"/>
  </w:num>
  <w:num w:numId="35" w16cid:durableId="2146391910">
    <w:abstractNumId w:val="9"/>
  </w:num>
  <w:num w:numId="36" w16cid:durableId="87896363">
    <w:abstractNumId w:val="0"/>
  </w:num>
  <w:num w:numId="37" w16cid:durableId="1046562856">
    <w:abstractNumId w:val="60"/>
  </w:num>
  <w:num w:numId="38" w16cid:durableId="1933120437">
    <w:abstractNumId w:val="8"/>
  </w:num>
  <w:num w:numId="39" w16cid:durableId="574358967">
    <w:abstractNumId w:val="46"/>
  </w:num>
  <w:num w:numId="40" w16cid:durableId="17127831">
    <w:abstractNumId w:val="37"/>
  </w:num>
  <w:num w:numId="41" w16cid:durableId="220875035">
    <w:abstractNumId w:val="15"/>
  </w:num>
  <w:num w:numId="42" w16cid:durableId="249195022">
    <w:abstractNumId w:val="21"/>
  </w:num>
  <w:num w:numId="43" w16cid:durableId="321201985">
    <w:abstractNumId w:val="16"/>
  </w:num>
  <w:num w:numId="44" w16cid:durableId="424375816">
    <w:abstractNumId w:val="61"/>
  </w:num>
  <w:num w:numId="45" w16cid:durableId="1072431798">
    <w:abstractNumId w:val="24"/>
  </w:num>
  <w:num w:numId="46" w16cid:durableId="1868985650">
    <w:abstractNumId w:val="7"/>
  </w:num>
  <w:num w:numId="47" w16cid:durableId="966590743">
    <w:abstractNumId w:val="53"/>
  </w:num>
  <w:num w:numId="48" w16cid:durableId="464935150">
    <w:abstractNumId w:val="26"/>
  </w:num>
  <w:num w:numId="49" w16cid:durableId="1802459286">
    <w:abstractNumId w:val="34"/>
  </w:num>
  <w:num w:numId="50" w16cid:durableId="492767413">
    <w:abstractNumId w:val="59"/>
  </w:num>
  <w:num w:numId="51" w16cid:durableId="299266441">
    <w:abstractNumId w:val="53"/>
  </w:num>
  <w:num w:numId="52" w16cid:durableId="592011663">
    <w:abstractNumId w:val="62"/>
  </w:num>
  <w:num w:numId="53" w16cid:durableId="1628929059">
    <w:abstractNumId w:val="54"/>
  </w:num>
  <w:num w:numId="54" w16cid:durableId="497505395">
    <w:abstractNumId w:val="67"/>
  </w:num>
  <w:num w:numId="55" w16cid:durableId="813451263">
    <w:abstractNumId w:val="2"/>
  </w:num>
  <w:num w:numId="56" w16cid:durableId="818159101">
    <w:abstractNumId w:val="31"/>
  </w:num>
  <w:num w:numId="57" w16cid:durableId="2087192170">
    <w:abstractNumId w:val="50"/>
  </w:num>
  <w:num w:numId="58" w16cid:durableId="1435319226">
    <w:abstractNumId w:val="29"/>
  </w:num>
  <w:num w:numId="59" w16cid:durableId="1742750228">
    <w:abstractNumId w:val="43"/>
  </w:num>
  <w:num w:numId="60" w16cid:durableId="1597860846">
    <w:abstractNumId w:val="40"/>
  </w:num>
  <w:num w:numId="61" w16cid:durableId="336731071">
    <w:abstractNumId w:val="63"/>
  </w:num>
  <w:num w:numId="62" w16cid:durableId="1895891850">
    <w:abstractNumId w:val="30"/>
  </w:num>
  <w:num w:numId="63" w16cid:durableId="1123619733">
    <w:abstractNumId w:val="71"/>
  </w:num>
  <w:num w:numId="64" w16cid:durableId="779641775">
    <w:abstractNumId w:val="5"/>
  </w:num>
  <w:num w:numId="65" w16cid:durableId="761074108">
    <w:abstractNumId w:val="1"/>
  </w:num>
  <w:num w:numId="66" w16cid:durableId="944964053">
    <w:abstractNumId w:val="27"/>
  </w:num>
  <w:num w:numId="67" w16cid:durableId="271475811">
    <w:abstractNumId w:val="58"/>
  </w:num>
  <w:num w:numId="68" w16cid:durableId="1507555028">
    <w:abstractNumId w:val="33"/>
  </w:num>
  <w:num w:numId="69" w16cid:durableId="1601454305">
    <w:abstractNumId w:val="4"/>
  </w:num>
  <w:num w:numId="70" w16cid:durableId="647635664">
    <w:abstractNumId w:val="57"/>
  </w:num>
  <w:num w:numId="71" w16cid:durableId="808202660">
    <w:abstractNumId w:val="13"/>
  </w:num>
  <w:num w:numId="72" w16cid:durableId="1463186858">
    <w:abstractNumId w:val="70"/>
  </w:num>
  <w:num w:numId="73" w16cid:durableId="1533221867">
    <w:abstractNumId w:val="28"/>
  </w:num>
  <w:num w:numId="74" w16cid:durableId="1016269336">
    <w:abstractNumId w:val="4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2FC6"/>
    <w:rsid w:val="00003BAD"/>
    <w:rsid w:val="00004572"/>
    <w:rsid w:val="00004E48"/>
    <w:rsid w:val="000068E3"/>
    <w:rsid w:val="000069D2"/>
    <w:rsid w:val="000079C9"/>
    <w:rsid w:val="00007C2F"/>
    <w:rsid w:val="000101F9"/>
    <w:rsid w:val="00010E87"/>
    <w:rsid w:val="0001159C"/>
    <w:rsid w:val="00011BAA"/>
    <w:rsid w:val="00011FC1"/>
    <w:rsid w:val="00012307"/>
    <w:rsid w:val="00012A89"/>
    <w:rsid w:val="00012BB2"/>
    <w:rsid w:val="00013542"/>
    <w:rsid w:val="00013DE3"/>
    <w:rsid w:val="000143EF"/>
    <w:rsid w:val="0001466E"/>
    <w:rsid w:val="000157DA"/>
    <w:rsid w:val="00015980"/>
    <w:rsid w:val="000165F9"/>
    <w:rsid w:val="00017608"/>
    <w:rsid w:val="00017C7E"/>
    <w:rsid w:val="000210DE"/>
    <w:rsid w:val="00021C31"/>
    <w:rsid w:val="00022960"/>
    <w:rsid w:val="00022EA2"/>
    <w:rsid w:val="00024A95"/>
    <w:rsid w:val="0002532C"/>
    <w:rsid w:val="00025E2B"/>
    <w:rsid w:val="000262AC"/>
    <w:rsid w:val="000265C2"/>
    <w:rsid w:val="0002675B"/>
    <w:rsid w:val="00027391"/>
    <w:rsid w:val="00027DED"/>
    <w:rsid w:val="00030128"/>
    <w:rsid w:val="00032418"/>
    <w:rsid w:val="00033F47"/>
    <w:rsid w:val="00034F16"/>
    <w:rsid w:val="00036A9F"/>
    <w:rsid w:val="00037191"/>
    <w:rsid w:val="000373F7"/>
    <w:rsid w:val="000375E0"/>
    <w:rsid w:val="0003784F"/>
    <w:rsid w:val="00037B16"/>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0610"/>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65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E2F"/>
    <w:rsid w:val="000F7F62"/>
    <w:rsid w:val="001006D6"/>
    <w:rsid w:val="00101C0C"/>
    <w:rsid w:val="00102219"/>
    <w:rsid w:val="001026AE"/>
    <w:rsid w:val="00103EA6"/>
    <w:rsid w:val="001046D9"/>
    <w:rsid w:val="001063E1"/>
    <w:rsid w:val="00106D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11C"/>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050E"/>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5104"/>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2063"/>
    <w:rsid w:val="001749E3"/>
    <w:rsid w:val="001750B9"/>
    <w:rsid w:val="001766C9"/>
    <w:rsid w:val="00180323"/>
    <w:rsid w:val="00180D32"/>
    <w:rsid w:val="0018124C"/>
    <w:rsid w:val="00181E16"/>
    <w:rsid w:val="00181F91"/>
    <w:rsid w:val="00182647"/>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1AD8"/>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494B"/>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078"/>
    <w:rsid w:val="00214181"/>
    <w:rsid w:val="002146DB"/>
    <w:rsid w:val="00214A25"/>
    <w:rsid w:val="00215394"/>
    <w:rsid w:val="00215840"/>
    <w:rsid w:val="00215861"/>
    <w:rsid w:val="002159EE"/>
    <w:rsid w:val="00215A22"/>
    <w:rsid w:val="0021676F"/>
    <w:rsid w:val="00216E9D"/>
    <w:rsid w:val="00217E79"/>
    <w:rsid w:val="002209C6"/>
    <w:rsid w:val="00220B3B"/>
    <w:rsid w:val="00220C68"/>
    <w:rsid w:val="00220DF7"/>
    <w:rsid w:val="00220F7E"/>
    <w:rsid w:val="002214AB"/>
    <w:rsid w:val="00222971"/>
    <w:rsid w:val="00222E78"/>
    <w:rsid w:val="002232CD"/>
    <w:rsid w:val="0022478F"/>
    <w:rsid w:val="002247D3"/>
    <w:rsid w:val="00225412"/>
    <w:rsid w:val="002259EE"/>
    <w:rsid w:val="00225D50"/>
    <w:rsid w:val="00227076"/>
    <w:rsid w:val="002277F7"/>
    <w:rsid w:val="0023059D"/>
    <w:rsid w:val="002311D5"/>
    <w:rsid w:val="002337B4"/>
    <w:rsid w:val="002340D6"/>
    <w:rsid w:val="00234188"/>
    <w:rsid w:val="0023433D"/>
    <w:rsid w:val="00235980"/>
    <w:rsid w:val="00236303"/>
    <w:rsid w:val="00236628"/>
    <w:rsid w:val="00236C72"/>
    <w:rsid w:val="0023786E"/>
    <w:rsid w:val="00237F27"/>
    <w:rsid w:val="00240357"/>
    <w:rsid w:val="0024036F"/>
    <w:rsid w:val="002404BA"/>
    <w:rsid w:val="002407AF"/>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8EB"/>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4DF"/>
    <w:rsid w:val="00283D71"/>
    <w:rsid w:val="00284E84"/>
    <w:rsid w:val="00284EF8"/>
    <w:rsid w:val="002852E4"/>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43E"/>
    <w:rsid w:val="002A55AE"/>
    <w:rsid w:val="002A6780"/>
    <w:rsid w:val="002A7108"/>
    <w:rsid w:val="002A723E"/>
    <w:rsid w:val="002A7DA3"/>
    <w:rsid w:val="002B0BFA"/>
    <w:rsid w:val="002B1A2E"/>
    <w:rsid w:val="002B1D5C"/>
    <w:rsid w:val="002B2036"/>
    <w:rsid w:val="002B20E2"/>
    <w:rsid w:val="002B261A"/>
    <w:rsid w:val="002B2744"/>
    <w:rsid w:val="002B2FBD"/>
    <w:rsid w:val="002B3995"/>
    <w:rsid w:val="002B3B60"/>
    <w:rsid w:val="002B3C70"/>
    <w:rsid w:val="002B3EA9"/>
    <w:rsid w:val="002B43B5"/>
    <w:rsid w:val="002B467D"/>
    <w:rsid w:val="002B48F9"/>
    <w:rsid w:val="002B4C56"/>
    <w:rsid w:val="002B50FA"/>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6EAC"/>
    <w:rsid w:val="002C6FC9"/>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225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2F7ABB"/>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433"/>
    <w:rsid w:val="00316651"/>
    <w:rsid w:val="0031696B"/>
    <w:rsid w:val="00316982"/>
    <w:rsid w:val="00320CA1"/>
    <w:rsid w:val="0032143B"/>
    <w:rsid w:val="003223E2"/>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B88"/>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1CA"/>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289E"/>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176A"/>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9A7"/>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4F2D"/>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338"/>
    <w:rsid w:val="0043670A"/>
    <w:rsid w:val="00436728"/>
    <w:rsid w:val="004367C7"/>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C2"/>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5EA5"/>
    <w:rsid w:val="00486031"/>
    <w:rsid w:val="004861D3"/>
    <w:rsid w:val="004863C7"/>
    <w:rsid w:val="004866ED"/>
    <w:rsid w:val="00487488"/>
    <w:rsid w:val="00487518"/>
    <w:rsid w:val="00487799"/>
    <w:rsid w:val="004904FE"/>
    <w:rsid w:val="004905F5"/>
    <w:rsid w:val="00490919"/>
    <w:rsid w:val="00490A89"/>
    <w:rsid w:val="004920B3"/>
    <w:rsid w:val="00492B60"/>
    <w:rsid w:val="00493727"/>
    <w:rsid w:val="0049372C"/>
    <w:rsid w:val="00493FE0"/>
    <w:rsid w:val="0049406C"/>
    <w:rsid w:val="00494B41"/>
    <w:rsid w:val="004976A3"/>
    <w:rsid w:val="00497E75"/>
    <w:rsid w:val="004A08C2"/>
    <w:rsid w:val="004A1BF0"/>
    <w:rsid w:val="004A2912"/>
    <w:rsid w:val="004A463F"/>
    <w:rsid w:val="004A4D17"/>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29"/>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1B59"/>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1D62"/>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227"/>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3D11"/>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6646"/>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6741B"/>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3CD0"/>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151B"/>
    <w:rsid w:val="006A1E20"/>
    <w:rsid w:val="006A30AB"/>
    <w:rsid w:val="006A3524"/>
    <w:rsid w:val="006A3D6A"/>
    <w:rsid w:val="006A3F96"/>
    <w:rsid w:val="006A416E"/>
    <w:rsid w:val="006A4428"/>
    <w:rsid w:val="006A461B"/>
    <w:rsid w:val="006A46DA"/>
    <w:rsid w:val="006A4F9C"/>
    <w:rsid w:val="006A50F1"/>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0D94"/>
    <w:rsid w:val="006D1010"/>
    <w:rsid w:val="006D16B9"/>
    <w:rsid w:val="006D1DED"/>
    <w:rsid w:val="006D2B3F"/>
    <w:rsid w:val="006D368E"/>
    <w:rsid w:val="006D4287"/>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A19"/>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616"/>
    <w:rsid w:val="006F6731"/>
    <w:rsid w:val="006F6E11"/>
    <w:rsid w:val="006F75FF"/>
    <w:rsid w:val="006F7F8B"/>
    <w:rsid w:val="00700157"/>
    <w:rsid w:val="00703D84"/>
    <w:rsid w:val="007041DB"/>
    <w:rsid w:val="00704BA8"/>
    <w:rsid w:val="007051C1"/>
    <w:rsid w:val="00705B0C"/>
    <w:rsid w:val="00705FD4"/>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6139"/>
    <w:rsid w:val="007170F4"/>
    <w:rsid w:val="00722EBB"/>
    <w:rsid w:val="00723034"/>
    <w:rsid w:val="00723C3E"/>
    <w:rsid w:val="00724DFD"/>
    <w:rsid w:val="007267B3"/>
    <w:rsid w:val="00730285"/>
    <w:rsid w:val="00730FF8"/>
    <w:rsid w:val="00731A29"/>
    <w:rsid w:val="00731D0F"/>
    <w:rsid w:val="00731FE9"/>
    <w:rsid w:val="0073502A"/>
    <w:rsid w:val="0073534F"/>
    <w:rsid w:val="007357D5"/>
    <w:rsid w:val="007359B2"/>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4CF"/>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3912"/>
    <w:rsid w:val="007A3E76"/>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B7F89"/>
    <w:rsid w:val="007C02F6"/>
    <w:rsid w:val="007C0582"/>
    <w:rsid w:val="007C1209"/>
    <w:rsid w:val="007C20CA"/>
    <w:rsid w:val="007C25FE"/>
    <w:rsid w:val="007C2A3D"/>
    <w:rsid w:val="007C2CBA"/>
    <w:rsid w:val="007C4E80"/>
    <w:rsid w:val="007C5778"/>
    <w:rsid w:val="007C6609"/>
    <w:rsid w:val="007C6DE8"/>
    <w:rsid w:val="007C70BC"/>
    <w:rsid w:val="007C7C2D"/>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212"/>
    <w:rsid w:val="007E0DED"/>
    <w:rsid w:val="007E0E96"/>
    <w:rsid w:val="007E1EF4"/>
    <w:rsid w:val="007E1F2C"/>
    <w:rsid w:val="007E2B2E"/>
    <w:rsid w:val="007E3C24"/>
    <w:rsid w:val="007E4650"/>
    <w:rsid w:val="007E4BDD"/>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C41"/>
    <w:rsid w:val="00802DE3"/>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7DB"/>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15D"/>
    <w:rsid w:val="008335B1"/>
    <w:rsid w:val="00833E89"/>
    <w:rsid w:val="00834694"/>
    <w:rsid w:val="0083472C"/>
    <w:rsid w:val="00834848"/>
    <w:rsid w:val="00835B4A"/>
    <w:rsid w:val="00835C86"/>
    <w:rsid w:val="00835F96"/>
    <w:rsid w:val="0083602E"/>
    <w:rsid w:val="00836593"/>
    <w:rsid w:val="008368CE"/>
    <w:rsid w:val="008368E1"/>
    <w:rsid w:val="0083726D"/>
    <w:rsid w:val="00837D82"/>
    <w:rsid w:val="00837E03"/>
    <w:rsid w:val="00840D7A"/>
    <w:rsid w:val="00840E2A"/>
    <w:rsid w:val="00840F8C"/>
    <w:rsid w:val="00841EAE"/>
    <w:rsid w:val="00842258"/>
    <w:rsid w:val="008422E6"/>
    <w:rsid w:val="00843237"/>
    <w:rsid w:val="00845378"/>
    <w:rsid w:val="0084581A"/>
    <w:rsid w:val="00846A62"/>
    <w:rsid w:val="00846B2E"/>
    <w:rsid w:val="00846CA0"/>
    <w:rsid w:val="0085050D"/>
    <w:rsid w:val="00850A5D"/>
    <w:rsid w:val="00850E3F"/>
    <w:rsid w:val="00852100"/>
    <w:rsid w:val="0085314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64"/>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A89"/>
    <w:rsid w:val="008B7DE2"/>
    <w:rsid w:val="008B7EB3"/>
    <w:rsid w:val="008C043B"/>
    <w:rsid w:val="008C0560"/>
    <w:rsid w:val="008C1D39"/>
    <w:rsid w:val="008C26B3"/>
    <w:rsid w:val="008C31B5"/>
    <w:rsid w:val="008C3243"/>
    <w:rsid w:val="008C32B6"/>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632A"/>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2CF"/>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4B4"/>
    <w:rsid w:val="009879B4"/>
    <w:rsid w:val="00987BDE"/>
    <w:rsid w:val="00987C97"/>
    <w:rsid w:val="009901A5"/>
    <w:rsid w:val="00991845"/>
    <w:rsid w:val="00992223"/>
    <w:rsid w:val="00992B3B"/>
    <w:rsid w:val="009930FE"/>
    <w:rsid w:val="00993543"/>
    <w:rsid w:val="00993835"/>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6EC"/>
    <w:rsid w:val="009A4B3A"/>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2E2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0762"/>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27606"/>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387"/>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66C46"/>
    <w:rsid w:val="00A70EF5"/>
    <w:rsid w:val="00A71848"/>
    <w:rsid w:val="00A723BF"/>
    <w:rsid w:val="00A72C64"/>
    <w:rsid w:val="00A737FB"/>
    <w:rsid w:val="00A73E02"/>
    <w:rsid w:val="00A742BB"/>
    <w:rsid w:val="00A750D3"/>
    <w:rsid w:val="00A752D4"/>
    <w:rsid w:val="00A76191"/>
    <w:rsid w:val="00A764DB"/>
    <w:rsid w:val="00A76598"/>
    <w:rsid w:val="00A766C8"/>
    <w:rsid w:val="00A76A05"/>
    <w:rsid w:val="00A76B79"/>
    <w:rsid w:val="00A80338"/>
    <w:rsid w:val="00A805F3"/>
    <w:rsid w:val="00A8123E"/>
    <w:rsid w:val="00A81A7C"/>
    <w:rsid w:val="00A81F54"/>
    <w:rsid w:val="00A829E7"/>
    <w:rsid w:val="00A83C8F"/>
    <w:rsid w:val="00A841EB"/>
    <w:rsid w:val="00A84631"/>
    <w:rsid w:val="00A846A0"/>
    <w:rsid w:val="00A84E40"/>
    <w:rsid w:val="00A856B5"/>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51E5"/>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45EB"/>
    <w:rsid w:val="00AD4FCC"/>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6C5"/>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8A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A85"/>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416"/>
    <w:rsid w:val="00B426D7"/>
    <w:rsid w:val="00B42949"/>
    <w:rsid w:val="00B43901"/>
    <w:rsid w:val="00B43A13"/>
    <w:rsid w:val="00B43BF3"/>
    <w:rsid w:val="00B43D1B"/>
    <w:rsid w:val="00B43E8B"/>
    <w:rsid w:val="00B441CA"/>
    <w:rsid w:val="00B4518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2"/>
    <w:rsid w:val="00B634AC"/>
    <w:rsid w:val="00B63664"/>
    <w:rsid w:val="00B63A1B"/>
    <w:rsid w:val="00B65FC0"/>
    <w:rsid w:val="00B6699A"/>
    <w:rsid w:val="00B66DE3"/>
    <w:rsid w:val="00B66F68"/>
    <w:rsid w:val="00B672A4"/>
    <w:rsid w:val="00B70129"/>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2D6"/>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29F4"/>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24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9EE"/>
    <w:rsid w:val="00C75C3F"/>
    <w:rsid w:val="00C76999"/>
    <w:rsid w:val="00C7762B"/>
    <w:rsid w:val="00C8084D"/>
    <w:rsid w:val="00C81297"/>
    <w:rsid w:val="00C81784"/>
    <w:rsid w:val="00C81C5B"/>
    <w:rsid w:val="00C81D17"/>
    <w:rsid w:val="00C83021"/>
    <w:rsid w:val="00C83145"/>
    <w:rsid w:val="00C83187"/>
    <w:rsid w:val="00C843CC"/>
    <w:rsid w:val="00C8465C"/>
    <w:rsid w:val="00C8501D"/>
    <w:rsid w:val="00C8684B"/>
    <w:rsid w:val="00C86AD5"/>
    <w:rsid w:val="00C86E2E"/>
    <w:rsid w:val="00C87CC0"/>
    <w:rsid w:val="00C87E8E"/>
    <w:rsid w:val="00C900D2"/>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892"/>
    <w:rsid w:val="00CD7BA9"/>
    <w:rsid w:val="00CE0342"/>
    <w:rsid w:val="00CE0E3E"/>
    <w:rsid w:val="00CE1212"/>
    <w:rsid w:val="00CE1AB7"/>
    <w:rsid w:val="00CE1B8E"/>
    <w:rsid w:val="00CE2741"/>
    <w:rsid w:val="00CE2B5E"/>
    <w:rsid w:val="00CE2E04"/>
    <w:rsid w:val="00CE30A9"/>
    <w:rsid w:val="00CE4750"/>
    <w:rsid w:val="00CE7069"/>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20A7"/>
    <w:rsid w:val="00D025D6"/>
    <w:rsid w:val="00D03173"/>
    <w:rsid w:val="00D0323F"/>
    <w:rsid w:val="00D0359D"/>
    <w:rsid w:val="00D035B9"/>
    <w:rsid w:val="00D04173"/>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09D6"/>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CA6"/>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0B67"/>
    <w:rsid w:val="00D91447"/>
    <w:rsid w:val="00D917C7"/>
    <w:rsid w:val="00D9257A"/>
    <w:rsid w:val="00D937D4"/>
    <w:rsid w:val="00D93968"/>
    <w:rsid w:val="00D944A8"/>
    <w:rsid w:val="00D94AB4"/>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2659"/>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0F66"/>
    <w:rsid w:val="00DD1859"/>
    <w:rsid w:val="00DD2F06"/>
    <w:rsid w:val="00DD4C03"/>
    <w:rsid w:val="00DD5C4D"/>
    <w:rsid w:val="00DD5EFA"/>
    <w:rsid w:val="00DD66E0"/>
    <w:rsid w:val="00DD6A3E"/>
    <w:rsid w:val="00DD7A33"/>
    <w:rsid w:val="00DD7E40"/>
    <w:rsid w:val="00DD7EB7"/>
    <w:rsid w:val="00DE1093"/>
    <w:rsid w:val="00DE1314"/>
    <w:rsid w:val="00DE1704"/>
    <w:rsid w:val="00DE1FCD"/>
    <w:rsid w:val="00DE24C3"/>
    <w:rsid w:val="00DE338E"/>
    <w:rsid w:val="00DE3989"/>
    <w:rsid w:val="00DE39D5"/>
    <w:rsid w:val="00DE4023"/>
    <w:rsid w:val="00DE476B"/>
    <w:rsid w:val="00DE5D9A"/>
    <w:rsid w:val="00DE65D6"/>
    <w:rsid w:val="00DE6733"/>
    <w:rsid w:val="00DE7A61"/>
    <w:rsid w:val="00DF02E5"/>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1A"/>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5C1"/>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C04"/>
    <w:rsid w:val="00E50208"/>
    <w:rsid w:val="00E51314"/>
    <w:rsid w:val="00E5212F"/>
    <w:rsid w:val="00E52A0D"/>
    <w:rsid w:val="00E53ED7"/>
    <w:rsid w:val="00E54213"/>
    <w:rsid w:val="00E54611"/>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18EF"/>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136"/>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58F"/>
    <w:rsid w:val="00EA5FA9"/>
    <w:rsid w:val="00EA6601"/>
    <w:rsid w:val="00EA71CB"/>
    <w:rsid w:val="00EA7BEC"/>
    <w:rsid w:val="00EB03D9"/>
    <w:rsid w:val="00EB0929"/>
    <w:rsid w:val="00EB177A"/>
    <w:rsid w:val="00EB184D"/>
    <w:rsid w:val="00EB29CE"/>
    <w:rsid w:val="00EB2C57"/>
    <w:rsid w:val="00EB2D71"/>
    <w:rsid w:val="00EB3025"/>
    <w:rsid w:val="00EB315C"/>
    <w:rsid w:val="00EB3556"/>
    <w:rsid w:val="00EB3BA9"/>
    <w:rsid w:val="00EB52DA"/>
    <w:rsid w:val="00EB60FD"/>
    <w:rsid w:val="00EB67B8"/>
    <w:rsid w:val="00EB7061"/>
    <w:rsid w:val="00EC021D"/>
    <w:rsid w:val="00EC0D8A"/>
    <w:rsid w:val="00EC1A88"/>
    <w:rsid w:val="00EC1BE1"/>
    <w:rsid w:val="00EC2A36"/>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33D"/>
    <w:rsid w:val="00F3758C"/>
    <w:rsid w:val="00F37DDC"/>
    <w:rsid w:val="00F4067A"/>
    <w:rsid w:val="00F415F7"/>
    <w:rsid w:val="00F427F2"/>
    <w:rsid w:val="00F4374D"/>
    <w:rsid w:val="00F4380B"/>
    <w:rsid w:val="00F43AAE"/>
    <w:rsid w:val="00F43C3A"/>
    <w:rsid w:val="00F44C50"/>
    <w:rsid w:val="00F4502A"/>
    <w:rsid w:val="00F452D4"/>
    <w:rsid w:val="00F4564E"/>
    <w:rsid w:val="00F45D42"/>
    <w:rsid w:val="00F5013B"/>
    <w:rsid w:val="00F50229"/>
    <w:rsid w:val="00F5094B"/>
    <w:rsid w:val="00F510DB"/>
    <w:rsid w:val="00F51C3F"/>
    <w:rsid w:val="00F51F14"/>
    <w:rsid w:val="00F52324"/>
    <w:rsid w:val="00F53339"/>
    <w:rsid w:val="00F542C6"/>
    <w:rsid w:val="00F5432B"/>
    <w:rsid w:val="00F544E3"/>
    <w:rsid w:val="00F546F0"/>
    <w:rsid w:val="00F54F16"/>
    <w:rsid w:val="00F5563E"/>
    <w:rsid w:val="00F55A2A"/>
    <w:rsid w:val="00F563A3"/>
    <w:rsid w:val="00F56BE1"/>
    <w:rsid w:val="00F56C6C"/>
    <w:rsid w:val="00F60467"/>
    <w:rsid w:val="00F618F1"/>
    <w:rsid w:val="00F61C4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051F"/>
    <w:rsid w:val="00F8158C"/>
    <w:rsid w:val="00F82115"/>
    <w:rsid w:val="00F825FA"/>
    <w:rsid w:val="00F83525"/>
    <w:rsid w:val="00F84596"/>
    <w:rsid w:val="00F8556D"/>
    <w:rsid w:val="00F85790"/>
    <w:rsid w:val="00F858FB"/>
    <w:rsid w:val="00F85D37"/>
    <w:rsid w:val="00F862B4"/>
    <w:rsid w:val="00F864ED"/>
    <w:rsid w:val="00F86938"/>
    <w:rsid w:val="00F86D1F"/>
    <w:rsid w:val="00F90D15"/>
    <w:rsid w:val="00F919DD"/>
    <w:rsid w:val="00F93A66"/>
    <w:rsid w:val="00F941FF"/>
    <w:rsid w:val="00F94728"/>
    <w:rsid w:val="00F95A51"/>
    <w:rsid w:val="00F96E64"/>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5858"/>
    <w:rsid w:val="00FA6ED9"/>
    <w:rsid w:val="00FA7007"/>
    <w:rsid w:val="00FA73B6"/>
    <w:rsid w:val="00FA7A42"/>
    <w:rsid w:val="00FB03F5"/>
    <w:rsid w:val="00FB16D7"/>
    <w:rsid w:val="00FB1A52"/>
    <w:rsid w:val="00FB2367"/>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B93"/>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318"/>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225014">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5883991">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178619408">
      <w:bodyDiv w:val="1"/>
      <w:marLeft w:val="0"/>
      <w:marRight w:val="0"/>
      <w:marTop w:val="0"/>
      <w:marBottom w:val="0"/>
      <w:divBdr>
        <w:top w:val="none" w:sz="0" w:space="0" w:color="auto"/>
        <w:left w:val="none" w:sz="0" w:space="0" w:color="auto"/>
        <w:bottom w:val="none" w:sz="0" w:space="0" w:color="auto"/>
        <w:right w:val="none" w:sz="0" w:space="0" w:color="auto"/>
      </w:divBdr>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iddleeasteye.net/news/israel-palestine-lawyers-demand-evidence-terror-claims-ngo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inorityrights.org/director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moked.org/files/2018/1162702_eng.pdf" TargetMode="External"/><Relationship Id="rId5" Type="http://schemas.openxmlformats.org/officeDocument/2006/relationships/settings" Target="settings.xml"/><Relationship Id="rId15" Type="http://schemas.openxmlformats.org/officeDocument/2006/relationships/hyperlink" Target="https://www.opendemocracy.net/en/north-africa-west-asia/israel-has-outlawed-six-palestinian-human-rights-organizations-why/" TargetMode="External"/><Relationship Id="rId10" Type="http://schemas.openxmlformats.org/officeDocument/2006/relationships/hyperlink" Target="https://www.theguardian.com/world/2014/apr/24/middle-east-israel-halts-peace-talks-palestinian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vox.com/world/2018/7/31/17623978/israel-jewish-nation-state-law-bill-explained-apartheid-netanyahu-democracy" TargetMode="External"/><Relationship Id="rId14" Type="http://schemas.openxmlformats.org/officeDocument/2006/relationships/hyperlink" Target="https://www.jewishvirtuallibrary.org/ten-point-plan-of-the-plo-june-197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A67E2D-A5C4-194F-B4E4-15983FB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7</Pages>
  <Words>3750</Words>
  <Characters>21380</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44</cp:revision>
  <dcterms:created xsi:type="dcterms:W3CDTF">2016-03-01T18:07:00Z</dcterms:created>
  <dcterms:modified xsi:type="dcterms:W3CDTF">2023-11-16T12:02:00Z</dcterms:modified>
</cp:coreProperties>
</file>