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6DE08397" w:rsidR="00453A9D" w:rsidRPr="0013580E" w:rsidRDefault="006B72DC" w:rsidP="00453A9D">
      <w:pPr>
        <w:pStyle w:val="Heading1"/>
        <w:rPr>
          <w:rFonts w:cs="Times New Roman"/>
          <w:szCs w:val="24"/>
        </w:rPr>
      </w:pPr>
      <w:r w:rsidRPr="0013580E">
        <w:rPr>
          <w:rFonts w:cs="Times New Roman"/>
          <w:szCs w:val="24"/>
        </w:rPr>
        <w:t>MALI</w:t>
      </w:r>
    </w:p>
    <w:p w14:paraId="19E6285B" w14:textId="77777777" w:rsidR="00AB3DBC" w:rsidRPr="0013580E" w:rsidRDefault="00AB3DBC" w:rsidP="00AB3DBC">
      <w:pPr>
        <w:rPr>
          <w:sz w:val="22"/>
          <w:szCs w:val="22"/>
        </w:rPr>
      </w:pPr>
    </w:p>
    <w:p w14:paraId="2DA6E953" w14:textId="4E0F667D" w:rsidR="00453A9D" w:rsidRPr="0013580E" w:rsidRDefault="008C7212" w:rsidP="00453A9D">
      <w:pPr>
        <w:pStyle w:val="Heading2"/>
        <w:rPr>
          <w:rFonts w:cs="Times New Roman"/>
          <w:szCs w:val="22"/>
        </w:rPr>
      </w:pPr>
      <w:r w:rsidRPr="0013580E">
        <w:rPr>
          <w:rFonts w:cs="Times New Roman"/>
          <w:szCs w:val="22"/>
        </w:rPr>
        <w:t>Tuaregs</w:t>
      </w:r>
    </w:p>
    <w:p w14:paraId="7751ECD1" w14:textId="77777777" w:rsidR="00453A9D" w:rsidRPr="0013580E" w:rsidRDefault="00453A9D" w:rsidP="00453A9D">
      <w:pPr>
        <w:rPr>
          <w:sz w:val="22"/>
          <w:szCs w:val="22"/>
        </w:rPr>
      </w:pPr>
    </w:p>
    <w:p w14:paraId="1CF6FBB3" w14:textId="503A0EBC" w:rsidR="00453A9D" w:rsidRPr="009819D9" w:rsidRDefault="00453A9D" w:rsidP="00453A9D">
      <w:pPr>
        <w:rPr>
          <w:sz w:val="22"/>
          <w:szCs w:val="22"/>
        </w:rPr>
      </w:pPr>
      <w:r w:rsidRPr="009819D9">
        <w:rPr>
          <w:sz w:val="22"/>
          <w:szCs w:val="22"/>
        </w:rPr>
        <w:t xml:space="preserve">Activity: </w:t>
      </w:r>
      <w:r w:rsidR="006B72DC" w:rsidRPr="009819D9">
        <w:rPr>
          <w:sz w:val="22"/>
          <w:szCs w:val="22"/>
        </w:rPr>
        <w:t>196</w:t>
      </w:r>
      <w:r w:rsidR="001543F9">
        <w:rPr>
          <w:sz w:val="22"/>
          <w:szCs w:val="22"/>
        </w:rPr>
        <w:t>0</w:t>
      </w:r>
      <w:r w:rsidR="006B72DC" w:rsidRPr="009819D9">
        <w:rPr>
          <w:sz w:val="22"/>
          <w:szCs w:val="22"/>
        </w:rPr>
        <w:t>-1964; 19</w:t>
      </w:r>
      <w:r w:rsidR="007817D9">
        <w:rPr>
          <w:sz w:val="22"/>
          <w:szCs w:val="22"/>
        </w:rPr>
        <w:t>90</w:t>
      </w:r>
      <w:r w:rsidR="006B72DC" w:rsidRPr="009819D9">
        <w:rPr>
          <w:sz w:val="22"/>
          <w:szCs w:val="22"/>
        </w:rPr>
        <w:t>-</w:t>
      </w:r>
      <w:r w:rsidR="006E5CA1" w:rsidRPr="009819D9">
        <w:rPr>
          <w:sz w:val="22"/>
          <w:szCs w:val="22"/>
        </w:rPr>
        <w:t>2020</w:t>
      </w:r>
      <w:r w:rsidR="00BB4A66" w:rsidRPr="009819D9">
        <w:rPr>
          <w:sz w:val="22"/>
          <w:szCs w:val="22"/>
        </w:rPr>
        <w:t xml:space="preserve"> </w:t>
      </w:r>
    </w:p>
    <w:p w14:paraId="4A22B98D" w14:textId="77777777" w:rsidR="00453A9D" w:rsidRPr="009819D9" w:rsidRDefault="00453A9D" w:rsidP="00453A9D">
      <w:pPr>
        <w:rPr>
          <w:sz w:val="22"/>
          <w:szCs w:val="22"/>
        </w:rPr>
      </w:pPr>
    </w:p>
    <w:p w14:paraId="6C141715" w14:textId="77777777" w:rsidR="00F618F1" w:rsidRPr="009819D9" w:rsidRDefault="00F618F1" w:rsidP="00453A9D">
      <w:pPr>
        <w:rPr>
          <w:b/>
          <w:sz w:val="22"/>
          <w:szCs w:val="22"/>
        </w:rPr>
      </w:pPr>
    </w:p>
    <w:p w14:paraId="3E137A12" w14:textId="02CA02D7" w:rsidR="00794F7B" w:rsidRPr="009819D9" w:rsidRDefault="00794F7B" w:rsidP="00794F7B">
      <w:pPr>
        <w:rPr>
          <w:b/>
          <w:sz w:val="22"/>
          <w:szCs w:val="22"/>
        </w:rPr>
      </w:pPr>
      <w:r w:rsidRPr="009819D9">
        <w:rPr>
          <w:b/>
          <w:sz w:val="22"/>
          <w:szCs w:val="22"/>
        </w:rPr>
        <w:t>General note</w:t>
      </w:r>
      <w:r w:rsidR="00392C66" w:rsidRPr="009819D9">
        <w:rPr>
          <w:b/>
          <w:sz w:val="22"/>
          <w:szCs w:val="22"/>
        </w:rPr>
        <w:t>s</w:t>
      </w:r>
      <w:r w:rsidRPr="009819D9">
        <w:rPr>
          <w:b/>
          <w:sz w:val="22"/>
          <w:szCs w:val="22"/>
        </w:rPr>
        <w:t xml:space="preserve"> </w:t>
      </w:r>
    </w:p>
    <w:p w14:paraId="1ADBA582" w14:textId="776936EE" w:rsidR="004C6542" w:rsidRPr="009819D9" w:rsidRDefault="004C6542" w:rsidP="00794F7B">
      <w:pPr>
        <w:rPr>
          <w:b/>
          <w:sz w:val="22"/>
          <w:szCs w:val="22"/>
        </w:rPr>
      </w:pPr>
    </w:p>
    <w:p w14:paraId="63F2A635" w14:textId="41F931EF" w:rsidR="004C6542" w:rsidRPr="009819D9" w:rsidRDefault="008F474A" w:rsidP="006E1063">
      <w:pPr>
        <w:pStyle w:val="ListParagraph"/>
        <w:numPr>
          <w:ilvl w:val="0"/>
          <w:numId w:val="6"/>
        </w:numPr>
        <w:rPr>
          <w:bCs/>
          <w:szCs w:val="22"/>
        </w:rPr>
      </w:pPr>
      <w:r w:rsidRPr="009819D9">
        <w:rPr>
          <w:bCs/>
          <w:szCs w:val="22"/>
        </w:rPr>
        <w:t xml:space="preserve">The names Tuareg and </w:t>
      </w:r>
      <w:proofErr w:type="spellStart"/>
      <w:r w:rsidRPr="009819D9">
        <w:rPr>
          <w:bCs/>
          <w:szCs w:val="22"/>
        </w:rPr>
        <w:t>Touareg</w:t>
      </w:r>
      <w:proofErr w:type="spellEnd"/>
      <w:r w:rsidRPr="009819D9">
        <w:rPr>
          <w:bCs/>
          <w:szCs w:val="22"/>
        </w:rPr>
        <w:t xml:space="preserve"> are used interchangeably throughout but denote the same group.</w:t>
      </w:r>
    </w:p>
    <w:p w14:paraId="6108D660" w14:textId="77777777" w:rsidR="00794F7B" w:rsidRPr="0013580E" w:rsidRDefault="00794F7B" w:rsidP="00794F7B">
      <w:pPr>
        <w:rPr>
          <w:bCs/>
          <w:sz w:val="22"/>
          <w:szCs w:val="22"/>
        </w:rPr>
      </w:pPr>
    </w:p>
    <w:p w14:paraId="2B151A2F" w14:textId="77777777" w:rsidR="00794F7B" w:rsidRPr="0013580E" w:rsidRDefault="00794F7B" w:rsidP="00794F7B">
      <w:pPr>
        <w:rPr>
          <w:bCs/>
          <w:sz w:val="22"/>
          <w:szCs w:val="22"/>
        </w:rPr>
      </w:pPr>
    </w:p>
    <w:p w14:paraId="58C0037A" w14:textId="77777777" w:rsidR="003D2842" w:rsidRPr="008C72DD" w:rsidRDefault="003D2842" w:rsidP="003D2842">
      <w:pPr>
        <w:rPr>
          <w:bCs/>
          <w:sz w:val="22"/>
          <w:szCs w:val="20"/>
        </w:rPr>
      </w:pPr>
      <w:r w:rsidRPr="008C72DD">
        <w:rPr>
          <w:b/>
          <w:sz w:val="22"/>
          <w:szCs w:val="20"/>
        </w:rPr>
        <w:t xml:space="preserve">Movement </w:t>
      </w:r>
      <w:proofErr w:type="gramStart"/>
      <w:r w:rsidRPr="008C72DD">
        <w:rPr>
          <w:b/>
          <w:sz w:val="22"/>
          <w:szCs w:val="20"/>
        </w:rPr>
        <w:t>start</w:t>
      </w:r>
      <w:proofErr w:type="gramEnd"/>
      <w:r w:rsidRPr="008C72DD">
        <w:rPr>
          <w:b/>
          <w:sz w:val="22"/>
          <w:szCs w:val="20"/>
        </w:rPr>
        <w:t xml:space="preserve"> and end dates</w:t>
      </w:r>
    </w:p>
    <w:p w14:paraId="59525781" w14:textId="77777777" w:rsidR="003D2842" w:rsidRPr="006F657B" w:rsidRDefault="003D2842" w:rsidP="003D2842">
      <w:pPr>
        <w:rPr>
          <w:szCs w:val="22"/>
        </w:rPr>
      </w:pPr>
    </w:p>
    <w:p w14:paraId="4984BA2C" w14:textId="1A51FA03" w:rsidR="00737F93" w:rsidRPr="00737F93" w:rsidRDefault="00737F93" w:rsidP="006E1063">
      <w:pPr>
        <w:pStyle w:val="ListParagraph"/>
        <w:numPr>
          <w:ilvl w:val="0"/>
          <w:numId w:val="3"/>
        </w:numPr>
        <w:tabs>
          <w:tab w:val="left" w:pos="1260"/>
        </w:tabs>
      </w:pPr>
      <w:r w:rsidRPr="0013580E">
        <w:rPr>
          <w:rFonts w:cs="Times New Roman"/>
          <w:bCs/>
          <w:szCs w:val="22"/>
        </w:rPr>
        <w:t xml:space="preserve">Already prior to </w:t>
      </w:r>
      <w:r>
        <w:rPr>
          <w:rFonts w:cs="Times New Roman"/>
          <w:bCs/>
          <w:szCs w:val="22"/>
        </w:rPr>
        <w:t xml:space="preserve">Mali’s </w:t>
      </w:r>
      <w:r w:rsidRPr="0013580E">
        <w:rPr>
          <w:rFonts w:cs="Times New Roman"/>
          <w:bCs/>
          <w:szCs w:val="22"/>
        </w:rPr>
        <w:t xml:space="preserve">independence, there had been dreams of an independent Tuareg state (Azawad), comprised of territory in northern Mali, northern Niger, and southern Libya (Keita 1998: 108). The Minority Rights Group International also describes expectations during the colonial period among the Tuareg for an autonomous state (Azawad). </w:t>
      </w:r>
      <w:r>
        <w:rPr>
          <w:rFonts w:cs="Times New Roman"/>
          <w:bCs/>
          <w:szCs w:val="22"/>
        </w:rPr>
        <w:t>The first evidence for political mobilization we could find is in 1957, when Tuareg leaders wrote an open letter to Charles de Gaulle suggesting that “</w:t>
      </w:r>
      <w:r w:rsidRPr="00737F93">
        <w:rPr>
          <w:rFonts w:cs="Times New Roman"/>
          <w:bCs/>
          <w:szCs w:val="22"/>
        </w:rPr>
        <w:t>Our interests and aspirations can never be validly defended as long as we are attached to a territory that is validly represented and governed by a black majority whose ethnicity, interests and aspirations are not even ours</w:t>
      </w:r>
      <w:r>
        <w:rPr>
          <w:rFonts w:cs="Times New Roman"/>
          <w:bCs/>
          <w:szCs w:val="22"/>
        </w:rPr>
        <w:t xml:space="preserve">” (Richter </w:t>
      </w:r>
      <w:r w:rsidR="00754B7F">
        <w:rPr>
          <w:rFonts w:cs="Times New Roman"/>
          <w:bCs/>
          <w:szCs w:val="22"/>
        </w:rPr>
        <w:t>2015</w:t>
      </w:r>
      <w:r w:rsidR="00994BFD">
        <w:rPr>
          <w:rFonts w:cs="Times New Roman"/>
          <w:bCs/>
          <w:szCs w:val="22"/>
        </w:rPr>
        <w:t xml:space="preserve">). </w:t>
      </w:r>
      <w:proofErr w:type="spellStart"/>
      <w:r w:rsidR="00994BFD">
        <w:rPr>
          <w:rFonts w:cs="Times New Roman"/>
          <w:bCs/>
          <w:szCs w:val="22"/>
        </w:rPr>
        <w:t>Lecocq</w:t>
      </w:r>
      <w:proofErr w:type="spellEnd"/>
      <w:r w:rsidR="00994BFD">
        <w:rPr>
          <w:rFonts w:cs="Times New Roman"/>
          <w:bCs/>
          <w:szCs w:val="22"/>
        </w:rPr>
        <w:t xml:space="preserve"> (2010: 47f</w:t>
      </w:r>
      <w:r>
        <w:rPr>
          <w:rFonts w:cs="Times New Roman"/>
          <w:bCs/>
          <w:szCs w:val="22"/>
        </w:rPr>
        <w:t>)</w:t>
      </w:r>
      <w:r w:rsidR="00994BFD">
        <w:rPr>
          <w:rFonts w:cs="Times New Roman"/>
          <w:bCs/>
          <w:szCs w:val="22"/>
        </w:rPr>
        <w:t xml:space="preserve"> also refers to this letter, suggesting that the Tuaregs in it claimed a right to self-determination. </w:t>
      </w:r>
      <w:r>
        <w:rPr>
          <w:rFonts w:cs="Times New Roman"/>
          <w:bCs/>
          <w:szCs w:val="22"/>
        </w:rPr>
        <w:t xml:space="preserve"> </w:t>
      </w:r>
    </w:p>
    <w:p w14:paraId="4CB94EAA" w14:textId="075716DE" w:rsidR="003D2842" w:rsidRPr="003D2842" w:rsidRDefault="003D2842" w:rsidP="006E1063">
      <w:pPr>
        <w:pStyle w:val="ListParagraph"/>
        <w:numPr>
          <w:ilvl w:val="0"/>
          <w:numId w:val="3"/>
        </w:numPr>
        <w:tabs>
          <w:tab w:val="left" w:pos="1260"/>
        </w:tabs>
      </w:pPr>
      <w:r w:rsidRPr="003D2842">
        <w:rPr>
          <w:rFonts w:eastAsia="Times New Roman"/>
        </w:rPr>
        <w:t>According to Hewitt and Cheetham</w:t>
      </w:r>
      <w:r w:rsidR="00737F93">
        <w:rPr>
          <w:rFonts w:eastAsia="Times New Roman"/>
        </w:rPr>
        <w:t xml:space="preserve"> (2000: </w:t>
      </w:r>
      <w:r w:rsidR="00737F93" w:rsidRPr="003D2842">
        <w:rPr>
          <w:rFonts w:eastAsia="Times New Roman"/>
        </w:rPr>
        <w:t>300</w:t>
      </w:r>
      <w:r w:rsidR="00737F93">
        <w:rPr>
          <w:rFonts w:eastAsia="Times New Roman"/>
        </w:rPr>
        <w:t>)</w:t>
      </w:r>
      <w:r w:rsidRPr="003D2842">
        <w:rPr>
          <w:rFonts w:eastAsia="Times New Roman"/>
        </w:rPr>
        <w:t xml:space="preserve">, </w:t>
      </w:r>
      <w:r w:rsidR="00737F93">
        <w:rPr>
          <w:rFonts w:eastAsia="Times New Roman"/>
        </w:rPr>
        <w:t>a</w:t>
      </w:r>
      <w:r w:rsidRPr="003D2842">
        <w:rPr>
          <w:rFonts w:eastAsia="Times New Roman"/>
        </w:rPr>
        <w:t xml:space="preserve"> rebellion started in 1962, whereas </w:t>
      </w:r>
      <w:proofErr w:type="spellStart"/>
      <w:r w:rsidRPr="003D2842">
        <w:rPr>
          <w:rFonts w:eastAsia="Times New Roman"/>
        </w:rPr>
        <w:t>Lecocq</w:t>
      </w:r>
      <w:proofErr w:type="spellEnd"/>
      <w:r w:rsidRPr="003D2842">
        <w:rPr>
          <w:rFonts w:eastAsia="Times New Roman"/>
        </w:rPr>
        <w:t xml:space="preserve"> (2010: </w:t>
      </w:r>
      <w:proofErr w:type="spellStart"/>
      <w:r w:rsidRPr="003D2842">
        <w:rPr>
          <w:rFonts w:eastAsia="Times New Roman"/>
        </w:rPr>
        <w:t>ch.</w:t>
      </w:r>
      <w:proofErr w:type="spellEnd"/>
      <w:r w:rsidRPr="003D2842">
        <w:rPr>
          <w:rFonts w:eastAsia="Times New Roman"/>
        </w:rPr>
        <w:t xml:space="preserve"> 4, esp. pp. 161ff) suggests the First Tuareg Rebellion started in 1963, not 1962, while preparations for the rebellion had begun before 1963. The government violently repressed the rebellion in 1964 and instituted military rule, sending many </w:t>
      </w:r>
      <w:proofErr w:type="spellStart"/>
      <w:r w:rsidRPr="003D2842">
        <w:rPr>
          <w:rFonts w:eastAsia="Times New Roman"/>
        </w:rPr>
        <w:t>Touareg</w:t>
      </w:r>
      <w:proofErr w:type="spellEnd"/>
      <w:r w:rsidRPr="003D2842">
        <w:rPr>
          <w:rFonts w:eastAsia="Times New Roman"/>
        </w:rPr>
        <w:t xml:space="preserve"> into exile. </w:t>
      </w:r>
      <w:r w:rsidR="00CE13C2">
        <w:rPr>
          <w:rFonts w:eastAsia="Times New Roman"/>
        </w:rPr>
        <w:t xml:space="preserve">Throughout the </w:t>
      </w:r>
      <w:r w:rsidR="00CE13C2" w:rsidRPr="00CE13C2">
        <w:rPr>
          <w:rFonts w:eastAsia="Times New Roman"/>
        </w:rPr>
        <w:t xml:space="preserve">1970s and </w:t>
      </w:r>
      <w:r w:rsidR="00CE13C2">
        <w:rPr>
          <w:rFonts w:eastAsia="Times New Roman"/>
        </w:rPr>
        <w:t>19</w:t>
      </w:r>
      <w:r w:rsidR="00CE13C2" w:rsidRPr="00CE13C2">
        <w:rPr>
          <w:rFonts w:eastAsia="Times New Roman"/>
        </w:rPr>
        <w:t>80s</w:t>
      </w:r>
      <w:r w:rsidR="00CE13C2">
        <w:rPr>
          <w:rFonts w:eastAsia="Times New Roman"/>
        </w:rPr>
        <w:t>,</w:t>
      </w:r>
      <w:r w:rsidR="00CE13C2" w:rsidRPr="00CE13C2">
        <w:rPr>
          <w:rFonts w:eastAsia="Times New Roman"/>
        </w:rPr>
        <w:t xml:space="preserve"> Tuareg nationalists </w:t>
      </w:r>
      <w:r w:rsidR="00CE13C2">
        <w:rPr>
          <w:rFonts w:eastAsia="Times New Roman"/>
        </w:rPr>
        <w:t>operated from exile while t</w:t>
      </w:r>
      <w:r w:rsidR="00CE13C2" w:rsidRPr="00CE13C2">
        <w:rPr>
          <w:rFonts w:eastAsia="Times New Roman"/>
        </w:rPr>
        <w:t xml:space="preserve">he violent suppression in 1964 appears to have ended </w:t>
      </w:r>
      <w:r w:rsidR="00CE13C2">
        <w:rPr>
          <w:rFonts w:eastAsia="Times New Roman"/>
        </w:rPr>
        <w:t>all local mobilization</w:t>
      </w:r>
      <w:r w:rsidR="00CE13C2" w:rsidRPr="00CE13C2">
        <w:rPr>
          <w:rFonts w:eastAsia="Times New Roman"/>
        </w:rPr>
        <w:t xml:space="preserve">. </w:t>
      </w:r>
      <w:r w:rsidR="00CE13C2">
        <w:rPr>
          <w:rFonts w:eastAsia="Times New Roman"/>
        </w:rPr>
        <w:t xml:space="preserve">We code an end to the first phase in 1964 </w:t>
      </w:r>
      <w:r w:rsidR="00CE13C2" w:rsidRPr="00CE13C2">
        <w:rPr>
          <w:rFonts w:eastAsia="Times New Roman"/>
        </w:rPr>
        <w:t>(Cunningham</w:t>
      </w:r>
      <w:r w:rsidR="00CE13C2">
        <w:rPr>
          <w:rFonts w:eastAsia="Times New Roman"/>
        </w:rPr>
        <w:t xml:space="preserve"> </w:t>
      </w:r>
      <w:r w:rsidR="00CE13C2" w:rsidRPr="00CE13C2">
        <w:rPr>
          <w:rFonts w:eastAsia="Times New Roman"/>
        </w:rPr>
        <w:t xml:space="preserve">2014; </w:t>
      </w:r>
      <w:proofErr w:type="spellStart"/>
      <w:r w:rsidR="00CE13C2" w:rsidRPr="00CE13C2">
        <w:rPr>
          <w:rFonts w:eastAsia="Times New Roman"/>
        </w:rPr>
        <w:t>Lecocq</w:t>
      </w:r>
      <w:proofErr w:type="spellEnd"/>
      <w:r w:rsidR="00CE13C2" w:rsidRPr="00CE13C2">
        <w:rPr>
          <w:rFonts w:eastAsia="Times New Roman"/>
        </w:rPr>
        <w:t xml:space="preserve"> &amp; </w:t>
      </w:r>
      <w:proofErr w:type="spellStart"/>
      <w:r w:rsidR="00CE13C2" w:rsidRPr="00CE13C2">
        <w:rPr>
          <w:rFonts w:eastAsia="Times New Roman"/>
        </w:rPr>
        <w:t>Klute</w:t>
      </w:r>
      <w:proofErr w:type="spellEnd"/>
      <w:r w:rsidR="00CE13C2" w:rsidRPr="00CE13C2">
        <w:rPr>
          <w:rFonts w:eastAsia="Times New Roman"/>
        </w:rPr>
        <w:t xml:space="preserve"> 2019)</w:t>
      </w:r>
      <w:r w:rsidR="00CE13C2">
        <w:rPr>
          <w:rFonts w:eastAsia="Times New Roman"/>
        </w:rPr>
        <w:t>.</w:t>
      </w:r>
      <w:r w:rsidR="00CE13C2" w:rsidRPr="00CE13C2">
        <w:rPr>
          <w:rFonts w:eastAsia="Times New Roman"/>
        </w:rPr>
        <w:t xml:space="preserve"> </w:t>
      </w:r>
      <w:r w:rsidR="003B02F4">
        <w:rPr>
          <w:rFonts w:eastAsia="Times New Roman"/>
        </w:rPr>
        <w:t>[end date 1: 19</w:t>
      </w:r>
      <w:r w:rsidR="00737F93">
        <w:rPr>
          <w:rFonts w:eastAsia="Times New Roman"/>
        </w:rPr>
        <w:t>57</w:t>
      </w:r>
      <w:r w:rsidR="003B02F4">
        <w:rPr>
          <w:rFonts w:eastAsia="Times New Roman"/>
        </w:rPr>
        <w:t>; end date 1: 1964]</w:t>
      </w:r>
    </w:p>
    <w:p w14:paraId="130CE210" w14:textId="6E008865" w:rsidR="007817D9" w:rsidRPr="007817D9" w:rsidRDefault="007817D9" w:rsidP="006E1063">
      <w:pPr>
        <w:pStyle w:val="ListParagraph"/>
        <w:numPr>
          <w:ilvl w:val="0"/>
          <w:numId w:val="3"/>
        </w:numPr>
        <w:tabs>
          <w:tab w:val="left" w:pos="1260"/>
        </w:tabs>
      </w:pPr>
      <w:r w:rsidRPr="007817D9">
        <w:rPr>
          <w:rFonts w:eastAsia="Times New Roman"/>
        </w:rPr>
        <w:t>Many Tuareg insurgents moved</w:t>
      </w:r>
      <w:r w:rsidR="003D2842" w:rsidRPr="007817D9">
        <w:rPr>
          <w:rFonts w:eastAsia="Times New Roman"/>
        </w:rPr>
        <w:t xml:space="preserve"> to Libya, where they received military/insurgency training. Together with </w:t>
      </w:r>
      <w:r w:rsidRPr="007817D9">
        <w:rPr>
          <w:rFonts w:eastAsia="Times New Roman"/>
        </w:rPr>
        <w:t>Tuaregs</w:t>
      </w:r>
      <w:r w:rsidR="003D2842" w:rsidRPr="007817D9">
        <w:rPr>
          <w:rFonts w:eastAsia="Times New Roman"/>
        </w:rPr>
        <w:t xml:space="preserve"> from Niger, they formed a Tuareg liberation movement</w:t>
      </w:r>
      <w:r w:rsidRPr="007817D9">
        <w:rPr>
          <w:rFonts w:eastAsia="Times New Roman"/>
        </w:rPr>
        <w:t xml:space="preserve"> in Libya,</w:t>
      </w:r>
      <w:r w:rsidR="003D2842" w:rsidRPr="007817D9">
        <w:rPr>
          <w:rFonts w:eastAsia="Times New Roman"/>
        </w:rPr>
        <w:t xml:space="preserve"> which in 1988 became (after shedding the Niger connection), the </w:t>
      </w:r>
      <w:proofErr w:type="spellStart"/>
      <w:r w:rsidR="003D2842" w:rsidRPr="007817D9">
        <w:rPr>
          <w:rFonts w:eastAsia="Times New Roman"/>
          <w:iCs/>
        </w:rPr>
        <w:t>Mouvement</w:t>
      </w:r>
      <w:proofErr w:type="spellEnd"/>
      <w:r w:rsidR="003D2842" w:rsidRPr="007817D9">
        <w:rPr>
          <w:rFonts w:eastAsia="Times New Roman"/>
          <w:iCs/>
        </w:rPr>
        <w:t xml:space="preserve"> Populaire de Libération de </w:t>
      </w:r>
      <w:proofErr w:type="spellStart"/>
      <w:r w:rsidR="003D2842" w:rsidRPr="007817D9">
        <w:rPr>
          <w:rFonts w:eastAsia="Times New Roman"/>
          <w:iCs/>
        </w:rPr>
        <w:t>l’Azawad</w:t>
      </w:r>
      <w:proofErr w:type="spellEnd"/>
      <w:r w:rsidR="003D2842" w:rsidRPr="007817D9">
        <w:rPr>
          <w:rFonts w:eastAsia="Times New Roman"/>
          <w:iCs/>
        </w:rPr>
        <w:t xml:space="preserve"> </w:t>
      </w:r>
      <w:r w:rsidR="003D2842" w:rsidRPr="007817D9">
        <w:rPr>
          <w:rFonts w:eastAsia="Times New Roman"/>
        </w:rPr>
        <w:t>(MPLA). The MPLA invaded Mali from Libya and attacked government posts in the summer of 1990</w:t>
      </w:r>
      <w:r>
        <w:rPr>
          <w:rFonts w:eastAsia="Times New Roman"/>
        </w:rPr>
        <w:t xml:space="preserve"> (</w:t>
      </w:r>
      <w:proofErr w:type="spellStart"/>
      <w:r w:rsidRPr="007F66C9">
        <w:t>Macartan</w:t>
      </w:r>
      <w:proofErr w:type="spellEnd"/>
      <w:r w:rsidRPr="007F66C9">
        <w:t xml:space="preserve"> &amp; Mohamed 2005: 255</w:t>
      </w:r>
      <w:r>
        <w:t>)</w:t>
      </w:r>
      <w:r w:rsidR="003D2842" w:rsidRPr="007817D9">
        <w:rPr>
          <w:rFonts w:eastAsia="Times New Roman"/>
        </w:rPr>
        <w:t xml:space="preserve">. </w:t>
      </w:r>
      <w:r>
        <w:rPr>
          <w:rFonts w:eastAsia="Times New Roman"/>
        </w:rPr>
        <w:t xml:space="preserve">This is the first evidence of separatist mobilization in Mali, so 1990 is coded as the second start date.  </w:t>
      </w:r>
    </w:p>
    <w:p w14:paraId="5349C13A" w14:textId="594A50DC" w:rsidR="002739B7" w:rsidRPr="002739B7" w:rsidRDefault="003D2842" w:rsidP="006E1063">
      <w:pPr>
        <w:pStyle w:val="ListParagraph"/>
        <w:numPr>
          <w:ilvl w:val="0"/>
          <w:numId w:val="3"/>
        </w:numPr>
        <w:tabs>
          <w:tab w:val="left" w:pos="1260"/>
        </w:tabs>
      </w:pPr>
      <w:r w:rsidRPr="007817D9">
        <w:rPr>
          <w:rFonts w:eastAsia="Times New Roman"/>
        </w:rPr>
        <w:t xml:space="preserve">The government used political cooptation of elites to divide the movement, talks followed in 1991 following mediation efforts by Algeria, and the movement went through a re-organization process, shedding the “liberation” claims and becoming the </w:t>
      </w:r>
      <w:proofErr w:type="spellStart"/>
      <w:r w:rsidRPr="007817D9">
        <w:rPr>
          <w:rFonts w:eastAsia="Times New Roman"/>
          <w:iCs/>
        </w:rPr>
        <w:t>Mouvement</w:t>
      </w:r>
      <w:proofErr w:type="spellEnd"/>
      <w:r w:rsidRPr="007817D9">
        <w:rPr>
          <w:rFonts w:eastAsia="Times New Roman"/>
          <w:iCs/>
        </w:rPr>
        <w:t xml:space="preserve"> Populaire de </w:t>
      </w:r>
      <w:proofErr w:type="spellStart"/>
      <w:r w:rsidRPr="007817D9">
        <w:rPr>
          <w:rFonts w:eastAsia="Times New Roman"/>
          <w:iCs/>
        </w:rPr>
        <w:t>l’Azawad</w:t>
      </w:r>
      <w:proofErr w:type="spellEnd"/>
      <w:r w:rsidRPr="007817D9">
        <w:rPr>
          <w:rFonts w:eastAsia="Times New Roman"/>
          <w:iCs/>
        </w:rPr>
        <w:t xml:space="preserve"> </w:t>
      </w:r>
      <w:r w:rsidRPr="007817D9">
        <w:rPr>
          <w:rFonts w:eastAsia="Times New Roman"/>
        </w:rPr>
        <w:t xml:space="preserve">(MPA) with the Arab groups distinguishing themselves from the larger movement by creating the </w:t>
      </w:r>
      <w:r w:rsidRPr="007817D9">
        <w:rPr>
          <w:rFonts w:eastAsia="Times New Roman"/>
          <w:iCs/>
        </w:rPr>
        <w:t xml:space="preserve">Front </w:t>
      </w:r>
      <w:proofErr w:type="spellStart"/>
      <w:r w:rsidRPr="007817D9">
        <w:rPr>
          <w:rFonts w:eastAsia="Times New Roman"/>
          <w:iCs/>
        </w:rPr>
        <w:t>Islamique</w:t>
      </w:r>
      <w:proofErr w:type="spellEnd"/>
      <w:r w:rsidRPr="007817D9">
        <w:rPr>
          <w:rFonts w:eastAsia="Times New Roman"/>
          <w:iCs/>
        </w:rPr>
        <w:t xml:space="preserve"> et </w:t>
      </w:r>
      <w:proofErr w:type="spellStart"/>
      <w:r w:rsidRPr="007817D9">
        <w:rPr>
          <w:rFonts w:eastAsia="Times New Roman"/>
          <w:iCs/>
        </w:rPr>
        <w:t>Arabe</w:t>
      </w:r>
      <w:proofErr w:type="spellEnd"/>
      <w:r w:rsidRPr="007817D9">
        <w:rPr>
          <w:rFonts w:eastAsia="Times New Roman"/>
          <w:iCs/>
        </w:rPr>
        <w:t xml:space="preserve"> de </w:t>
      </w:r>
      <w:proofErr w:type="spellStart"/>
      <w:r w:rsidRPr="007817D9">
        <w:rPr>
          <w:rFonts w:eastAsia="Times New Roman"/>
          <w:iCs/>
        </w:rPr>
        <w:t>l’Azawad</w:t>
      </w:r>
      <w:proofErr w:type="spellEnd"/>
      <w:r w:rsidRPr="007817D9">
        <w:rPr>
          <w:rFonts w:eastAsia="Times New Roman"/>
          <w:iCs/>
        </w:rPr>
        <w:t xml:space="preserve"> </w:t>
      </w:r>
      <w:r w:rsidRPr="007817D9">
        <w:rPr>
          <w:rFonts w:eastAsia="Times New Roman"/>
        </w:rPr>
        <w:t xml:space="preserve">(FIAA). Generous terms offered by the government in the Tamanrasset Accords led to a decline in violence. Regime change in the spring of 1991 and public opposition to Tamanrasset Accords, which were perceived as granting autonomy to the North, led to more attacks and intensification of the conflict. </w:t>
      </w:r>
    </w:p>
    <w:p w14:paraId="7F905D06" w14:textId="77777777" w:rsidR="002739B7" w:rsidRPr="000B1687" w:rsidRDefault="003D2842" w:rsidP="006E1063">
      <w:pPr>
        <w:pStyle w:val="ListParagraph"/>
        <w:numPr>
          <w:ilvl w:val="0"/>
          <w:numId w:val="3"/>
        </w:numPr>
        <w:tabs>
          <w:tab w:val="left" w:pos="1260"/>
        </w:tabs>
      </w:pPr>
      <w:r w:rsidRPr="003B02F4">
        <w:rPr>
          <w:rFonts w:eastAsia="Times New Roman"/>
        </w:rPr>
        <w:t xml:space="preserve">The MPA remained committed to the Accords and tried to resist conflict escalation, which led to fragmentation in the group with the FIAA breaking off to form the </w:t>
      </w:r>
      <w:r w:rsidRPr="003B02F4">
        <w:rPr>
          <w:rFonts w:eastAsia="Times New Roman"/>
          <w:iCs/>
        </w:rPr>
        <w:t xml:space="preserve">Front Populaire pour la Libération de </w:t>
      </w:r>
      <w:proofErr w:type="spellStart"/>
      <w:r w:rsidRPr="003B02F4">
        <w:rPr>
          <w:rFonts w:eastAsia="Times New Roman"/>
          <w:iCs/>
        </w:rPr>
        <w:t>l’Azawad</w:t>
      </w:r>
      <w:proofErr w:type="spellEnd"/>
      <w:r w:rsidRPr="003B02F4">
        <w:rPr>
          <w:rFonts w:eastAsia="Times New Roman"/>
          <w:iCs/>
        </w:rPr>
        <w:t xml:space="preserve"> </w:t>
      </w:r>
      <w:r w:rsidRPr="003B02F4">
        <w:rPr>
          <w:rFonts w:eastAsia="Times New Roman"/>
        </w:rPr>
        <w:t xml:space="preserve">(FPLA), with another splinted group, the </w:t>
      </w:r>
      <w:r w:rsidRPr="003B02F4">
        <w:rPr>
          <w:rFonts w:eastAsia="Times New Roman"/>
          <w:iCs/>
        </w:rPr>
        <w:t xml:space="preserve">Armée </w:t>
      </w:r>
      <w:proofErr w:type="spellStart"/>
      <w:r w:rsidRPr="003B02F4">
        <w:rPr>
          <w:rFonts w:eastAsia="Times New Roman"/>
          <w:iCs/>
        </w:rPr>
        <w:t>Révolutionnaire</w:t>
      </w:r>
      <w:proofErr w:type="spellEnd"/>
      <w:r w:rsidRPr="003B02F4">
        <w:rPr>
          <w:rFonts w:eastAsia="Times New Roman"/>
          <w:iCs/>
        </w:rPr>
        <w:t xml:space="preserve"> pour le Libération de </w:t>
      </w:r>
      <w:proofErr w:type="spellStart"/>
      <w:r w:rsidRPr="003B02F4">
        <w:rPr>
          <w:rFonts w:eastAsia="Times New Roman"/>
          <w:iCs/>
        </w:rPr>
        <w:t>l’Azawad</w:t>
      </w:r>
      <w:proofErr w:type="spellEnd"/>
      <w:r w:rsidRPr="003B02F4">
        <w:rPr>
          <w:rFonts w:eastAsia="Times New Roman"/>
          <w:iCs/>
        </w:rPr>
        <w:t xml:space="preserve"> </w:t>
      </w:r>
      <w:r w:rsidRPr="003B02F4">
        <w:rPr>
          <w:rFonts w:eastAsia="Times New Roman"/>
        </w:rPr>
        <w:t xml:space="preserve">(ARLA), forming </w:t>
      </w:r>
      <w:proofErr w:type="gramStart"/>
      <w:r w:rsidRPr="003B02F4">
        <w:rPr>
          <w:rFonts w:eastAsia="Times New Roman"/>
        </w:rPr>
        <w:t>later on</w:t>
      </w:r>
      <w:proofErr w:type="gramEnd"/>
      <w:r w:rsidRPr="003B02F4">
        <w:rPr>
          <w:rFonts w:eastAsia="Times New Roman"/>
        </w:rPr>
        <w:t xml:space="preserve">. The government tried to organize all the </w:t>
      </w:r>
      <w:r w:rsidRPr="000B1687">
        <w:rPr>
          <w:rFonts w:eastAsia="Times New Roman"/>
        </w:rPr>
        <w:t xml:space="preserve">groups in a unified movement, the </w:t>
      </w:r>
      <w:proofErr w:type="spellStart"/>
      <w:r w:rsidRPr="000B1687">
        <w:rPr>
          <w:rFonts w:eastAsia="Times New Roman"/>
          <w:iCs/>
        </w:rPr>
        <w:t>Mouvements</w:t>
      </w:r>
      <w:proofErr w:type="spellEnd"/>
      <w:r w:rsidRPr="000B1687">
        <w:rPr>
          <w:rFonts w:eastAsia="Times New Roman"/>
          <w:iCs/>
        </w:rPr>
        <w:t xml:space="preserve"> et Fronts </w:t>
      </w:r>
      <w:proofErr w:type="spellStart"/>
      <w:r w:rsidRPr="000B1687">
        <w:rPr>
          <w:rFonts w:eastAsia="Times New Roman"/>
          <w:iCs/>
        </w:rPr>
        <w:t>Unifiés</w:t>
      </w:r>
      <w:proofErr w:type="spellEnd"/>
      <w:r w:rsidRPr="000B1687">
        <w:rPr>
          <w:rFonts w:eastAsia="Times New Roman"/>
          <w:iCs/>
        </w:rPr>
        <w:t xml:space="preserve"> de </w:t>
      </w:r>
      <w:proofErr w:type="spellStart"/>
      <w:r w:rsidRPr="000B1687">
        <w:rPr>
          <w:rFonts w:eastAsia="Times New Roman"/>
          <w:iCs/>
        </w:rPr>
        <w:t>l’Azawad</w:t>
      </w:r>
      <w:proofErr w:type="spellEnd"/>
      <w:r w:rsidRPr="000B1687">
        <w:rPr>
          <w:rFonts w:eastAsia="Times New Roman"/>
          <w:iCs/>
        </w:rPr>
        <w:t xml:space="preserve"> </w:t>
      </w:r>
      <w:r w:rsidRPr="000B1687">
        <w:rPr>
          <w:rFonts w:eastAsia="Times New Roman"/>
        </w:rPr>
        <w:t xml:space="preserve">(MFUA). </w:t>
      </w:r>
    </w:p>
    <w:p w14:paraId="1E81FD75" w14:textId="01389E42" w:rsidR="002739B7" w:rsidRPr="000B1687" w:rsidRDefault="003D2842" w:rsidP="006E1063">
      <w:pPr>
        <w:pStyle w:val="ListParagraph"/>
        <w:numPr>
          <w:ilvl w:val="0"/>
          <w:numId w:val="3"/>
        </w:numPr>
        <w:tabs>
          <w:tab w:val="left" w:pos="1260"/>
        </w:tabs>
      </w:pPr>
      <w:r w:rsidRPr="000B1687">
        <w:rPr>
          <w:rFonts w:eastAsia="Times New Roman"/>
        </w:rPr>
        <w:t>A National Pact signed in 1992 offered economic concessions to the North, as well as substantial autonomy (decentralization) through proposed constitutional reforms. However, just as with the earlier peace efforts through the Tamanrasset Accords, the resources were not available to deliver on all the promises made by the National Pact. Inter-communal violence continued due to frustrations with the implementation of the National Pact, increased banditry, and factionalism</w:t>
      </w:r>
      <w:r w:rsidR="002739B7" w:rsidRPr="000B1687">
        <w:rPr>
          <w:rFonts w:eastAsia="Times New Roman"/>
        </w:rPr>
        <w:t xml:space="preserve"> (</w:t>
      </w:r>
      <w:proofErr w:type="spellStart"/>
      <w:r w:rsidR="002739B7" w:rsidRPr="000B1687">
        <w:rPr>
          <w:rFonts w:eastAsia="Times New Roman"/>
        </w:rPr>
        <w:t>Lecocq</w:t>
      </w:r>
      <w:proofErr w:type="spellEnd"/>
      <w:r w:rsidR="002739B7" w:rsidRPr="000B1687">
        <w:rPr>
          <w:rFonts w:eastAsia="Times New Roman"/>
        </w:rPr>
        <w:t xml:space="preserve"> 2010; </w:t>
      </w:r>
      <w:proofErr w:type="spellStart"/>
      <w:r w:rsidR="002739B7" w:rsidRPr="000B1687">
        <w:rPr>
          <w:rFonts w:eastAsia="Times New Roman"/>
        </w:rPr>
        <w:t>Macartan</w:t>
      </w:r>
      <w:proofErr w:type="spellEnd"/>
      <w:r w:rsidR="002739B7" w:rsidRPr="000B1687">
        <w:rPr>
          <w:rFonts w:eastAsia="Times New Roman"/>
        </w:rPr>
        <w:t xml:space="preserve"> &amp; Mohamed 2005; Minahan 1996, 2002; MAR; UCDP/PRIO).</w:t>
      </w:r>
    </w:p>
    <w:p w14:paraId="741C083D" w14:textId="3AEA7302" w:rsidR="002739B7" w:rsidRPr="000B1687" w:rsidRDefault="002739B7" w:rsidP="006E1063">
      <w:pPr>
        <w:pStyle w:val="ListParagraph"/>
        <w:numPr>
          <w:ilvl w:val="0"/>
          <w:numId w:val="3"/>
        </w:numPr>
        <w:tabs>
          <w:tab w:val="left" w:pos="1260"/>
        </w:tabs>
      </w:pPr>
      <w:r w:rsidRPr="000B1687">
        <w:lastRenderedPageBreak/>
        <w:t>The civil war ended in 1995, but sporadic clashes continued throughout the rest of the 1990s and 2000s, with an escalation in 2007-2009 (</w:t>
      </w:r>
      <w:proofErr w:type="spellStart"/>
      <w:r w:rsidRPr="000B1687">
        <w:t>Sambanis</w:t>
      </w:r>
      <w:proofErr w:type="spellEnd"/>
      <w:r w:rsidRPr="000B1687">
        <w:t xml:space="preserve"> &amp; </w:t>
      </w:r>
      <w:proofErr w:type="spellStart"/>
      <w:r w:rsidRPr="000B1687">
        <w:t>Schulhofer</w:t>
      </w:r>
      <w:proofErr w:type="spellEnd"/>
      <w:r w:rsidRPr="000B1687">
        <w:t>-Wohl 2019; UCDP/PRIO).</w:t>
      </w:r>
    </w:p>
    <w:p w14:paraId="31B2D179" w14:textId="77E8ACB5" w:rsidR="000448D2" w:rsidRPr="000B1687" w:rsidRDefault="000448D2" w:rsidP="006E1063">
      <w:pPr>
        <w:pStyle w:val="ListParagraph"/>
        <w:numPr>
          <w:ilvl w:val="0"/>
          <w:numId w:val="3"/>
        </w:numPr>
        <w:tabs>
          <w:tab w:val="left" w:pos="1260"/>
        </w:tabs>
      </w:pPr>
      <w:r w:rsidRPr="000B1687">
        <w:rPr>
          <w:rFonts w:eastAsia="Times New Roman"/>
        </w:rPr>
        <w:t xml:space="preserve">The National Movement for the Liberation of Azawad (MNLA), formed in late 2011, brought together Tuareg leaders from the National Movement for Azawad (the MNA, formed by young Tuareg students and graduates the previous year), and more militant leaders of rebel groups. Many of these leaders were Tuareg who had left Mali in disappointment following the 1992 National Pact, and had been recruited by Ag </w:t>
      </w:r>
      <w:proofErr w:type="spellStart"/>
      <w:r w:rsidRPr="000B1687">
        <w:rPr>
          <w:rFonts w:eastAsia="Times New Roman"/>
        </w:rPr>
        <w:t>Bahanga</w:t>
      </w:r>
      <w:proofErr w:type="spellEnd"/>
      <w:r w:rsidRPr="000B1687">
        <w:rPr>
          <w:rFonts w:eastAsia="Times New Roman"/>
        </w:rPr>
        <w:t xml:space="preserve"> in Libya</w:t>
      </w:r>
      <w:r w:rsidR="009C69EE">
        <w:rPr>
          <w:rFonts w:eastAsia="Times New Roman"/>
        </w:rPr>
        <w:t xml:space="preserve"> (Lecoq &amp; </w:t>
      </w:r>
      <w:proofErr w:type="spellStart"/>
      <w:r w:rsidR="009C69EE">
        <w:rPr>
          <w:rFonts w:eastAsia="Times New Roman"/>
        </w:rPr>
        <w:t>Klute</w:t>
      </w:r>
      <w:proofErr w:type="spellEnd"/>
      <w:r w:rsidR="009C69EE">
        <w:rPr>
          <w:rFonts w:eastAsia="Times New Roman"/>
        </w:rPr>
        <w:t xml:space="preserve"> 2019)</w:t>
      </w:r>
      <w:r w:rsidRPr="000B1687">
        <w:rPr>
          <w:rFonts w:eastAsia="Times New Roman"/>
        </w:rPr>
        <w:t>.</w:t>
      </w:r>
    </w:p>
    <w:p w14:paraId="3E31B552" w14:textId="3BB65022" w:rsidR="008D2081" w:rsidRPr="000B1687" w:rsidRDefault="008D2081" w:rsidP="006E1063">
      <w:pPr>
        <w:pStyle w:val="ListParagraph"/>
        <w:numPr>
          <w:ilvl w:val="0"/>
          <w:numId w:val="3"/>
        </w:numPr>
        <w:tabs>
          <w:tab w:val="left" w:pos="1260"/>
        </w:tabs>
      </w:pPr>
      <w:r w:rsidRPr="000B1687">
        <w:t xml:space="preserve">In 2012, </w:t>
      </w:r>
      <w:r w:rsidR="0070670F" w:rsidRPr="000B1687">
        <w:t xml:space="preserve">fighting escalated </w:t>
      </w:r>
      <w:r w:rsidRPr="000B1687">
        <w:t xml:space="preserve">between </w:t>
      </w:r>
      <w:r w:rsidR="0070670F" w:rsidRPr="000B1687">
        <w:t xml:space="preserve">MNLA rebels and </w:t>
      </w:r>
      <w:r w:rsidRPr="000B1687">
        <w:t xml:space="preserve">the Malian </w:t>
      </w:r>
      <w:r w:rsidR="0070670F" w:rsidRPr="000B1687">
        <w:t>a</w:t>
      </w:r>
      <w:r w:rsidRPr="000B1687">
        <w:t>rmy</w:t>
      </w:r>
      <w:r w:rsidR="0070670F" w:rsidRPr="000B1687">
        <w:t xml:space="preserve">, which led to a </w:t>
      </w:r>
      <w:r w:rsidRPr="000B1687">
        <w:t xml:space="preserve">military coup </w:t>
      </w:r>
      <w:proofErr w:type="spellStart"/>
      <w:r w:rsidRPr="000B1687">
        <w:t>d’etat</w:t>
      </w:r>
      <w:proofErr w:type="spellEnd"/>
      <w:r w:rsidRPr="000B1687">
        <w:t xml:space="preserve"> on 21 March 2012. President </w:t>
      </w:r>
      <w:proofErr w:type="spellStart"/>
      <w:r w:rsidRPr="000B1687">
        <w:t>Toure</w:t>
      </w:r>
      <w:proofErr w:type="spellEnd"/>
      <w:r w:rsidRPr="000B1687">
        <w:t xml:space="preserve"> resigned shortly after, together with the </w:t>
      </w:r>
      <w:proofErr w:type="spellStart"/>
      <w:r w:rsidRPr="000B1687">
        <w:t>the</w:t>
      </w:r>
      <w:proofErr w:type="spellEnd"/>
      <w:r w:rsidRPr="000B1687">
        <w:t xml:space="preserve"> coup leader, Cpt. Sanogo. The weakening of the state allowed MNLA rebels to overrun the northern third of Mali’s territory and to declare the independence of the state of Azawad on 6 April 2012</w:t>
      </w:r>
      <w:r w:rsidR="006F7A93" w:rsidRPr="000B1687">
        <w:t xml:space="preserve"> (Girardin 2021: 1215)</w:t>
      </w:r>
      <w:r w:rsidR="0070670F" w:rsidRPr="000B1687">
        <w:t>.</w:t>
      </w:r>
    </w:p>
    <w:p w14:paraId="1018539F" w14:textId="7D2BBFD8" w:rsidR="001360D2" w:rsidRPr="000B1687" w:rsidRDefault="001360D2" w:rsidP="006E1063">
      <w:pPr>
        <w:pStyle w:val="ListParagraph"/>
        <w:numPr>
          <w:ilvl w:val="0"/>
          <w:numId w:val="3"/>
        </w:numPr>
        <w:tabs>
          <w:tab w:val="left" w:pos="1260"/>
        </w:tabs>
      </w:pPr>
      <w:r w:rsidRPr="000B1687">
        <w:t xml:space="preserve">On 14 January 2013, after the French intervention in the conflict had commenced, the MNLA declared it would fight alongside the French and the Malian government to </w:t>
      </w:r>
      <w:r w:rsidR="0070670F" w:rsidRPr="000B1687">
        <w:t>“</w:t>
      </w:r>
      <w:r w:rsidRPr="000B1687">
        <w:t>end terrorism in Azawad</w:t>
      </w:r>
      <w:r w:rsidR="0070670F" w:rsidRPr="000B1687">
        <w:t xml:space="preserve">” </w:t>
      </w:r>
      <w:r w:rsidR="00AC7F5F" w:rsidRPr="000B1687">
        <w:t>(</w:t>
      </w:r>
      <w:r w:rsidR="00FF327D" w:rsidRPr="000B1687">
        <w:t>Hir</w:t>
      </w:r>
      <w:r w:rsidR="00AC7F5F" w:rsidRPr="000B1687">
        <w:t>sch 2013)</w:t>
      </w:r>
      <w:r w:rsidR="00E24202" w:rsidRPr="000B1687">
        <w:t xml:space="preserve">. </w:t>
      </w:r>
      <w:r w:rsidRPr="000B1687">
        <w:t>At the same time the MNLA warned the Malian forces not to enter territories it considered its own before an autonomy agreement was signed</w:t>
      </w:r>
      <w:r w:rsidR="00AC7F5F" w:rsidRPr="000B1687">
        <w:t xml:space="preserve"> (Star Africa 14</w:t>
      </w:r>
      <w:r w:rsidR="00AC7F5F" w:rsidRPr="000B1687">
        <w:rPr>
          <w:vertAlign w:val="superscript"/>
        </w:rPr>
        <w:t>th</w:t>
      </w:r>
      <w:r w:rsidR="00AC7F5F" w:rsidRPr="000B1687">
        <w:t xml:space="preserve"> January 2013)</w:t>
      </w:r>
      <w:r w:rsidRPr="000B1687">
        <w:t>.</w:t>
      </w:r>
    </w:p>
    <w:p w14:paraId="3CAE7E94" w14:textId="3F3AD3F3" w:rsidR="0025777F" w:rsidRPr="000B1687" w:rsidRDefault="0025777F" w:rsidP="006E1063">
      <w:pPr>
        <w:pStyle w:val="ListParagraph"/>
        <w:numPr>
          <w:ilvl w:val="0"/>
          <w:numId w:val="3"/>
        </w:numPr>
        <w:tabs>
          <w:tab w:val="left" w:pos="1260"/>
        </w:tabs>
        <w:rPr>
          <w:rFonts w:cs="Times New Roman"/>
        </w:rPr>
      </w:pPr>
      <w:r w:rsidRPr="000B1687">
        <w:rPr>
          <w:rFonts w:cs="Times New Roman"/>
          <w:color w:val="000000"/>
          <w:shd w:val="clear" w:color="auto" w:fill="FEFEFE"/>
        </w:rPr>
        <w:t>In June 2014</w:t>
      </w:r>
      <w:r w:rsidR="0070670F" w:rsidRPr="000B1687">
        <w:rPr>
          <w:rFonts w:cs="Times New Roman"/>
          <w:color w:val="000000"/>
          <w:shd w:val="clear" w:color="auto" w:fill="FEFEFE"/>
        </w:rPr>
        <w:t>,</w:t>
      </w:r>
      <w:r w:rsidRPr="000B1687">
        <w:rPr>
          <w:rFonts w:cs="Times New Roman"/>
          <w:color w:val="000000"/>
          <w:shd w:val="clear" w:color="auto" w:fill="FEFEFE"/>
        </w:rPr>
        <w:t xml:space="preserve"> </w:t>
      </w:r>
      <w:r w:rsidR="0070670F" w:rsidRPr="000B1687">
        <w:rPr>
          <w:rFonts w:cs="Times New Roman"/>
          <w:color w:val="000000"/>
          <w:shd w:val="clear" w:color="auto" w:fill="FEFEFE"/>
        </w:rPr>
        <w:t>various</w:t>
      </w:r>
      <w:r w:rsidRPr="000B1687">
        <w:rPr>
          <w:rFonts w:cs="Times New Roman"/>
          <w:color w:val="000000"/>
          <w:shd w:val="clear" w:color="auto" w:fill="FEFEFE"/>
        </w:rPr>
        <w:t xml:space="preserve"> northern groups </w:t>
      </w:r>
      <w:r w:rsidR="0070670F" w:rsidRPr="000B1687">
        <w:rPr>
          <w:rFonts w:cs="Times New Roman"/>
          <w:color w:val="000000"/>
          <w:shd w:val="clear" w:color="auto" w:fill="FEFEFE"/>
        </w:rPr>
        <w:t>grouped themselves in one of two</w:t>
      </w:r>
      <w:r w:rsidRPr="000B1687">
        <w:rPr>
          <w:rFonts w:cs="Times New Roman"/>
          <w:color w:val="000000"/>
          <w:shd w:val="clear" w:color="auto" w:fill="FEFEFE"/>
        </w:rPr>
        <w:t xml:space="preserve"> camps</w:t>
      </w:r>
      <w:r w:rsidR="0070670F" w:rsidRPr="000B1687">
        <w:rPr>
          <w:rFonts w:cs="Times New Roman"/>
          <w:color w:val="000000"/>
          <w:shd w:val="clear" w:color="auto" w:fill="FEFEFE"/>
        </w:rPr>
        <w:t>, the</w:t>
      </w:r>
      <w:r w:rsidRPr="000B1687">
        <w:rPr>
          <w:rFonts w:cs="Times New Roman"/>
          <w:color w:val="000000"/>
          <w:shd w:val="clear" w:color="auto" w:fill="FEFEFE"/>
        </w:rPr>
        <w:t> </w:t>
      </w:r>
      <w:hyperlink r:id="rId9" w:anchor="/actor/1158" w:history="1">
        <w:r w:rsidRPr="000B1687">
          <w:rPr>
            <w:rStyle w:val="Hyperlink"/>
            <w:rFonts w:cs="Times New Roman"/>
            <w:color w:val="auto"/>
            <w:shd w:val="clear" w:color="auto" w:fill="FEFEFE"/>
          </w:rPr>
          <w:t>CMA</w:t>
        </w:r>
      </w:hyperlink>
      <w:r w:rsidRPr="000B1687">
        <w:rPr>
          <w:rFonts w:cs="Times New Roman"/>
          <w:shd w:val="clear" w:color="auto" w:fill="FEFEFE"/>
        </w:rPr>
        <w:t xml:space="preserve"> (Coordination des </w:t>
      </w:r>
      <w:proofErr w:type="spellStart"/>
      <w:r w:rsidRPr="000B1687">
        <w:rPr>
          <w:rFonts w:cs="Times New Roman"/>
          <w:shd w:val="clear" w:color="auto" w:fill="FEFEFE"/>
        </w:rPr>
        <w:t>Mouvements</w:t>
      </w:r>
      <w:proofErr w:type="spellEnd"/>
      <w:r w:rsidRPr="000B1687">
        <w:rPr>
          <w:rFonts w:cs="Times New Roman"/>
          <w:shd w:val="clear" w:color="auto" w:fill="FEFEFE"/>
        </w:rPr>
        <w:t xml:space="preserve"> de </w:t>
      </w:r>
      <w:proofErr w:type="spellStart"/>
      <w:r w:rsidRPr="000B1687">
        <w:rPr>
          <w:rFonts w:cs="Times New Roman"/>
          <w:shd w:val="clear" w:color="auto" w:fill="FEFEFE"/>
        </w:rPr>
        <w:t>l’Azawad</w:t>
      </w:r>
      <w:proofErr w:type="spellEnd"/>
      <w:r w:rsidRPr="000B1687">
        <w:rPr>
          <w:rFonts w:cs="Times New Roman"/>
          <w:shd w:val="clear" w:color="auto" w:fill="FEFEFE"/>
        </w:rPr>
        <w:t xml:space="preserve">: Coordination of Azawad Movements) </w:t>
      </w:r>
      <w:r w:rsidR="0070670F" w:rsidRPr="000B1687">
        <w:rPr>
          <w:rFonts w:cs="Times New Roman"/>
          <w:shd w:val="clear" w:color="auto" w:fill="FEFEFE"/>
        </w:rPr>
        <w:t xml:space="preserve">and </w:t>
      </w:r>
      <w:r w:rsidRPr="000B1687">
        <w:rPr>
          <w:rFonts w:cs="Times New Roman"/>
          <w:shd w:val="clear" w:color="auto" w:fill="FEFEFE"/>
        </w:rPr>
        <w:t>Platform. The former included MNLA, MAA-</w:t>
      </w:r>
      <w:proofErr w:type="spellStart"/>
      <w:r w:rsidRPr="000B1687">
        <w:rPr>
          <w:rFonts w:cs="Times New Roman"/>
          <w:shd w:val="clear" w:color="auto" w:fill="FEFEFE"/>
        </w:rPr>
        <w:t>Ould</w:t>
      </w:r>
      <w:proofErr w:type="spellEnd"/>
      <w:r w:rsidRPr="000B1687">
        <w:rPr>
          <w:rFonts w:cs="Times New Roman"/>
          <w:shd w:val="clear" w:color="auto" w:fill="FEFEFE"/>
        </w:rPr>
        <w:t xml:space="preserve"> </w:t>
      </w:r>
      <w:proofErr w:type="spellStart"/>
      <w:r w:rsidRPr="000B1687">
        <w:rPr>
          <w:rFonts w:cs="Times New Roman"/>
          <w:shd w:val="clear" w:color="auto" w:fill="FEFEFE"/>
        </w:rPr>
        <w:t>Sidatti</w:t>
      </w:r>
      <w:proofErr w:type="spellEnd"/>
      <w:r w:rsidRPr="000B1687">
        <w:rPr>
          <w:rFonts w:cs="Times New Roman"/>
          <w:shd w:val="clear" w:color="auto" w:fill="FEFEFE"/>
        </w:rPr>
        <w:t>, HCUA, CM-FPR II (joined in August) and CPA (joined in September), all of which are pro-independence</w:t>
      </w:r>
      <w:r w:rsidR="0070670F" w:rsidRPr="000B1687">
        <w:rPr>
          <w:rFonts w:cs="Times New Roman"/>
          <w:shd w:val="clear" w:color="auto" w:fill="FEFEFE"/>
        </w:rPr>
        <w:t xml:space="preserve">. The </w:t>
      </w:r>
      <w:r w:rsidRPr="000B1687">
        <w:rPr>
          <w:rFonts w:cs="Times New Roman"/>
          <w:shd w:val="clear" w:color="auto" w:fill="FEFEFE"/>
        </w:rPr>
        <w:t>latter was made up of </w:t>
      </w:r>
      <w:hyperlink r:id="rId10" w:anchor="actor/4380" w:history="1">
        <w:r w:rsidRPr="000B1687">
          <w:rPr>
            <w:rStyle w:val="Hyperlink"/>
            <w:rFonts w:cs="Times New Roman"/>
            <w:color w:val="auto"/>
            <w:shd w:val="clear" w:color="auto" w:fill="FEFEFE"/>
          </w:rPr>
          <w:t>MAA</w:t>
        </w:r>
      </w:hyperlink>
      <w:r w:rsidRPr="000B1687">
        <w:rPr>
          <w:rFonts w:cs="Times New Roman"/>
          <w:shd w:val="clear" w:color="auto" w:fill="FEFEFE"/>
        </w:rPr>
        <w:t> a</w:t>
      </w:r>
      <w:r w:rsidRPr="000B1687">
        <w:rPr>
          <w:rFonts w:cs="Times New Roman"/>
          <w:color w:val="000000"/>
          <w:shd w:val="clear" w:color="auto" w:fill="FEFEFE"/>
        </w:rPr>
        <w:t>nd CM-FPR</w:t>
      </w:r>
      <w:r w:rsidR="000B1687" w:rsidRPr="000B1687">
        <w:rPr>
          <w:rFonts w:cs="Times New Roman"/>
          <w:color w:val="000000"/>
          <w:shd w:val="clear" w:color="auto" w:fill="FEFEFE"/>
        </w:rPr>
        <w:t>, which favor autonomy.</w:t>
      </w:r>
    </w:p>
    <w:p w14:paraId="4875F715" w14:textId="0AF2E8F3" w:rsidR="00702B31" w:rsidRPr="000B1687" w:rsidRDefault="00702B31" w:rsidP="006E1063">
      <w:pPr>
        <w:pStyle w:val="ListParagraph"/>
        <w:numPr>
          <w:ilvl w:val="0"/>
          <w:numId w:val="3"/>
        </w:numPr>
        <w:tabs>
          <w:tab w:val="left" w:pos="1260"/>
        </w:tabs>
      </w:pPr>
      <w:r w:rsidRPr="000B1687">
        <w:t>In mid-201</w:t>
      </w:r>
      <w:r w:rsidR="000B1687" w:rsidRPr="000B1687">
        <w:t xml:space="preserve">5, some Tuareg rebels </w:t>
      </w:r>
      <w:r w:rsidRPr="000B1687">
        <w:t>signed a peace deal that will give Azawad autonomy, though other groups continue</w:t>
      </w:r>
      <w:r w:rsidR="000B1687" w:rsidRPr="000B1687">
        <w:t>d</w:t>
      </w:r>
      <w:r w:rsidRPr="000B1687">
        <w:t xml:space="preserve"> to fight for independence</w:t>
      </w:r>
      <w:r w:rsidR="000B1687" w:rsidRPr="000B1687">
        <w:t xml:space="preserve"> </w:t>
      </w:r>
      <w:r w:rsidR="00EC7A62" w:rsidRPr="000B1687">
        <w:t>(UCDP 2017)</w:t>
      </w:r>
      <w:r w:rsidR="005E4AC1" w:rsidRPr="000B1687">
        <w:t>.</w:t>
      </w:r>
      <w:r w:rsidR="00600CD6" w:rsidRPr="000B1687">
        <w:t xml:space="preserve"> The failure of both parties to successfully implement the deal and for regional autonomy to be conferred contributed to the ongoing </w:t>
      </w:r>
      <w:r w:rsidR="00F04A2D" w:rsidRPr="000B1687">
        <w:t>conflict in Mali which persists to the present.</w:t>
      </w:r>
      <w:r w:rsidR="00D70E7D" w:rsidRPr="000B1687">
        <w:t xml:space="preserve"> </w:t>
      </w:r>
      <w:r w:rsidR="000B1687" w:rsidRPr="000B1687">
        <w:t>[start date 2: 19</w:t>
      </w:r>
      <w:r w:rsidR="007817D9">
        <w:t>90</w:t>
      </w:r>
      <w:r w:rsidR="000B1687" w:rsidRPr="000B1687">
        <w:t>; end date 2: ongoing]</w:t>
      </w:r>
    </w:p>
    <w:p w14:paraId="5A41D9B2" w14:textId="3CE5A062" w:rsidR="000B1687" w:rsidRPr="002739B7" w:rsidRDefault="000B1687" w:rsidP="003D2842">
      <w:pPr>
        <w:rPr>
          <w:sz w:val="22"/>
          <w:szCs w:val="22"/>
        </w:rPr>
      </w:pPr>
    </w:p>
    <w:p w14:paraId="11F64386" w14:textId="77777777" w:rsidR="003D2842" w:rsidRPr="002739B7" w:rsidRDefault="003D2842" w:rsidP="003D2842">
      <w:pPr>
        <w:rPr>
          <w:sz w:val="22"/>
          <w:szCs w:val="22"/>
        </w:rPr>
      </w:pPr>
    </w:p>
    <w:p w14:paraId="7BD95968" w14:textId="088621E2" w:rsidR="008C72DD" w:rsidRPr="0013580E" w:rsidRDefault="008C72DD" w:rsidP="008C72DD">
      <w:pPr>
        <w:rPr>
          <w:b/>
          <w:sz w:val="22"/>
          <w:szCs w:val="22"/>
        </w:rPr>
      </w:pPr>
      <w:r>
        <w:rPr>
          <w:b/>
          <w:sz w:val="22"/>
          <w:szCs w:val="22"/>
        </w:rPr>
        <w:t>Dominant c</w:t>
      </w:r>
      <w:r w:rsidRPr="0013580E">
        <w:rPr>
          <w:b/>
          <w:sz w:val="22"/>
          <w:szCs w:val="22"/>
        </w:rPr>
        <w:t>laim</w:t>
      </w:r>
    </w:p>
    <w:p w14:paraId="5C47E656" w14:textId="77777777" w:rsidR="008C72DD" w:rsidRPr="0013580E" w:rsidRDefault="008C72DD" w:rsidP="008C72DD">
      <w:pPr>
        <w:rPr>
          <w:bCs/>
          <w:sz w:val="22"/>
          <w:szCs w:val="22"/>
        </w:rPr>
      </w:pPr>
    </w:p>
    <w:p w14:paraId="4D5C5F50" w14:textId="4DCE23C4" w:rsidR="008C72DD" w:rsidRPr="0013580E" w:rsidRDefault="00737F93" w:rsidP="006E1063">
      <w:pPr>
        <w:pStyle w:val="ListParagraph"/>
        <w:numPr>
          <w:ilvl w:val="0"/>
          <w:numId w:val="4"/>
        </w:numPr>
        <w:rPr>
          <w:rFonts w:cs="Times New Roman"/>
          <w:bCs/>
          <w:szCs w:val="22"/>
        </w:rPr>
      </w:pPr>
      <w:r>
        <w:rPr>
          <w:rFonts w:cs="Times New Roman"/>
          <w:bCs/>
          <w:szCs w:val="22"/>
        </w:rPr>
        <w:t>The first</w:t>
      </w:r>
      <w:r w:rsidR="008C72DD" w:rsidRPr="0013580E">
        <w:rPr>
          <w:rFonts w:cs="Times New Roman"/>
          <w:bCs/>
          <w:szCs w:val="22"/>
        </w:rPr>
        <w:t xml:space="preserve"> Tuareg rebellion was predominantly caused by marginalization both under colonialism and in post-colonial Mali. But self-determination was also among the claims. Already prior to independence, there had been dreams of an independent Tuareg state (Azawad), comprised of territory in northern Mali, northern Niger, and southern Libya (Keita 1998: 108). The Minority Rights Group International also describes expectations during the colonial period among the Tuareg for an autonomous state (Azawad). These expectations carried into independent Mali. [196</w:t>
      </w:r>
      <w:r>
        <w:rPr>
          <w:rFonts w:cs="Times New Roman"/>
          <w:bCs/>
          <w:szCs w:val="22"/>
        </w:rPr>
        <w:t>0</w:t>
      </w:r>
      <w:r w:rsidR="008C72DD" w:rsidRPr="0013580E">
        <w:rPr>
          <w:rFonts w:cs="Times New Roman"/>
          <w:bCs/>
          <w:szCs w:val="22"/>
        </w:rPr>
        <w:t>-1964: independence claim]</w:t>
      </w:r>
    </w:p>
    <w:p w14:paraId="6BC15361" w14:textId="77777777" w:rsidR="008C72DD" w:rsidRDefault="008C72DD" w:rsidP="006E1063">
      <w:pPr>
        <w:pStyle w:val="ListParagraph"/>
        <w:numPr>
          <w:ilvl w:val="0"/>
          <w:numId w:val="4"/>
        </w:numPr>
        <w:rPr>
          <w:rFonts w:cs="Times New Roman"/>
          <w:bCs/>
          <w:szCs w:val="22"/>
        </w:rPr>
      </w:pPr>
      <w:r w:rsidRPr="0013580E">
        <w:rPr>
          <w:rFonts w:cs="Times New Roman"/>
          <w:bCs/>
          <w:szCs w:val="22"/>
        </w:rPr>
        <w:t>The second period of activity started in 19</w:t>
      </w:r>
      <w:r>
        <w:rPr>
          <w:rFonts w:cs="Times New Roman"/>
          <w:bCs/>
          <w:szCs w:val="22"/>
        </w:rPr>
        <w:t>90</w:t>
      </w:r>
      <w:r w:rsidRPr="0013580E">
        <w:rPr>
          <w:rFonts w:cs="Times New Roman"/>
          <w:bCs/>
          <w:szCs w:val="22"/>
        </w:rPr>
        <w:t>, when the ‘</w:t>
      </w:r>
      <w:proofErr w:type="spellStart"/>
      <w:r w:rsidRPr="0013580E">
        <w:rPr>
          <w:rFonts w:cs="Times New Roman"/>
          <w:bCs/>
          <w:szCs w:val="22"/>
        </w:rPr>
        <w:t>Mouvement</w:t>
      </w:r>
      <w:proofErr w:type="spellEnd"/>
      <w:r w:rsidRPr="0013580E">
        <w:rPr>
          <w:rFonts w:cs="Times New Roman"/>
          <w:bCs/>
          <w:szCs w:val="22"/>
        </w:rPr>
        <w:t xml:space="preserve"> Populaire de Libération de </w:t>
      </w:r>
      <w:proofErr w:type="spellStart"/>
      <w:r w:rsidRPr="0013580E">
        <w:rPr>
          <w:rFonts w:cs="Times New Roman"/>
          <w:bCs/>
          <w:szCs w:val="22"/>
        </w:rPr>
        <w:t>l’Azawad</w:t>
      </w:r>
      <w:proofErr w:type="spellEnd"/>
      <w:r w:rsidRPr="0013580E">
        <w:rPr>
          <w:rFonts w:cs="Times New Roman"/>
          <w:bCs/>
          <w:szCs w:val="22"/>
        </w:rPr>
        <w:t xml:space="preserve">’ (MPLA) </w:t>
      </w:r>
      <w:r>
        <w:rPr>
          <w:rFonts w:cs="Times New Roman"/>
          <w:bCs/>
          <w:szCs w:val="22"/>
        </w:rPr>
        <w:t>invaded Mali</w:t>
      </w:r>
      <w:r w:rsidRPr="0013580E">
        <w:rPr>
          <w:rFonts w:cs="Times New Roman"/>
          <w:bCs/>
          <w:szCs w:val="22"/>
        </w:rPr>
        <w:t xml:space="preserve">. The MPLA was initially the first Tuareg organizations fighting the Malian government, but the Arab component of the movement soon broke away and created the ‘Front </w:t>
      </w:r>
      <w:proofErr w:type="spellStart"/>
      <w:r w:rsidRPr="0013580E">
        <w:rPr>
          <w:rFonts w:cs="Times New Roman"/>
          <w:bCs/>
          <w:szCs w:val="22"/>
        </w:rPr>
        <w:t>Islamique</w:t>
      </w:r>
      <w:proofErr w:type="spellEnd"/>
      <w:r w:rsidRPr="0013580E">
        <w:rPr>
          <w:rFonts w:cs="Times New Roman"/>
          <w:bCs/>
          <w:szCs w:val="22"/>
        </w:rPr>
        <w:t xml:space="preserve"> </w:t>
      </w:r>
      <w:proofErr w:type="spellStart"/>
      <w:r w:rsidRPr="0013580E">
        <w:rPr>
          <w:rFonts w:cs="Times New Roman"/>
          <w:bCs/>
          <w:szCs w:val="22"/>
        </w:rPr>
        <w:t>Arabe</w:t>
      </w:r>
      <w:proofErr w:type="spellEnd"/>
      <w:r w:rsidRPr="0013580E">
        <w:rPr>
          <w:rFonts w:cs="Times New Roman"/>
          <w:bCs/>
          <w:szCs w:val="22"/>
        </w:rPr>
        <w:t xml:space="preserve"> de </w:t>
      </w:r>
      <w:proofErr w:type="spellStart"/>
      <w:r w:rsidRPr="0013580E">
        <w:rPr>
          <w:rFonts w:cs="Times New Roman"/>
          <w:bCs/>
          <w:szCs w:val="22"/>
        </w:rPr>
        <w:t>l’Azaouad</w:t>
      </w:r>
      <w:proofErr w:type="spellEnd"/>
      <w:r w:rsidRPr="0013580E">
        <w:rPr>
          <w:rFonts w:cs="Times New Roman"/>
          <w:bCs/>
          <w:szCs w:val="22"/>
        </w:rPr>
        <w:t xml:space="preserve">’ (FIAA) in 1990. Many splinter groups were formed during the early 1990s, such as the Front Populaire pour la Libération de </w:t>
      </w:r>
      <w:proofErr w:type="spellStart"/>
      <w:r w:rsidRPr="0013580E">
        <w:rPr>
          <w:rFonts w:cs="Times New Roman"/>
          <w:bCs/>
          <w:szCs w:val="22"/>
        </w:rPr>
        <w:t>l’Azaouad</w:t>
      </w:r>
      <w:proofErr w:type="spellEnd"/>
      <w:r w:rsidRPr="0013580E">
        <w:rPr>
          <w:rFonts w:cs="Times New Roman"/>
          <w:bCs/>
          <w:szCs w:val="22"/>
        </w:rPr>
        <w:t xml:space="preserve"> (FPLA) or the ‘Armée </w:t>
      </w:r>
      <w:proofErr w:type="spellStart"/>
      <w:r w:rsidRPr="0013580E">
        <w:rPr>
          <w:rFonts w:cs="Times New Roman"/>
          <w:bCs/>
          <w:szCs w:val="22"/>
        </w:rPr>
        <w:t>Révolutionnaire</w:t>
      </w:r>
      <w:proofErr w:type="spellEnd"/>
      <w:r w:rsidRPr="0013580E">
        <w:rPr>
          <w:rFonts w:cs="Times New Roman"/>
          <w:bCs/>
          <w:szCs w:val="22"/>
        </w:rPr>
        <w:t xml:space="preserve"> pour la Libération de </w:t>
      </w:r>
      <w:proofErr w:type="spellStart"/>
      <w:r w:rsidRPr="0013580E">
        <w:rPr>
          <w:rFonts w:cs="Times New Roman"/>
          <w:bCs/>
          <w:szCs w:val="22"/>
        </w:rPr>
        <w:t>l’Azaouad</w:t>
      </w:r>
      <w:proofErr w:type="spellEnd"/>
      <w:r w:rsidRPr="0013580E">
        <w:rPr>
          <w:rFonts w:cs="Times New Roman"/>
          <w:bCs/>
          <w:szCs w:val="22"/>
        </w:rPr>
        <w:t xml:space="preserve">’ (ARLA) in 1991. </w:t>
      </w:r>
    </w:p>
    <w:p w14:paraId="72A8AFD7" w14:textId="77777777" w:rsidR="008C72DD" w:rsidRDefault="008C72DD" w:rsidP="006E1063">
      <w:pPr>
        <w:pStyle w:val="ListParagraph"/>
        <w:numPr>
          <w:ilvl w:val="0"/>
          <w:numId w:val="4"/>
        </w:numPr>
        <w:rPr>
          <w:rFonts w:cs="Times New Roman"/>
          <w:bCs/>
          <w:szCs w:val="22"/>
        </w:rPr>
      </w:pPr>
      <w:r w:rsidRPr="0013580E">
        <w:rPr>
          <w:rFonts w:cs="Times New Roman"/>
          <w:bCs/>
          <w:szCs w:val="22"/>
        </w:rPr>
        <w:t xml:space="preserve">In addition to the fractionalization of the Tuareg claim, the individual organizations also changed their claims over time. </w:t>
      </w:r>
      <w:proofErr w:type="spellStart"/>
      <w:r w:rsidRPr="0013580E">
        <w:rPr>
          <w:rFonts w:cs="Times New Roman"/>
          <w:bCs/>
          <w:szCs w:val="22"/>
        </w:rPr>
        <w:t>Lecocq</w:t>
      </w:r>
      <w:proofErr w:type="spellEnd"/>
      <w:r w:rsidRPr="0013580E">
        <w:rPr>
          <w:rFonts w:cs="Times New Roman"/>
          <w:bCs/>
          <w:szCs w:val="22"/>
        </w:rPr>
        <w:t xml:space="preserve"> (2010) provides an overview of all relevant movements and their claims. </w:t>
      </w:r>
    </w:p>
    <w:p w14:paraId="4C6EB1D5" w14:textId="77777777" w:rsidR="008C72DD" w:rsidRPr="00C66A49" w:rsidRDefault="008C72DD" w:rsidP="006E1063">
      <w:pPr>
        <w:pStyle w:val="ListParagraph"/>
        <w:numPr>
          <w:ilvl w:val="0"/>
          <w:numId w:val="4"/>
        </w:numPr>
        <w:rPr>
          <w:rFonts w:cs="Times New Roman"/>
          <w:bCs/>
          <w:szCs w:val="22"/>
        </w:rPr>
      </w:pPr>
      <w:r w:rsidRPr="0013580E">
        <w:rPr>
          <w:rFonts w:cs="Times New Roman"/>
          <w:bCs/>
          <w:szCs w:val="22"/>
        </w:rPr>
        <w:t xml:space="preserve">The </w:t>
      </w:r>
      <w:r w:rsidRPr="00C66A49">
        <w:rPr>
          <w:rFonts w:cs="Times New Roman"/>
          <w:bCs/>
          <w:szCs w:val="22"/>
        </w:rPr>
        <w:t>UCDP Conflict Encyclopedia provides additional information on the individual claims: When the MPLA was still the only Tuareg self-determination organization, it demanded independence. However, when the MPLA changed its name to MPA (</w:t>
      </w:r>
      <w:proofErr w:type="spellStart"/>
      <w:r w:rsidRPr="00C66A49">
        <w:rPr>
          <w:rFonts w:cs="Times New Roman"/>
          <w:bCs/>
          <w:szCs w:val="22"/>
        </w:rPr>
        <w:t>Mouvement</w:t>
      </w:r>
      <w:proofErr w:type="spellEnd"/>
      <w:r w:rsidRPr="00C66A49">
        <w:rPr>
          <w:rFonts w:cs="Times New Roman"/>
          <w:bCs/>
          <w:szCs w:val="22"/>
        </w:rPr>
        <w:t xml:space="preserve"> Populaire de </w:t>
      </w:r>
      <w:proofErr w:type="spellStart"/>
      <w:r w:rsidRPr="00C66A49">
        <w:rPr>
          <w:rFonts w:cs="Times New Roman"/>
          <w:bCs/>
          <w:szCs w:val="22"/>
        </w:rPr>
        <w:t>l’Azaouad</w:t>
      </w:r>
      <w:proofErr w:type="spellEnd"/>
      <w:r w:rsidRPr="00C66A49">
        <w:rPr>
          <w:rFonts w:cs="Times New Roman"/>
          <w:bCs/>
          <w:szCs w:val="22"/>
        </w:rPr>
        <w:t xml:space="preserve">) in early 1991 and signed the Tamanrasset accord in May 1991, it limited its aim to autonomy within Mali. The FIAA also signed the accord that granted northern Mali widespread autonomy. The accord was rejected by both FPLA and ARLA, which according to UCDP returned to the ideology of independence. Since UCDP described both movements as “much smaller groups” than MPA and FIAA, autonomy is coded as the dominant claim from 1992 onwards following the first of January rule. </w:t>
      </w:r>
    </w:p>
    <w:p w14:paraId="4DA9136B" w14:textId="77777777" w:rsidR="008C72DD" w:rsidRPr="00C66A49" w:rsidRDefault="008C72DD" w:rsidP="006E1063">
      <w:pPr>
        <w:pStyle w:val="ListParagraph"/>
        <w:numPr>
          <w:ilvl w:val="0"/>
          <w:numId w:val="4"/>
        </w:numPr>
        <w:rPr>
          <w:rFonts w:cs="Times New Roman"/>
          <w:bCs/>
          <w:szCs w:val="22"/>
        </w:rPr>
      </w:pPr>
      <w:r w:rsidRPr="00C66A49">
        <w:rPr>
          <w:rFonts w:cs="Times New Roman"/>
          <w:bCs/>
          <w:szCs w:val="22"/>
        </w:rPr>
        <w:lastRenderedPageBreak/>
        <w:t xml:space="preserve">This coding is continued also for the relatively peaceful period between 1995 and 2007. The claim for autonomy in this period is also confirmed by Minorities at Risk. </w:t>
      </w:r>
    </w:p>
    <w:p w14:paraId="6A5ABDF2" w14:textId="77777777" w:rsidR="008C72DD" w:rsidRPr="00C66A49" w:rsidRDefault="008C72DD" w:rsidP="006E1063">
      <w:pPr>
        <w:pStyle w:val="ListParagraph"/>
        <w:numPr>
          <w:ilvl w:val="0"/>
          <w:numId w:val="4"/>
        </w:numPr>
        <w:rPr>
          <w:rFonts w:cs="Times New Roman"/>
          <w:bCs/>
          <w:szCs w:val="22"/>
        </w:rPr>
      </w:pPr>
      <w:r w:rsidRPr="00C66A49">
        <w:rPr>
          <w:rFonts w:cs="Times New Roman"/>
          <w:bCs/>
          <w:szCs w:val="22"/>
        </w:rPr>
        <w:t xml:space="preserve">In 2007, conflict erupted again with the ‘Alliance </w:t>
      </w:r>
      <w:proofErr w:type="spellStart"/>
      <w:r w:rsidRPr="00C66A49">
        <w:rPr>
          <w:rFonts w:cs="Times New Roman"/>
          <w:bCs/>
          <w:szCs w:val="22"/>
        </w:rPr>
        <w:t>démocratique</w:t>
      </w:r>
      <w:proofErr w:type="spellEnd"/>
      <w:r w:rsidRPr="00C66A49">
        <w:rPr>
          <w:rFonts w:cs="Times New Roman"/>
          <w:bCs/>
          <w:szCs w:val="22"/>
        </w:rPr>
        <w:t xml:space="preserve"> du 23 Mai pour le </w:t>
      </w:r>
      <w:proofErr w:type="spellStart"/>
      <w:r w:rsidRPr="00C66A49">
        <w:rPr>
          <w:rFonts w:cs="Times New Roman"/>
          <w:bCs/>
          <w:szCs w:val="22"/>
        </w:rPr>
        <w:t>changement</w:t>
      </w:r>
      <w:proofErr w:type="spellEnd"/>
      <w:r w:rsidRPr="00C66A49">
        <w:rPr>
          <w:rFonts w:cs="Times New Roman"/>
          <w:bCs/>
          <w:szCs w:val="22"/>
        </w:rPr>
        <w:t xml:space="preserve"> - Ibrahim </w:t>
      </w:r>
      <w:proofErr w:type="spellStart"/>
      <w:r w:rsidRPr="00C66A49">
        <w:rPr>
          <w:rFonts w:cs="Times New Roman"/>
          <w:bCs/>
          <w:szCs w:val="22"/>
        </w:rPr>
        <w:t>Bahanga</w:t>
      </w:r>
      <w:proofErr w:type="spellEnd"/>
      <w:r w:rsidRPr="00C66A49">
        <w:rPr>
          <w:rFonts w:cs="Times New Roman"/>
          <w:bCs/>
          <w:szCs w:val="22"/>
        </w:rPr>
        <w:t xml:space="preserve"> faction’ (later the ‘Alliance </w:t>
      </w:r>
      <w:proofErr w:type="spellStart"/>
      <w:r w:rsidRPr="00C66A49">
        <w:rPr>
          <w:rFonts w:cs="Times New Roman"/>
          <w:bCs/>
          <w:szCs w:val="22"/>
        </w:rPr>
        <w:t>Touareg</w:t>
      </w:r>
      <w:proofErr w:type="spellEnd"/>
      <w:r w:rsidRPr="00C66A49">
        <w:rPr>
          <w:rFonts w:cs="Times New Roman"/>
          <w:bCs/>
          <w:szCs w:val="22"/>
        </w:rPr>
        <w:t xml:space="preserve"> Nord Mali pour le </w:t>
      </w:r>
      <w:proofErr w:type="spellStart"/>
      <w:r w:rsidRPr="00C66A49">
        <w:rPr>
          <w:rFonts w:cs="Times New Roman"/>
          <w:bCs/>
          <w:szCs w:val="22"/>
        </w:rPr>
        <w:t>Changement</w:t>
      </w:r>
      <w:proofErr w:type="spellEnd"/>
      <w:r w:rsidRPr="00C66A49">
        <w:rPr>
          <w:rFonts w:cs="Times New Roman"/>
          <w:bCs/>
          <w:szCs w:val="22"/>
        </w:rPr>
        <w:t xml:space="preserve"> (ATNMC)’) revolting against discrimination of Tuareg in the Malian military. According to Call (2012: 171), Banga “demanded greater autonomy (though not independence)”. The claim for autonomy is thus continued. </w:t>
      </w:r>
    </w:p>
    <w:p w14:paraId="3635D118" w14:textId="0721931F" w:rsidR="008C72DD" w:rsidRPr="00E213C9" w:rsidRDefault="008C72DD" w:rsidP="006E1063">
      <w:pPr>
        <w:pStyle w:val="ListParagraph"/>
        <w:numPr>
          <w:ilvl w:val="0"/>
          <w:numId w:val="4"/>
        </w:numPr>
        <w:rPr>
          <w:rFonts w:cs="Times New Roman"/>
          <w:bCs/>
          <w:szCs w:val="22"/>
        </w:rPr>
      </w:pPr>
      <w:r w:rsidRPr="00E213C9">
        <w:rPr>
          <w:rFonts w:cs="Times New Roman"/>
          <w:bCs/>
          <w:szCs w:val="22"/>
        </w:rPr>
        <w:t xml:space="preserve">In 2011, after the fall of Gaddafi in Libya, Tuareg fighters returning from Libya formed the National Movement for the Liberation of Azawad (MNLA), together with remnants from the ATNMC and a Tuareg organization called MNA. The goal of MNLA was the creation of an independent Azawad (UCDP Conflict Encyclopedia). </w:t>
      </w:r>
      <w:r w:rsidR="006E1063" w:rsidRPr="00E213C9">
        <w:rPr>
          <w:rFonts w:cs="Times New Roman"/>
          <w:bCs/>
          <w:szCs w:val="22"/>
        </w:rPr>
        <w:t xml:space="preserve">In November 2011 the MNLA organized protests demanding </w:t>
      </w:r>
      <w:proofErr w:type="spellStart"/>
      <w:r w:rsidR="006E1063" w:rsidRPr="00E213C9">
        <w:rPr>
          <w:rFonts w:cs="Times New Roman"/>
          <w:bCs/>
          <w:szCs w:val="22"/>
        </w:rPr>
        <w:t>self determination</w:t>
      </w:r>
      <w:proofErr w:type="spellEnd"/>
      <w:r w:rsidR="006E1063" w:rsidRPr="00E213C9">
        <w:rPr>
          <w:rFonts w:cs="Times New Roman"/>
          <w:bCs/>
          <w:szCs w:val="22"/>
        </w:rPr>
        <w:t xml:space="preserve"> or independence (</w:t>
      </w:r>
      <w:proofErr w:type="spellStart"/>
      <w:r w:rsidR="006E1063" w:rsidRPr="00E213C9">
        <w:rPr>
          <w:rFonts w:cs="Times New Roman"/>
          <w:bCs/>
          <w:szCs w:val="22"/>
        </w:rPr>
        <w:t>Lococq</w:t>
      </w:r>
      <w:proofErr w:type="spellEnd"/>
      <w:r w:rsidR="006E1063" w:rsidRPr="00E213C9">
        <w:rPr>
          <w:rFonts w:cs="Times New Roman"/>
          <w:bCs/>
          <w:szCs w:val="22"/>
        </w:rPr>
        <w:t xml:space="preserve"> and </w:t>
      </w:r>
      <w:proofErr w:type="spellStart"/>
      <w:r w:rsidR="006E1063" w:rsidRPr="00E213C9">
        <w:rPr>
          <w:rFonts w:cs="Times New Roman"/>
          <w:bCs/>
          <w:szCs w:val="22"/>
        </w:rPr>
        <w:t>Klute</w:t>
      </w:r>
      <w:proofErr w:type="spellEnd"/>
      <w:r w:rsidR="006E1063" w:rsidRPr="00E213C9">
        <w:rPr>
          <w:rFonts w:cs="Times New Roman"/>
          <w:bCs/>
          <w:szCs w:val="22"/>
        </w:rPr>
        <w:t xml:space="preserve"> 2019: 42). </w:t>
      </w:r>
      <w:r w:rsidRPr="00E213C9">
        <w:rPr>
          <w:rFonts w:cs="Times New Roman"/>
          <w:bCs/>
          <w:szCs w:val="22"/>
        </w:rPr>
        <w:t xml:space="preserve">In 2012, MNLA declared the independence of Azawad (BBC 2012). </w:t>
      </w:r>
    </w:p>
    <w:p w14:paraId="49A359F0" w14:textId="77777777" w:rsidR="008C72DD" w:rsidRPr="00C66A49" w:rsidRDefault="008C72DD" w:rsidP="006E1063">
      <w:pPr>
        <w:pStyle w:val="ListParagraph"/>
        <w:numPr>
          <w:ilvl w:val="0"/>
          <w:numId w:val="4"/>
        </w:numPr>
        <w:rPr>
          <w:rFonts w:cs="Times New Roman"/>
          <w:bCs/>
          <w:szCs w:val="22"/>
        </w:rPr>
      </w:pPr>
      <w:r w:rsidRPr="00E213C9">
        <w:rPr>
          <w:rFonts w:cs="Times New Roman"/>
          <w:bCs/>
          <w:szCs w:val="22"/>
        </w:rPr>
        <w:t xml:space="preserve">The second major group in the renewed insurgency was the </w:t>
      </w:r>
      <w:proofErr w:type="spellStart"/>
      <w:r w:rsidRPr="00E213C9">
        <w:rPr>
          <w:rFonts w:cs="Times New Roman"/>
          <w:bCs/>
          <w:szCs w:val="22"/>
        </w:rPr>
        <w:t>islamist</w:t>
      </w:r>
      <w:proofErr w:type="spellEnd"/>
      <w:r w:rsidRPr="00E213C9">
        <w:rPr>
          <w:rFonts w:cs="Times New Roman"/>
          <w:bCs/>
          <w:szCs w:val="22"/>
        </w:rPr>
        <w:t xml:space="preserve"> Ansar Dine. According to UCDP and Cline (2013: 623), Ansar Dine favored the implementation of sharia law in the entire country and did not demand the creation</w:t>
      </w:r>
      <w:r w:rsidRPr="00C66A49">
        <w:rPr>
          <w:rFonts w:cs="Times New Roman"/>
          <w:bCs/>
          <w:szCs w:val="22"/>
        </w:rPr>
        <w:t xml:space="preserve"> of an independent Azawad. However, a short-lived agreement in 2012 between Ansar Dine and MNLA to create an independent Islamic state of Azawad and the fact that Ansar Dine created a de facto Islamic state in northern Mali after driving out MNLA (UCDP) would also suggest secessionist tendencies. </w:t>
      </w:r>
    </w:p>
    <w:p w14:paraId="1ABE2C53" w14:textId="77777777" w:rsidR="008C72DD" w:rsidRPr="00C66A49" w:rsidRDefault="008C72DD" w:rsidP="006E1063">
      <w:pPr>
        <w:pStyle w:val="ListParagraph"/>
        <w:numPr>
          <w:ilvl w:val="0"/>
          <w:numId w:val="4"/>
        </w:numPr>
        <w:tabs>
          <w:tab w:val="left" w:pos="1260"/>
        </w:tabs>
        <w:rPr>
          <w:rFonts w:cs="Times New Roman"/>
        </w:rPr>
      </w:pPr>
      <w:r w:rsidRPr="00C66A49">
        <w:rPr>
          <w:rFonts w:cs="Times New Roman"/>
          <w:color w:val="000000"/>
          <w:shd w:val="clear" w:color="auto" w:fill="FEFEFE"/>
        </w:rPr>
        <w:t>In June 2014, various northern groups grouped themselves in one of two camps, the </w:t>
      </w:r>
      <w:hyperlink r:id="rId11" w:anchor="/actor/1158" w:history="1">
        <w:r w:rsidRPr="00C66A49">
          <w:rPr>
            <w:rStyle w:val="Hyperlink"/>
            <w:rFonts w:cs="Times New Roman"/>
            <w:color w:val="auto"/>
            <w:shd w:val="clear" w:color="auto" w:fill="FEFEFE"/>
          </w:rPr>
          <w:t>CMA</w:t>
        </w:r>
      </w:hyperlink>
      <w:r w:rsidRPr="00C66A49">
        <w:rPr>
          <w:rFonts w:cs="Times New Roman"/>
          <w:shd w:val="clear" w:color="auto" w:fill="FEFEFE"/>
        </w:rPr>
        <w:t xml:space="preserve"> (Coordination des </w:t>
      </w:r>
      <w:proofErr w:type="spellStart"/>
      <w:r w:rsidRPr="00C66A49">
        <w:rPr>
          <w:rFonts w:cs="Times New Roman"/>
          <w:shd w:val="clear" w:color="auto" w:fill="FEFEFE"/>
        </w:rPr>
        <w:t>Mouvements</w:t>
      </w:r>
      <w:proofErr w:type="spellEnd"/>
      <w:r w:rsidRPr="00C66A49">
        <w:rPr>
          <w:rFonts w:cs="Times New Roman"/>
          <w:shd w:val="clear" w:color="auto" w:fill="FEFEFE"/>
        </w:rPr>
        <w:t xml:space="preserve"> de </w:t>
      </w:r>
      <w:proofErr w:type="spellStart"/>
      <w:r w:rsidRPr="00C66A49">
        <w:rPr>
          <w:rFonts w:cs="Times New Roman"/>
          <w:shd w:val="clear" w:color="auto" w:fill="FEFEFE"/>
        </w:rPr>
        <w:t>l’Azawad</w:t>
      </w:r>
      <w:proofErr w:type="spellEnd"/>
      <w:r w:rsidRPr="00C66A49">
        <w:rPr>
          <w:rFonts w:cs="Times New Roman"/>
          <w:shd w:val="clear" w:color="auto" w:fill="FEFEFE"/>
        </w:rPr>
        <w:t>: Coordination of Azawad Movements) and Platform. The former included MNLA, MAA-</w:t>
      </w:r>
      <w:proofErr w:type="spellStart"/>
      <w:r w:rsidRPr="00C66A49">
        <w:rPr>
          <w:rFonts w:cs="Times New Roman"/>
          <w:shd w:val="clear" w:color="auto" w:fill="FEFEFE"/>
        </w:rPr>
        <w:t>Ould</w:t>
      </w:r>
      <w:proofErr w:type="spellEnd"/>
      <w:r w:rsidRPr="00C66A49">
        <w:rPr>
          <w:rFonts w:cs="Times New Roman"/>
          <w:shd w:val="clear" w:color="auto" w:fill="FEFEFE"/>
        </w:rPr>
        <w:t xml:space="preserve"> </w:t>
      </w:r>
      <w:proofErr w:type="spellStart"/>
      <w:r w:rsidRPr="00C66A49">
        <w:rPr>
          <w:rFonts w:cs="Times New Roman"/>
          <w:shd w:val="clear" w:color="auto" w:fill="FEFEFE"/>
        </w:rPr>
        <w:t>Sidatti</w:t>
      </w:r>
      <w:proofErr w:type="spellEnd"/>
      <w:r w:rsidRPr="00C66A49">
        <w:rPr>
          <w:rFonts w:cs="Times New Roman"/>
          <w:shd w:val="clear" w:color="auto" w:fill="FEFEFE"/>
        </w:rPr>
        <w:t>, HCUA, CM-FPR II (joined in August) and CPA (joined in September), all of which are pro-independence. The latter was made up of </w:t>
      </w:r>
      <w:hyperlink r:id="rId12" w:anchor="actor/4380" w:history="1">
        <w:r w:rsidRPr="00C66A49">
          <w:rPr>
            <w:rStyle w:val="Hyperlink"/>
            <w:rFonts w:cs="Times New Roman"/>
            <w:color w:val="auto"/>
            <w:shd w:val="clear" w:color="auto" w:fill="FEFEFE"/>
          </w:rPr>
          <w:t>MAA</w:t>
        </w:r>
      </w:hyperlink>
      <w:r w:rsidRPr="00C66A49">
        <w:rPr>
          <w:rFonts w:cs="Times New Roman"/>
          <w:shd w:val="clear" w:color="auto" w:fill="FEFEFE"/>
        </w:rPr>
        <w:t> a</w:t>
      </w:r>
      <w:r w:rsidRPr="00C66A49">
        <w:rPr>
          <w:rFonts w:cs="Times New Roman"/>
          <w:color w:val="000000"/>
          <w:shd w:val="clear" w:color="auto" w:fill="FEFEFE"/>
        </w:rPr>
        <w:t>nd CM-FPR, which favor autonomy. We continue to code independence as the dominant claim because it is not clear what claim is dominant.</w:t>
      </w:r>
    </w:p>
    <w:p w14:paraId="0CB7215B" w14:textId="4B325FEC" w:rsidR="008C72DD" w:rsidRPr="002A22AA" w:rsidRDefault="008C72DD" w:rsidP="006E1063">
      <w:pPr>
        <w:pStyle w:val="ListParagraph"/>
        <w:numPr>
          <w:ilvl w:val="0"/>
          <w:numId w:val="4"/>
        </w:numPr>
        <w:rPr>
          <w:b/>
          <w:szCs w:val="22"/>
        </w:rPr>
      </w:pPr>
      <w:r w:rsidRPr="00C66A49">
        <w:rPr>
          <w:rFonts w:cs="Times New Roman"/>
          <w:bCs/>
          <w:szCs w:val="22"/>
        </w:rPr>
        <w:t>After the signing of the 2015 Bamako peace agreement, important Tuareg factions that had previously been secessionist, including MNLA and CMA, moderated their claim to autonomy (Al Jazeera 2015: IPI 2017), so we code an autonomy claim from</w:t>
      </w:r>
      <w:r w:rsidRPr="008144D7">
        <w:rPr>
          <w:rFonts w:cs="Times New Roman"/>
          <w:bCs/>
          <w:szCs w:val="22"/>
        </w:rPr>
        <w:t xml:space="preserve"> 2016 onward in keeping with the 1</w:t>
      </w:r>
      <w:r w:rsidRPr="008144D7">
        <w:rPr>
          <w:rFonts w:cs="Times New Roman"/>
          <w:bCs/>
          <w:szCs w:val="22"/>
          <w:vertAlign w:val="superscript"/>
        </w:rPr>
        <w:t>st</w:t>
      </w:r>
      <w:r w:rsidRPr="008144D7">
        <w:rPr>
          <w:rFonts w:cs="Times New Roman"/>
          <w:bCs/>
          <w:szCs w:val="22"/>
        </w:rPr>
        <w:t xml:space="preserve"> of January rule. [19</w:t>
      </w:r>
      <w:r w:rsidR="00772F58">
        <w:rPr>
          <w:rFonts w:cs="Times New Roman"/>
          <w:bCs/>
          <w:szCs w:val="22"/>
        </w:rPr>
        <w:t>90</w:t>
      </w:r>
      <w:r w:rsidRPr="008144D7">
        <w:rPr>
          <w:rFonts w:cs="Times New Roman"/>
          <w:bCs/>
          <w:szCs w:val="22"/>
        </w:rPr>
        <w:t xml:space="preserve">-1991: independence claim] </w:t>
      </w:r>
      <w:r w:rsidRPr="00E213C9">
        <w:rPr>
          <w:rFonts w:cs="Times New Roman"/>
          <w:bCs/>
          <w:szCs w:val="22"/>
        </w:rPr>
        <w:t>[1992-201</w:t>
      </w:r>
      <w:r w:rsidR="006E1063" w:rsidRPr="00E213C9">
        <w:rPr>
          <w:rFonts w:cs="Times New Roman"/>
          <w:bCs/>
          <w:szCs w:val="22"/>
        </w:rPr>
        <w:t>0</w:t>
      </w:r>
      <w:r w:rsidRPr="00E213C9">
        <w:rPr>
          <w:rFonts w:cs="Times New Roman"/>
          <w:bCs/>
          <w:szCs w:val="22"/>
        </w:rPr>
        <w:t xml:space="preserve">: autonomy </w:t>
      </w:r>
      <w:proofErr w:type="gramStart"/>
      <w:r w:rsidRPr="00E213C9">
        <w:rPr>
          <w:rFonts w:cs="Times New Roman"/>
          <w:bCs/>
          <w:szCs w:val="22"/>
        </w:rPr>
        <w:t>claim][</w:t>
      </w:r>
      <w:proofErr w:type="gramEnd"/>
      <w:r w:rsidRPr="00E213C9">
        <w:rPr>
          <w:rFonts w:cs="Times New Roman"/>
          <w:bCs/>
          <w:szCs w:val="22"/>
        </w:rPr>
        <w:t>201</w:t>
      </w:r>
      <w:r w:rsidR="006E1063" w:rsidRPr="00E213C9">
        <w:rPr>
          <w:rFonts w:cs="Times New Roman"/>
          <w:bCs/>
          <w:szCs w:val="22"/>
        </w:rPr>
        <w:t>1</w:t>
      </w:r>
      <w:r w:rsidRPr="00E213C9">
        <w:rPr>
          <w:rFonts w:cs="Times New Roman"/>
          <w:bCs/>
          <w:szCs w:val="22"/>
        </w:rPr>
        <w:t>-2015: independence claim; 2016-2020: autonomy claim]</w:t>
      </w:r>
    </w:p>
    <w:p w14:paraId="4DCB9C7B" w14:textId="77777777" w:rsidR="002A22AA" w:rsidRPr="008144D7" w:rsidRDefault="002A22AA" w:rsidP="002A22AA">
      <w:pPr>
        <w:pStyle w:val="ListParagraph"/>
        <w:rPr>
          <w:b/>
          <w:szCs w:val="22"/>
        </w:rPr>
      </w:pPr>
    </w:p>
    <w:p w14:paraId="6887522F" w14:textId="77777777" w:rsidR="008C72DD" w:rsidRDefault="008C72DD" w:rsidP="008C72DD">
      <w:pPr>
        <w:rPr>
          <w:b/>
          <w:sz w:val="22"/>
          <w:szCs w:val="22"/>
        </w:rPr>
      </w:pPr>
      <w:r>
        <w:rPr>
          <w:b/>
          <w:sz w:val="22"/>
          <w:szCs w:val="22"/>
        </w:rPr>
        <w:t xml:space="preserve"> </w:t>
      </w:r>
    </w:p>
    <w:p w14:paraId="6362FF6E" w14:textId="052F0416" w:rsidR="002A22AA" w:rsidRDefault="002A22AA" w:rsidP="008C72DD">
      <w:pPr>
        <w:rPr>
          <w:b/>
          <w:sz w:val="22"/>
          <w:szCs w:val="22"/>
        </w:rPr>
      </w:pPr>
      <w:r>
        <w:rPr>
          <w:b/>
          <w:sz w:val="22"/>
          <w:szCs w:val="22"/>
        </w:rPr>
        <w:t>Independence claims</w:t>
      </w:r>
    </w:p>
    <w:p w14:paraId="13533805" w14:textId="77777777" w:rsidR="002A22AA" w:rsidRDefault="002A22AA" w:rsidP="008C72DD">
      <w:pPr>
        <w:rPr>
          <w:bCs/>
          <w:sz w:val="22"/>
          <w:szCs w:val="22"/>
        </w:rPr>
      </w:pPr>
    </w:p>
    <w:p w14:paraId="535706EF" w14:textId="2551889A" w:rsidR="002A22AA" w:rsidRPr="00FE7F3A" w:rsidRDefault="00620A0A" w:rsidP="006E1063">
      <w:pPr>
        <w:pStyle w:val="ListParagraph"/>
        <w:numPr>
          <w:ilvl w:val="0"/>
          <w:numId w:val="7"/>
        </w:numPr>
        <w:rPr>
          <w:bCs/>
          <w:szCs w:val="22"/>
        </w:rPr>
      </w:pPr>
      <w:r w:rsidRPr="00FE7F3A">
        <w:rPr>
          <w:bCs/>
          <w:szCs w:val="22"/>
        </w:rPr>
        <w:t xml:space="preserve">The first period of the SDM </w:t>
      </w:r>
      <w:r w:rsidR="003613FA" w:rsidRPr="00FE7F3A">
        <w:rPr>
          <w:bCs/>
          <w:szCs w:val="22"/>
        </w:rPr>
        <w:t>was primarily about indep</w:t>
      </w:r>
      <w:r w:rsidR="00C66A49" w:rsidRPr="00FE7F3A">
        <w:rPr>
          <w:bCs/>
          <w:szCs w:val="22"/>
        </w:rPr>
        <w:t>end</w:t>
      </w:r>
      <w:r w:rsidR="003613FA" w:rsidRPr="00FE7F3A">
        <w:rPr>
          <w:bCs/>
          <w:szCs w:val="22"/>
        </w:rPr>
        <w:t xml:space="preserve">ence. </w:t>
      </w:r>
      <w:r w:rsidR="003613FA" w:rsidRPr="00FE7F3A">
        <w:rPr>
          <w:rFonts w:eastAsia="Times New Roman"/>
        </w:rPr>
        <w:t>[</w:t>
      </w:r>
      <w:r w:rsidR="00E213C9" w:rsidRPr="00FE7F3A">
        <w:rPr>
          <w:rFonts w:eastAsia="Times New Roman"/>
        </w:rPr>
        <w:t>start</w:t>
      </w:r>
      <w:r w:rsidR="003613FA" w:rsidRPr="00FE7F3A">
        <w:rPr>
          <w:rFonts w:eastAsia="Times New Roman"/>
        </w:rPr>
        <w:t xml:space="preserve"> date 1: 19</w:t>
      </w:r>
      <w:r w:rsidR="00737F93">
        <w:rPr>
          <w:rFonts w:eastAsia="Times New Roman"/>
        </w:rPr>
        <w:t>57</w:t>
      </w:r>
      <w:r w:rsidR="003613FA" w:rsidRPr="00FE7F3A">
        <w:rPr>
          <w:rFonts w:eastAsia="Times New Roman"/>
        </w:rPr>
        <w:t>; end date 1: 1964]</w:t>
      </w:r>
    </w:p>
    <w:p w14:paraId="22E316DD" w14:textId="0B77D14F" w:rsidR="003613FA" w:rsidRPr="00FE7F3A" w:rsidRDefault="00CD6473" w:rsidP="00D0220B">
      <w:pPr>
        <w:pStyle w:val="ListParagraph"/>
        <w:numPr>
          <w:ilvl w:val="0"/>
          <w:numId w:val="7"/>
        </w:numPr>
        <w:rPr>
          <w:bCs/>
          <w:szCs w:val="22"/>
        </w:rPr>
      </w:pPr>
      <w:r w:rsidRPr="00FE7F3A">
        <w:rPr>
          <w:bCs/>
          <w:szCs w:val="22"/>
        </w:rPr>
        <w:t xml:space="preserve">The second period of the SDM is more sporadic. </w:t>
      </w:r>
      <w:r w:rsidR="00535A6E" w:rsidRPr="00FE7F3A">
        <w:rPr>
          <w:bCs/>
          <w:szCs w:val="22"/>
        </w:rPr>
        <w:t xml:space="preserve">Independence is a clear claim until 1991, when the movement split into </w:t>
      </w:r>
      <w:proofErr w:type="spellStart"/>
      <w:r w:rsidR="00535A6E" w:rsidRPr="00FE7F3A">
        <w:rPr>
          <w:bCs/>
          <w:szCs w:val="22"/>
        </w:rPr>
        <w:t xml:space="preserve">pro </w:t>
      </w:r>
      <w:r w:rsidR="00AF2B11" w:rsidRPr="00FE7F3A">
        <w:rPr>
          <w:bCs/>
          <w:szCs w:val="22"/>
        </w:rPr>
        <w:t>autonomy</w:t>
      </w:r>
      <w:proofErr w:type="spellEnd"/>
      <w:r w:rsidR="00AF2B11" w:rsidRPr="00FE7F3A">
        <w:rPr>
          <w:bCs/>
          <w:szCs w:val="22"/>
        </w:rPr>
        <w:t xml:space="preserve"> and </w:t>
      </w:r>
      <w:proofErr w:type="spellStart"/>
      <w:proofErr w:type="gramStart"/>
      <w:r w:rsidR="00AF2B11" w:rsidRPr="00FE7F3A">
        <w:rPr>
          <w:bCs/>
          <w:szCs w:val="22"/>
        </w:rPr>
        <w:t>pro indep</w:t>
      </w:r>
      <w:r w:rsidR="009C3FB2" w:rsidRPr="00FE7F3A">
        <w:rPr>
          <w:bCs/>
          <w:szCs w:val="22"/>
        </w:rPr>
        <w:t>en</w:t>
      </w:r>
      <w:r w:rsidR="00AF2B11" w:rsidRPr="00FE7F3A">
        <w:rPr>
          <w:bCs/>
          <w:szCs w:val="22"/>
        </w:rPr>
        <w:t>dence</w:t>
      </w:r>
      <w:proofErr w:type="spellEnd"/>
      <w:proofErr w:type="gramEnd"/>
      <w:r w:rsidR="00AF2B11" w:rsidRPr="00FE7F3A">
        <w:rPr>
          <w:bCs/>
          <w:szCs w:val="22"/>
        </w:rPr>
        <w:t xml:space="preserve"> factions. Although the FPLA and ARLA are noted to be minor groups, these are still an armed, organized </w:t>
      </w:r>
      <w:proofErr w:type="spellStart"/>
      <w:r w:rsidR="00AF2B11" w:rsidRPr="00FE7F3A">
        <w:rPr>
          <w:bCs/>
          <w:szCs w:val="22"/>
        </w:rPr>
        <w:t>indepdence</w:t>
      </w:r>
      <w:proofErr w:type="spellEnd"/>
      <w:r w:rsidR="00AF2B11" w:rsidRPr="00FE7F3A">
        <w:rPr>
          <w:bCs/>
          <w:szCs w:val="22"/>
        </w:rPr>
        <w:t xml:space="preserve"> groups</w:t>
      </w:r>
      <w:r w:rsidR="0087090E" w:rsidRPr="00FE7F3A">
        <w:rPr>
          <w:bCs/>
          <w:szCs w:val="22"/>
        </w:rPr>
        <w:t xml:space="preserve">. </w:t>
      </w:r>
      <w:r w:rsidR="006B6E56" w:rsidRPr="00FE7F3A">
        <w:rPr>
          <w:bCs/>
          <w:szCs w:val="22"/>
        </w:rPr>
        <w:t xml:space="preserve">MAR also indicates that the conflict escalated, and it was only in 1995 when all the groups came together in a </w:t>
      </w:r>
      <w:r w:rsidR="000C4125" w:rsidRPr="00FE7F3A">
        <w:rPr>
          <w:bCs/>
          <w:szCs w:val="22"/>
        </w:rPr>
        <w:t>pe</w:t>
      </w:r>
      <w:r w:rsidR="006B6E56" w:rsidRPr="00FE7F3A">
        <w:rPr>
          <w:bCs/>
          <w:szCs w:val="22"/>
        </w:rPr>
        <w:t>ace process.</w:t>
      </w:r>
      <w:r w:rsidR="00010D2A" w:rsidRPr="00FE7F3A">
        <w:rPr>
          <w:bCs/>
          <w:szCs w:val="22"/>
        </w:rPr>
        <w:t xml:space="preserve"> The peace process, which began in 1992, so</w:t>
      </w:r>
      <w:r w:rsidR="00D0220B" w:rsidRPr="00FE7F3A">
        <w:rPr>
          <w:bCs/>
          <w:szCs w:val="22"/>
        </w:rPr>
        <w:t>ught to integrate the Tuareg provided some autonomy conce</w:t>
      </w:r>
      <w:r w:rsidR="00FE7F3A" w:rsidRPr="00FE7F3A">
        <w:rPr>
          <w:bCs/>
          <w:szCs w:val="22"/>
        </w:rPr>
        <w:t>s</w:t>
      </w:r>
      <w:r w:rsidR="00D0220B" w:rsidRPr="00FE7F3A">
        <w:rPr>
          <w:bCs/>
          <w:szCs w:val="22"/>
        </w:rPr>
        <w:t>sions in exchange for the Tuareg giving up on independence claims (</w:t>
      </w:r>
      <w:proofErr w:type="spellStart"/>
      <w:r w:rsidR="003618F6" w:rsidRPr="00FE7F3A">
        <w:rPr>
          <w:bCs/>
          <w:szCs w:val="22"/>
        </w:rPr>
        <w:t>Chauzal</w:t>
      </w:r>
      <w:proofErr w:type="spellEnd"/>
      <w:r w:rsidR="003618F6" w:rsidRPr="00FE7F3A">
        <w:rPr>
          <w:bCs/>
          <w:szCs w:val="22"/>
        </w:rPr>
        <w:t xml:space="preserve"> and van Damme 2015: Online).</w:t>
      </w:r>
      <w:r w:rsidR="006B6E56" w:rsidRPr="00FE7F3A">
        <w:rPr>
          <w:bCs/>
          <w:szCs w:val="22"/>
        </w:rPr>
        <w:t xml:space="preserve"> </w:t>
      </w:r>
      <w:r w:rsidR="00921AFC" w:rsidRPr="00FE7F3A">
        <w:rPr>
          <w:bCs/>
          <w:szCs w:val="22"/>
        </w:rPr>
        <w:t>Therefore indep</w:t>
      </w:r>
      <w:r w:rsidR="009C3FB2" w:rsidRPr="00FE7F3A">
        <w:rPr>
          <w:bCs/>
          <w:szCs w:val="22"/>
        </w:rPr>
        <w:t>en</w:t>
      </w:r>
      <w:r w:rsidR="00921AFC" w:rsidRPr="00FE7F3A">
        <w:rPr>
          <w:bCs/>
          <w:szCs w:val="22"/>
        </w:rPr>
        <w:t xml:space="preserve">dence is </w:t>
      </w:r>
      <w:r w:rsidR="006F2A61" w:rsidRPr="00FE7F3A">
        <w:rPr>
          <w:bCs/>
          <w:szCs w:val="22"/>
        </w:rPr>
        <w:t>a claim until this peace deal. [start date 2: 19</w:t>
      </w:r>
      <w:r w:rsidR="00772F58">
        <w:rPr>
          <w:bCs/>
          <w:szCs w:val="22"/>
        </w:rPr>
        <w:t>90</w:t>
      </w:r>
      <w:r w:rsidR="006F2A61" w:rsidRPr="00FE7F3A">
        <w:rPr>
          <w:bCs/>
          <w:szCs w:val="22"/>
        </w:rPr>
        <w:t xml:space="preserve">; end date 2: </w:t>
      </w:r>
      <w:r w:rsidR="007500A3" w:rsidRPr="00FE7F3A">
        <w:rPr>
          <w:bCs/>
          <w:szCs w:val="22"/>
        </w:rPr>
        <w:t>1995]</w:t>
      </w:r>
    </w:p>
    <w:p w14:paraId="00B713CA" w14:textId="293ADFD9" w:rsidR="007500A3" w:rsidRPr="00FE7F3A" w:rsidRDefault="007500A3" w:rsidP="006E1063">
      <w:pPr>
        <w:pStyle w:val="ListParagraph"/>
        <w:numPr>
          <w:ilvl w:val="0"/>
          <w:numId w:val="7"/>
        </w:numPr>
        <w:rPr>
          <w:bCs/>
          <w:szCs w:val="22"/>
        </w:rPr>
      </w:pPr>
      <w:proofErr w:type="spellStart"/>
      <w:r w:rsidRPr="00FE7F3A">
        <w:rPr>
          <w:bCs/>
          <w:szCs w:val="22"/>
        </w:rPr>
        <w:t>Lecocq</w:t>
      </w:r>
      <w:proofErr w:type="spellEnd"/>
      <w:r w:rsidRPr="00FE7F3A">
        <w:rPr>
          <w:bCs/>
          <w:szCs w:val="22"/>
        </w:rPr>
        <w:t xml:space="preserve"> and </w:t>
      </w:r>
      <w:proofErr w:type="spellStart"/>
      <w:r w:rsidRPr="00FE7F3A">
        <w:rPr>
          <w:bCs/>
          <w:szCs w:val="22"/>
        </w:rPr>
        <w:t>Klute</w:t>
      </w:r>
      <w:proofErr w:type="spellEnd"/>
      <w:r w:rsidRPr="00FE7F3A">
        <w:rPr>
          <w:bCs/>
          <w:szCs w:val="22"/>
        </w:rPr>
        <w:t xml:space="preserve"> note that the MNLA began demanding indep</w:t>
      </w:r>
      <w:r w:rsidR="0070786B" w:rsidRPr="00FE7F3A">
        <w:rPr>
          <w:bCs/>
          <w:szCs w:val="22"/>
        </w:rPr>
        <w:t>end</w:t>
      </w:r>
      <w:r w:rsidRPr="00FE7F3A">
        <w:rPr>
          <w:bCs/>
          <w:szCs w:val="22"/>
        </w:rPr>
        <w:t xml:space="preserve">ence </w:t>
      </w:r>
      <w:r w:rsidR="0070786B" w:rsidRPr="00FE7F3A">
        <w:rPr>
          <w:bCs/>
          <w:szCs w:val="22"/>
        </w:rPr>
        <w:t>through a series of protests in late</w:t>
      </w:r>
      <w:r w:rsidRPr="00FE7F3A">
        <w:rPr>
          <w:bCs/>
          <w:szCs w:val="22"/>
        </w:rPr>
        <w:t xml:space="preserve"> 2011</w:t>
      </w:r>
      <w:r w:rsidR="0070786B" w:rsidRPr="00FE7F3A">
        <w:rPr>
          <w:bCs/>
          <w:szCs w:val="22"/>
        </w:rPr>
        <w:t xml:space="preserve"> (but did not publish the demand on its website until 2012) (</w:t>
      </w:r>
      <w:r w:rsidR="00BF4FCF" w:rsidRPr="00FE7F3A">
        <w:rPr>
          <w:bCs/>
          <w:szCs w:val="22"/>
        </w:rPr>
        <w:t xml:space="preserve">2019: 42). </w:t>
      </w:r>
      <w:r w:rsidR="00B56DD9" w:rsidRPr="00FE7F3A">
        <w:rPr>
          <w:bCs/>
          <w:szCs w:val="22"/>
        </w:rPr>
        <w:t>This began the next period of indepen</w:t>
      </w:r>
      <w:r w:rsidR="009C3FB2" w:rsidRPr="00FE7F3A">
        <w:rPr>
          <w:bCs/>
          <w:szCs w:val="22"/>
        </w:rPr>
        <w:t>den</w:t>
      </w:r>
      <w:r w:rsidR="00B56DD9" w:rsidRPr="00FE7F3A">
        <w:rPr>
          <w:bCs/>
          <w:szCs w:val="22"/>
        </w:rPr>
        <w:t xml:space="preserve">ce claims, which lasted until </w:t>
      </w:r>
      <w:r w:rsidR="00655AB3" w:rsidRPr="00FE7F3A">
        <w:rPr>
          <w:bCs/>
          <w:szCs w:val="22"/>
        </w:rPr>
        <w:t xml:space="preserve">2015 when the Tuareg factions making independence claims moderated their claim to autonomy </w:t>
      </w:r>
      <w:r w:rsidR="00655AB3" w:rsidRPr="00FE7F3A">
        <w:rPr>
          <w:rFonts w:cs="Times New Roman"/>
          <w:bCs/>
          <w:szCs w:val="22"/>
        </w:rPr>
        <w:t xml:space="preserve">(Al Jazeera 2015: IPI 2017). [start date 3: </w:t>
      </w:r>
      <w:r w:rsidR="00C66A49" w:rsidRPr="00FE7F3A">
        <w:rPr>
          <w:rFonts w:cs="Times New Roman"/>
          <w:bCs/>
          <w:szCs w:val="22"/>
        </w:rPr>
        <w:t>2011; end date 3: 2015]</w:t>
      </w:r>
    </w:p>
    <w:p w14:paraId="5EE5B703" w14:textId="77777777" w:rsidR="002A22AA" w:rsidRDefault="002A22AA" w:rsidP="008C72DD">
      <w:pPr>
        <w:rPr>
          <w:bCs/>
          <w:sz w:val="22"/>
          <w:szCs w:val="22"/>
        </w:rPr>
      </w:pPr>
    </w:p>
    <w:p w14:paraId="0FA75A64" w14:textId="77777777" w:rsidR="002A22AA" w:rsidRDefault="002A22AA" w:rsidP="008C72DD">
      <w:pPr>
        <w:rPr>
          <w:bCs/>
          <w:sz w:val="22"/>
          <w:szCs w:val="22"/>
        </w:rPr>
      </w:pPr>
    </w:p>
    <w:p w14:paraId="0D037969" w14:textId="7E7ACE93" w:rsidR="002A22AA" w:rsidRDefault="002A22AA" w:rsidP="008C72DD">
      <w:pPr>
        <w:rPr>
          <w:b/>
          <w:sz w:val="22"/>
          <w:szCs w:val="22"/>
        </w:rPr>
      </w:pPr>
      <w:r>
        <w:rPr>
          <w:b/>
          <w:sz w:val="22"/>
          <w:szCs w:val="22"/>
        </w:rPr>
        <w:t>Irredentist claims</w:t>
      </w:r>
    </w:p>
    <w:p w14:paraId="524CED5E" w14:textId="77777777" w:rsidR="002A22AA" w:rsidRDefault="002A22AA" w:rsidP="008C72DD">
      <w:pPr>
        <w:rPr>
          <w:bCs/>
          <w:sz w:val="22"/>
          <w:szCs w:val="22"/>
        </w:rPr>
      </w:pPr>
    </w:p>
    <w:p w14:paraId="31EE2B66" w14:textId="449C3C0C" w:rsidR="002A22AA" w:rsidRDefault="00CD6473" w:rsidP="008C72DD">
      <w:pPr>
        <w:rPr>
          <w:bCs/>
          <w:sz w:val="22"/>
          <w:szCs w:val="22"/>
        </w:rPr>
      </w:pPr>
      <w:r>
        <w:rPr>
          <w:bCs/>
          <w:sz w:val="22"/>
          <w:szCs w:val="22"/>
        </w:rPr>
        <w:t>NA</w:t>
      </w:r>
    </w:p>
    <w:p w14:paraId="3FA28654" w14:textId="77777777" w:rsidR="002A22AA" w:rsidRDefault="002A22AA" w:rsidP="008C72DD">
      <w:pPr>
        <w:rPr>
          <w:bCs/>
          <w:sz w:val="22"/>
          <w:szCs w:val="22"/>
        </w:rPr>
      </w:pPr>
    </w:p>
    <w:p w14:paraId="299242F0" w14:textId="77777777" w:rsidR="002A22AA" w:rsidRPr="002A22AA" w:rsidRDefault="002A22AA" w:rsidP="008C72DD">
      <w:pPr>
        <w:rPr>
          <w:bCs/>
          <w:sz w:val="22"/>
          <w:szCs w:val="22"/>
        </w:rPr>
      </w:pPr>
    </w:p>
    <w:p w14:paraId="24A241A1" w14:textId="173EE850" w:rsidR="008C72DD" w:rsidRPr="0013580E" w:rsidRDefault="008C72DD" w:rsidP="008C72DD">
      <w:pPr>
        <w:rPr>
          <w:sz w:val="22"/>
          <w:szCs w:val="22"/>
        </w:rPr>
      </w:pPr>
      <w:r w:rsidRPr="0013580E">
        <w:rPr>
          <w:b/>
          <w:sz w:val="22"/>
          <w:szCs w:val="22"/>
        </w:rPr>
        <w:lastRenderedPageBreak/>
        <w:t>Claimed territory</w:t>
      </w:r>
    </w:p>
    <w:p w14:paraId="7FBC7BE6" w14:textId="77777777" w:rsidR="008C72DD" w:rsidRPr="0013580E" w:rsidRDefault="008C72DD" w:rsidP="008C72DD">
      <w:pPr>
        <w:rPr>
          <w:bCs/>
          <w:sz w:val="22"/>
          <w:szCs w:val="22"/>
        </w:rPr>
      </w:pPr>
    </w:p>
    <w:p w14:paraId="7CEA3284" w14:textId="2E98E271" w:rsidR="008C72DD" w:rsidRPr="0013580E" w:rsidRDefault="008C72DD" w:rsidP="006E1063">
      <w:pPr>
        <w:pStyle w:val="ListParagraph"/>
        <w:numPr>
          <w:ilvl w:val="0"/>
          <w:numId w:val="4"/>
        </w:numPr>
        <w:rPr>
          <w:rFonts w:cs="Times New Roman"/>
          <w:bCs/>
          <w:szCs w:val="22"/>
        </w:rPr>
      </w:pPr>
      <w:r w:rsidRPr="0013580E">
        <w:rPr>
          <w:rFonts w:cs="Times New Roman"/>
          <w:bCs/>
          <w:szCs w:val="22"/>
        </w:rPr>
        <w:t xml:space="preserve">The territory claimed by the Tuareg in Mali is the region of Azawad, which consists of the regions Gao, Tombouctou, </w:t>
      </w:r>
      <w:proofErr w:type="gramStart"/>
      <w:r w:rsidRPr="0013580E">
        <w:rPr>
          <w:rFonts w:cs="Times New Roman"/>
          <w:bCs/>
          <w:szCs w:val="22"/>
        </w:rPr>
        <w:t>Kidal</w:t>
      </w:r>
      <w:proofErr w:type="gramEnd"/>
      <w:r w:rsidRPr="0013580E">
        <w:rPr>
          <w:rFonts w:cs="Times New Roman"/>
          <w:bCs/>
          <w:szCs w:val="22"/>
        </w:rPr>
        <w:t xml:space="preserve"> and parts of the Mopti district (Minahan 2002; Roth 2015; Alvarado 2012). </w:t>
      </w:r>
      <w:r w:rsidR="00E4530C">
        <w:rPr>
          <w:rFonts w:cs="Times New Roman"/>
          <w:bCs/>
          <w:szCs w:val="22"/>
        </w:rPr>
        <w:t>A map can be found in</w:t>
      </w:r>
      <w:r w:rsidRPr="0013580E">
        <w:rPr>
          <w:rFonts w:cs="Times New Roman"/>
          <w:bCs/>
          <w:szCs w:val="22"/>
        </w:rPr>
        <w:t xml:space="preserve"> Roth (2015: 230).</w:t>
      </w:r>
      <w:r w:rsidR="00E4530C">
        <w:rPr>
          <w:rFonts w:cs="Times New Roman"/>
          <w:bCs/>
          <w:szCs w:val="22"/>
        </w:rPr>
        <w:t xml:space="preserve"> </w:t>
      </w:r>
      <w:r w:rsidR="00E4530C" w:rsidRPr="00E4530C">
        <w:rPr>
          <w:rFonts w:cs="Times New Roman"/>
          <w:bCs/>
          <w:szCs w:val="22"/>
        </w:rPr>
        <w:t xml:space="preserve">We code this claim using data on admin units from the Global Administrative Areas Database </w:t>
      </w:r>
      <w:r w:rsidR="00E4530C">
        <w:rPr>
          <w:rFonts w:cs="Times New Roman"/>
          <w:bCs/>
          <w:szCs w:val="22"/>
        </w:rPr>
        <w:t>(2019)</w:t>
      </w:r>
      <w:r w:rsidR="00E4530C" w:rsidRPr="00E4530C">
        <w:rPr>
          <w:rFonts w:cs="Times New Roman"/>
          <w:bCs/>
          <w:szCs w:val="22"/>
        </w:rPr>
        <w:t xml:space="preserve"> for polygon definition.</w:t>
      </w:r>
    </w:p>
    <w:p w14:paraId="3FA0FDD8" w14:textId="77777777" w:rsidR="008C72DD" w:rsidRPr="0013580E" w:rsidRDefault="008C72DD" w:rsidP="008C72DD">
      <w:pPr>
        <w:rPr>
          <w:bCs/>
          <w:sz w:val="22"/>
          <w:szCs w:val="22"/>
        </w:rPr>
      </w:pPr>
    </w:p>
    <w:p w14:paraId="1E37261B" w14:textId="77777777" w:rsidR="008C72DD" w:rsidRDefault="008C72DD" w:rsidP="008C72DD">
      <w:pPr>
        <w:rPr>
          <w:b/>
          <w:sz w:val="22"/>
          <w:szCs w:val="22"/>
        </w:rPr>
      </w:pPr>
    </w:p>
    <w:p w14:paraId="44BD9D18" w14:textId="77777777" w:rsidR="008C72DD" w:rsidRPr="0013580E" w:rsidRDefault="008C72DD" w:rsidP="008C72DD">
      <w:pPr>
        <w:rPr>
          <w:b/>
          <w:sz w:val="22"/>
          <w:szCs w:val="22"/>
        </w:rPr>
      </w:pPr>
      <w:r w:rsidRPr="0013580E">
        <w:rPr>
          <w:b/>
          <w:sz w:val="22"/>
          <w:szCs w:val="22"/>
        </w:rPr>
        <w:t>Sovereignty declarations</w:t>
      </w:r>
    </w:p>
    <w:p w14:paraId="39407FE8" w14:textId="77777777" w:rsidR="008C72DD" w:rsidRPr="0013580E" w:rsidRDefault="008C72DD" w:rsidP="008C72DD">
      <w:pPr>
        <w:rPr>
          <w:sz w:val="22"/>
          <w:szCs w:val="22"/>
        </w:rPr>
      </w:pPr>
    </w:p>
    <w:p w14:paraId="7A77A71E" w14:textId="53FF1D69" w:rsidR="008C72DD" w:rsidRPr="0013580E" w:rsidRDefault="008C72DD" w:rsidP="006E1063">
      <w:pPr>
        <w:pStyle w:val="ListParagraph"/>
        <w:numPr>
          <w:ilvl w:val="0"/>
          <w:numId w:val="4"/>
        </w:numPr>
        <w:rPr>
          <w:rFonts w:cs="Times New Roman"/>
          <w:szCs w:val="22"/>
        </w:rPr>
      </w:pPr>
      <w:r w:rsidRPr="0013580E">
        <w:rPr>
          <w:rFonts w:cs="Times New Roman"/>
          <w:szCs w:val="22"/>
        </w:rPr>
        <w:t>On April 6</w:t>
      </w:r>
      <w:proofErr w:type="gramStart"/>
      <w:r w:rsidRPr="0013580E">
        <w:rPr>
          <w:rFonts w:cs="Times New Roman"/>
          <w:szCs w:val="22"/>
          <w:vertAlign w:val="superscript"/>
        </w:rPr>
        <w:t>th</w:t>
      </w:r>
      <w:r w:rsidRPr="0013580E">
        <w:rPr>
          <w:rFonts w:cs="Times New Roman"/>
          <w:szCs w:val="22"/>
        </w:rPr>
        <w:t xml:space="preserve">  2012</w:t>
      </w:r>
      <w:proofErr w:type="gramEnd"/>
      <w:r w:rsidRPr="0013580E">
        <w:rPr>
          <w:rFonts w:cs="Times New Roman"/>
          <w:szCs w:val="22"/>
        </w:rPr>
        <w:t xml:space="preserve"> the MNLA declares independence of Northern Mali announcing the creation of a new state: ‘The Republic of Azawad’ (</w:t>
      </w:r>
      <w:proofErr w:type="spellStart"/>
      <w:r w:rsidRPr="0013580E">
        <w:rPr>
          <w:rFonts w:cs="Times New Roman"/>
          <w:szCs w:val="22"/>
        </w:rPr>
        <w:t>Lecocq</w:t>
      </w:r>
      <w:proofErr w:type="spellEnd"/>
      <w:r w:rsidRPr="0013580E">
        <w:rPr>
          <w:rFonts w:cs="Times New Roman"/>
          <w:szCs w:val="22"/>
        </w:rPr>
        <w:t xml:space="preserve"> &amp; </w:t>
      </w:r>
      <w:proofErr w:type="spellStart"/>
      <w:r w:rsidRPr="0013580E">
        <w:rPr>
          <w:rFonts w:cs="Times New Roman"/>
          <w:szCs w:val="22"/>
        </w:rPr>
        <w:t>Klute</w:t>
      </w:r>
      <w:proofErr w:type="spellEnd"/>
      <w:r w:rsidRPr="0013580E">
        <w:rPr>
          <w:rFonts w:cs="Times New Roman"/>
          <w:szCs w:val="22"/>
        </w:rPr>
        <w:t xml:space="preserve"> 2019: 43)</w:t>
      </w:r>
      <w:r w:rsidR="001E1517">
        <w:rPr>
          <w:rFonts w:cs="Times New Roman"/>
          <w:szCs w:val="22"/>
        </w:rPr>
        <w:t>.</w:t>
      </w:r>
      <w:r w:rsidRPr="0013580E">
        <w:rPr>
          <w:rFonts w:cs="Times New Roman"/>
          <w:szCs w:val="22"/>
        </w:rPr>
        <w:t xml:space="preserve"> [2012: independence declaration] </w:t>
      </w:r>
    </w:p>
    <w:p w14:paraId="5B5320CF" w14:textId="77777777" w:rsidR="008C72DD" w:rsidRDefault="008C72DD" w:rsidP="008C72DD">
      <w:pPr>
        <w:ind w:left="709" w:hanging="709"/>
        <w:rPr>
          <w:sz w:val="22"/>
          <w:szCs w:val="22"/>
        </w:rPr>
      </w:pPr>
    </w:p>
    <w:p w14:paraId="1F1E893B" w14:textId="77777777" w:rsidR="008C72DD" w:rsidRPr="0013580E" w:rsidRDefault="008C72DD" w:rsidP="008C72DD">
      <w:pPr>
        <w:ind w:left="709" w:hanging="709"/>
        <w:rPr>
          <w:sz w:val="22"/>
          <w:szCs w:val="22"/>
        </w:rPr>
      </w:pPr>
    </w:p>
    <w:p w14:paraId="2F89309D" w14:textId="77777777" w:rsidR="003D2842" w:rsidRPr="008C72DD" w:rsidRDefault="003D2842" w:rsidP="003D2842">
      <w:pPr>
        <w:rPr>
          <w:b/>
          <w:sz w:val="22"/>
          <w:szCs w:val="20"/>
        </w:rPr>
      </w:pPr>
      <w:r w:rsidRPr="008C72DD">
        <w:rPr>
          <w:b/>
          <w:sz w:val="22"/>
          <w:szCs w:val="20"/>
        </w:rPr>
        <w:t>Separatist armed conflict</w:t>
      </w:r>
    </w:p>
    <w:p w14:paraId="3D1AD512" w14:textId="77777777" w:rsidR="003D2842" w:rsidRPr="006F657B" w:rsidRDefault="003D2842" w:rsidP="003D2842">
      <w:pPr>
        <w:rPr>
          <w:szCs w:val="22"/>
        </w:rPr>
      </w:pPr>
    </w:p>
    <w:p w14:paraId="75E0E262" w14:textId="685E9549" w:rsidR="003D2842" w:rsidRPr="003D2842" w:rsidRDefault="001543F9" w:rsidP="0076173F">
      <w:pPr>
        <w:pStyle w:val="ListParagraph"/>
        <w:numPr>
          <w:ilvl w:val="0"/>
          <w:numId w:val="3"/>
        </w:numPr>
        <w:tabs>
          <w:tab w:val="left" w:pos="1260"/>
        </w:tabs>
        <w:rPr>
          <w:rFonts w:eastAsia="Times New Roman"/>
        </w:rPr>
      </w:pPr>
      <w:r w:rsidRPr="001543F9">
        <w:rPr>
          <w:rFonts w:eastAsia="Times New Roman"/>
        </w:rPr>
        <w:t>UCDP/PRIO does not code an armed conflict in the initial phase, but there are several indications for LVIOLSD. First, Hewitt and Cheetham (2000: 300), suggest that a rebellion started in 1962. Second, MAR’s quinquennial rebellion score is 6 in 1960-1964 (the second-highest value, suggesting “large-scale guerilla activity”). Qualitative evidence also points to significant</w:t>
      </w:r>
      <w:r w:rsidR="00CD5652">
        <w:rPr>
          <w:rFonts w:eastAsia="Times New Roman"/>
        </w:rPr>
        <w:t xml:space="preserve"> violence</w:t>
      </w:r>
      <w:r w:rsidRPr="001543F9">
        <w:rPr>
          <w:rFonts w:eastAsia="Times New Roman"/>
        </w:rPr>
        <w:t xml:space="preserve">, </w:t>
      </w:r>
      <w:r w:rsidR="00CD5652">
        <w:rPr>
          <w:rFonts w:eastAsia="Times New Roman"/>
        </w:rPr>
        <w:t>though</w:t>
      </w:r>
      <w:r>
        <w:rPr>
          <w:rFonts w:eastAsia="Times New Roman"/>
        </w:rPr>
        <w:t xml:space="preserve"> </w:t>
      </w:r>
      <w:proofErr w:type="spellStart"/>
      <w:r w:rsidRPr="001543F9">
        <w:rPr>
          <w:rFonts w:eastAsia="Times New Roman"/>
        </w:rPr>
        <w:t>Lecocq</w:t>
      </w:r>
      <w:proofErr w:type="spellEnd"/>
      <w:r w:rsidRPr="001543F9">
        <w:rPr>
          <w:rFonts w:eastAsia="Times New Roman"/>
        </w:rPr>
        <w:t xml:space="preserve"> (2010: </w:t>
      </w:r>
      <w:proofErr w:type="spellStart"/>
      <w:r w:rsidRPr="001543F9">
        <w:rPr>
          <w:rFonts w:eastAsia="Times New Roman"/>
        </w:rPr>
        <w:t>ch.</w:t>
      </w:r>
      <w:proofErr w:type="spellEnd"/>
      <w:r w:rsidRPr="001543F9">
        <w:rPr>
          <w:rFonts w:eastAsia="Times New Roman"/>
        </w:rPr>
        <w:t xml:space="preserve"> 4, esp. pp. 161ff) </w:t>
      </w:r>
      <w:r>
        <w:rPr>
          <w:rFonts w:eastAsia="Times New Roman"/>
        </w:rPr>
        <w:t>notes that what they refer to as the</w:t>
      </w:r>
      <w:r w:rsidRPr="001543F9">
        <w:rPr>
          <w:rFonts w:eastAsia="Times New Roman"/>
        </w:rPr>
        <w:t xml:space="preserve"> First Tuareg Rebellion started in 1963, not 1962, while preparations for the rebellion had begun before 1963</w:t>
      </w:r>
      <w:r w:rsidR="0076173F">
        <w:rPr>
          <w:rFonts w:eastAsia="Times New Roman"/>
        </w:rPr>
        <w:t>. The</w:t>
      </w:r>
      <w:r w:rsidR="003D2842">
        <w:rPr>
          <w:rFonts w:eastAsia="Times New Roman"/>
        </w:rPr>
        <w:t xml:space="preserve"> sources we consulted suggest </w:t>
      </w:r>
      <w:r w:rsidR="0076173F">
        <w:rPr>
          <w:rFonts w:eastAsia="Times New Roman"/>
        </w:rPr>
        <w:t xml:space="preserve">that anywhere from several hundred to 1,500 Tuareg rebels were involved and up to 2,2000 soldiers on the government side. </w:t>
      </w:r>
      <w:r w:rsidRPr="007F66C9">
        <w:t xml:space="preserve">Humphreys and ag Mohamed </w:t>
      </w:r>
      <w:r>
        <w:t>(</w:t>
      </w:r>
      <w:r w:rsidRPr="007F66C9">
        <w:t>2003</w:t>
      </w:r>
      <w:r>
        <w:t>: 255) suggest that 1,000 Tuaregs were killed overall</w:t>
      </w:r>
      <w:r w:rsidR="0076173F">
        <w:t xml:space="preserve">. </w:t>
      </w:r>
      <w:r w:rsidR="0076173F" w:rsidRPr="0076173F">
        <w:t xml:space="preserve"> </w:t>
      </w:r>
      <w:r w:rsidR="0076173F">
        <w:t>Lecoq (2010) does not provide an estimate of the total number of casualties, but the narrative (pp. 161ff) clearly points to sustained, reciprocated violence with more than 25 deaths in both 1963 and 1964. [1960-1962: NVIOLSD; 1963-1964:</w:t>
      </w:r>
      <w:r w:rsidR="00665C4F">
        <w:t xml:space="preserve"> LVIOLSD</w:t>
      </w:r>
      <w:r w:rsidR="00772F58">
        <w:t>]</w:t>
      </w:r>
    </w:p>
    <w:p w14:paraId="2650F75C" w14:textId="4D0F4FB5" w:rsidR="00B7245B" w:rsidRDefault="003D2842" w:rsidP="006E1063">
      <w:pPr>
        <w:pStyle w:val="ListParagraph"/>
        <w:numPr>
          <w:ilvl w:val="0"/>
          <w:numId w:val="3"/>
        </w:numPr>
        <w:tabs>
          <w:tab w:val="left" w:pos="1260"/>
        </w:tabs>
      </w:pPr>
      <w:r w:rsidRPr="009D7C0D">
        <w:t>The HVIOLSD coding for 1990-</w:t>
      </w:r>
      <w:r w:rsidR="00CD5652">
        <w:t>19</w:t>
      </w:r>
      <w:r w:rsidRPr="009D7C0D">
        <w:t xml:space="preserve">95 follows </w:t>
      </w:r>
      <w:proofErr w:type="spellStart"/>
      <w:r w:rsidR="00B7245B">
        <w:t>Sambanis</w:t>
      </w:r>
      <w:proofErr w:type="spellEnd"/>
      <w:r w:rsidR="00B7245B">
        <w:t xml:space="preserve"> &amp; </w:t>
      </w:r>
      <w:proofErr w:type="spellStart"/>
      <w:r w:rsidR="00B7245B">
        <w:t>Schulhofer</w:t>
      </w:r>
      <w:proofErr w:type="spellEnd"/>
      <w:r w:rsidR="00B7245B">
        <w:t>-Wohl (2019)</w:t>
      </w:r>
      <w:r w:rsidRPr="009D7C0D">
        <w:t>.</w:t>
      </w:r>
      <w:r w:rsidR="00B7245B">
        <w:t xml:space="preserve"> </w:t>
      </w:r>
      <w:r w:rsidR="00665C4F">
        <w:t>[1990-1995: HVIOLSD]</w:t>
      </w:r>
    </w:p>
    <w:p w14:paraId="07D57C36" w14:textId="7CD22BF6" w:rsidR="00B7245B" w:rsidRDefault="003D2842" w:rsidP="006E1063">
      <w:pPr>
        <w:pStyle w:val="ListParagraph"/>
        <w:numPr>
          <w:ilvl w:val="0"/>
          <w:numId w:val="3"/>
        </w:numPr>
        <w:tabs>
          <w:tab w:val="left" w:pos="1260"/>
        </w:tabs>
      </w:pPr>
      <w:r w:rsidRPr="009D7C0D">
        <w:t xml:space="preserve">Though there is sporadic violence, fatalities from 1996-2006 do not meet requirements to be considered low-level violence, and this period is thus coded NVIOLSD. </w:t>
      </w:r>
      <w:r>
        <w:t>UCDP/PRIO</w:t>
      </w:r>
      <w:r w:rsidRPr="009D7C0D">
        <w:t xml:space="preserve"> codes an armed conflict over Azawad 2007-2009, thus these years are coded as LVIOLSD. </w:t>
      </w:r>
      <w:r w:rsidR="00665C4F">
        <w:t>[1996-2006: NVIOLSD; 2007-2009: LVIOLSD]</w:t>
      </w:r>
    </w:p>
    <w:p w14:paraId="6C532D44" w14:textId="54165529" w:rsidR="00665C4F" w:rsidRDefault="003D2842" w:rsidP="006E1063">
      <w:pPr>
        <w:pStyle w:val="ListParagraph"/>
        <w:numPr>
          <w:ilvl w:val="0"/>
          <w:numId w:val="3"/>
        </w:numPr>
        <w:tabs>
          <w:tab w:val="left" w:pos="1260"/>
        </w:tabs>
      </w:pPr>
      <w:r>
        <w:t>N</w:t>
      </w:r>
      <w:r w:rsidRPr="009D7C0D">
        <w:t>o source codes violence over Azawad</w:t>
      </w:r>
      <w:r>
        <w:t xml:space="preserve"> in 2010-2011</w:t>
      </w:r>
      <w:r w:rsidR="00CD5652">
        <w:t xml:space="preserve"> and, according to UCDP/PRIO, there were no battle-related deaths in those years at all. </w:t>
      </w:r>
      <w:r w:rsidR="00665C4F">
        <w:t>[2010-2011: NVIOLSD]</w:t>
      </w:r>
    </w:p>
    <w:p w14:paraId="2827C8AB" w14:textId="487159B2" w:rsidR="003D2842" w:rsidRPr="002739B7" w:rsidRDefault="00B7245B" w:rsidP="006E1063">
      <w:pPr>
        <w:pStyle w:val="ListParagraph"/>
        <w:numPr>
          <w:ilvl w:val="0"/>
          <w:numId w:val="3"/>
        </w:numPr>
        <w:tabs>
          <w:tab w:val="left" w:pos="1260"/>
        </w:tabs>
      </w:pPr>
      <w:proofErr w:type="spellStart"/>
      <w:r w:rsidRPr="009819D9">
        <w:t>Sambanis</w:t>
      </w:r>
      <w:proofErr w:type="spellEnd"/>
      <w:r w:rsidRPr="009819D9">
        <w:t xml:space="preserve"> &amp; </w:t>
      </w:r>
      <w:proofErr w:type="spellStart"/>
      <w:r w:rsidRPr="009819D9">
        <w:t>Schulhofer</w:t>
      </w:r>
      <w:proofErr w:type="spellEnd"/>
      <w:r w:rsidRPr="009819D9">
        <w:t>-Wohl (2019)</w:t>
      </w:r>
      <w:r w:rsidR="009819DE" w:rsidRPr="009819D9">
        <w:t xml:space="preserve"> code an ongoing civil war in Mali in</w:t>
      </w:r>
      <w:r w:rsidR="003D2842" w:rsidRPr="009819D9">
        <w:t xml:space="preserve"> 2012</w:t>
      </w:r>
      <w:r w:rsidRPr="009819D9">
        <w:t>-202</w:t>
      </w:r>
      <w:r w:rsidR="009819DE" w:rsidRPr="009819D9">
        <w:t xml:space="preserve">0. </w:t>
      </w:r>
      <w:r w:rsidR="009819DE" w:rsidRPr="009819DE">
        <w:t>The war includes a variety of rebel groups with v</w:t>
      </w:r>
      <w:r w:rsidR="009819DE">
        <w:t>ariable goals; in a broad sense, there are separatist groups (especially MNLA) and Islamist groups whose goal is to impose sharia law throughout Mali. Because the latter constitutes a center-seeking rebellion, we follow UCDP/PRIO, which separates battle-related deaths from the separatist and center-seeking rebellion. According to UCDP/PRIO, the 25 deaths threshold was met in 2012 and 2014-2015 for the separatist rebellion</w:t>
      </w:r>
      <w:r w:rsidR="00665C4F">
        <w:t xml:space="preserve"> (more </w:t>
      </w:r>
      <w:r w:rsidR="00665C4F" w:rsidRPr="002739B7">
        <w:t>specifically: 131 deaths in 2012, 12 in 2013, 94 in 2014 and 54 in 2015).</w:t>
      </w:r>
      <w:r w:rsidR="009819D9" w:rsidRPr="002739B7">
        <w:t xml:space="preserve"> </w:t>
      </w:r>
      <w:r w:rsidR="00CD5652">
        <w:t>Given sustained violence in 2013</w:t>
      </w:r>
      <w:r w:rsidR="002739B7" w:rsidRPr="002739B7">
        <w:t>, we code LVIOLSD throughout 2012-2015. UCDP reports clashes in subsequent years, but the maximum number of casualties reported is 1 in 2017. 2016-2020 are therefore coded as NVIOLSD.</w:t>
      </w:r>
      <w:r w:rsidR="00665C4F" w:rsidRPr="002739B7">
        <w:t xml:space="preserve"> [201</w:t>
      </w:r>
      <w:r w:rsidR="0006469D" w:rsidRPr="002739B7">
        <w:t>2</w:t>
      </w:r>
      <w:r w:rsidR="00665C4F" w:rsidRPr="002739B7">
        <w:t>-2015: LVIOLSD; 2016-2020: NVIOLSD]</w:t>
      </w:r>
    </w:p>
    <w:p w14:paraId="729F16A0" w14:textId="77777777" w:rsidR="003D2842" w:rsidRDefault="003D2842" w:rsidP="003D2842">
      <w:pPr>
        <w:ind w:left="709" w:hanging="709"/>
        <w:rPr>
          <w:b/>
        </w:rPr>
      </w:pPr>
    </w:p>
    <w:p w14:paraId="5C33DB54" w14:textId="77777777" w:rsidR="003D2842" w:rsidRDefault="003D2842" w:rsidP="003D2842">
      <w:pPr>
        <w:ind w:left="709" w:hanging="709"/>
        <w:rPr>
          <w:b/>
        </w:rPr>
      </w:pPr>
    </w:p>
    <w:p w14:paraId="337DAE56" w14:textId="7654D5EA" w:rsidR="00794F7B" w:rsidRPr="0013580E" w:rsidRDefault="002D73D5" w:rsidP="00794F7B">
      <w:pPr>
        <w:rPr>
          <w:sz w:val="22"/>
          <w:szCs w:val="22"/>
        </w:rPr>
      </w:pPr>
      <w:r w:rsidRPr="0013580E">
        <w:rPr>
          <w:b/>
          <w:sz w:val="22"/>
          <w:szCs w:val="22"/>
        </w:rPr>
        <w:t xml:space="preserve">Historical </w:t>
      </w:r>
      <w:r w:rsidR="008C72DD">
        <w:rPr>
          <w:b/>
          <w:sz w:val="22"/>
          <w:szCs w:val="22"/>
        </w:rPr>
        <w:t>c</w:t>
      </w:r>
      <w:r w:rsidRPr="0013580E">
        <w:rPr>
          <w:b/>
          <w:sz w:val="22"/>
          <w:szCs w:val="22"/>
        </w:rPr>
        <w:t>ontext</w:t>
      </w:r>
    </w:p>
    <w:p w14:paraId="374ECDC2" w14:textId="2B179A84" w:rsidR="004C6542" w:rsidRPr="0013580E" w:rsidRDefault="004C6542" w:rsidP="004C6542">
      <w:pPr>
        <w:rPr>
          <w:sz w:val="22"/>
          <w:szCs w:val="22"/>
        </w:rPr>
      </w:pPr>
    </w:p>
    <w:p w14:paraId="6CA08E7C" w14:textId="77777777" w:rsidR="004824F8" w:rsidRDefault="004824F8" w:rsidP="006E1063">
      <w:pPr>
        <w:pStyle w:val="ListParagraph"/>
        <w:numPr>
          <w:ilvl w:val="0"/>
          <w:numId w:val="5"/>
        </w:numPr>
        <w:rPr>
          <w:rFonts w:cs="Times New Roman"/>
          <w:szCs w:val="22"/>
        </w:rPr>
      </w:pPr>
      <w:r>
        <w:rPr>
          <w:rFonts w:cs="Times New Roman"/>
          <w:szCs w:val="22"/>
        </w:rPr>
        <w:t>1</w:t>
      </w:r>
      <w:r w:rsidRPr="004824F8">
        <w:rPr>
          <w:rFonts w:cs="Times New Roman"/>
          <w:szCs w:val="22"/>
          <w:vertAlign w:val="superscript"/>
        </w:rPr>
        <w:t>st</w:t>
      </w:r>
      <w:r>
        <w:rPr>
          <w:rFonts w:cs="Times New Roman"/>
          <w:szCs w:val="22"/>
        </w:rPr>
        <w:t xml:space="preserve"> phase:</w:t>
      </w:r>
    </w:p>
    <w:p w14:paraId="438F736C" w14:textId="54677306" w:rsidR="004C6542" w:rsidRPr="0013580E" w:rsidRDefault="004824F8" w:rsidP="006E1063">
      <w:pPr>
        <w:pStyle w:val="ListParagraph"/>
        <w:numPr>
          <w:ilvl w:val="1"/>
          <w:numId w:val="5"/>
        </w:numPr>
        <w:rPr>
          <w:rFonts w:cs="Times New Roman"/>
          <w:szCs w:val="22"/>
        </w:rPr>
      </w:pPr>
      <w:r>
        <w:rPr>
          <w:rFonts w:cs="Times New Roman"/>
          <w:szCs w:val="22"/>
        </w:rPr>
        <w:t>Historically, the</w:t>
      </w:r>
      <w:r w:rsidR="004C6542" w:rsidRPr="0013580E">
        <w:rPr>
          <w:rFonts w:cs="Times New Roman"/>
          <w:szCs w:val="22"/>
        </w:rPr>
        <w:t xml:space="preserve"> Tuareg inhabit</w:t>
      </w:r>
      <w:r>
        <w:rPr>
          <w:rFonts w:cs="Times New Roman"/>
          <w:szCs w:val="22"/>
        </w:rPr>
        <w:t>ed</w:t>
      </w:r>
      <w:r w:rsidR="004C6542" w:rsidRPr="0013580E">
        <w:rPr>
          <w:rFonts w:cs="Times New Roman"/>
          <w:szCs w:val="22"/>
        </w:rPr>
        <w:t xml:space="preserve"> the </w:t>
      </w:r>
      <w:proofErr w:type="gramStart"/>
      <w:r w:rsidR="004C6542" w:rsidRPr="0013580E">
        <w:rPr>
          <w:rFonts w:cs="Times New Roman"/>
          <w:szCs w:val="22"/>
        </w:rPr>
        <w:t>Central Saharan mountain</w:t>
      </w:r>
      <w:proofErr w:type="gramEnd"/>
      <w:r w:rsidR="004C6542" w:rsidRPr="0013580E">
        <w:rPr>
          <w:rFonts w:cs="Times New Roman"/>
          <w:szCs w:val="22"/>
        </w:rPr>
        <w:t xml:space="preserve"> ranges – the </w:t>
      </w:r>
      <w:proofErr w:type="spellStart"/>
      <w:r w:rsidR="004C6542" w:rsidRPr="0013580E">
        <w:rPr>
          <w:rFonts w:cs="Times New Roman"/>
          <w:szCs w:val="22"/>
        </w:rPr>
        <w:t>Ajjer</w:t>
      </w:r>
      <w:proofErr w:type="spellEnd"/>
      <w:r w:rsidR="004C6542" w:rsidRPr="0013580E">
        <w:rPr>
          <w:rFonts w:cs="Times New Roman"/>
          <w:szCs w:val="22"/>
        </w:rPr>
        <w:t xml:space="preserve">, </w:t>
      </w:r>
      <w:proofErr w:type="spellStart"/>
      <w:r w:rsidR="004C6542" w:rsidRPr="0013580E">
        <w:rPr>
          <w:rFonts w:cs="Times New Roman"/>
          <w:szCs w:val="22"/>
        </w:rPr>
        <w:t>Hoggar</w:t>
      </w:r>
      <w:proofErr w:type="spellEnd"/>
      <w:r w:rsidR="004C6542" w:rsidRPr="0013580E">
        <w:rPr>
          <w:rFonts w:cs="Times New Roman"/>
          <w:szCs w:val="22"/>
        </w:rPr>
        <w:t xml:space="preserve">, </w:t>
      </w:r>
      <w:proofErr w:type="spellStart"/>
      <w:r w:rsidR="004C6542" w:rsidRPr="0013580E">
        <w:rPr>
          <w:rFonts w:cs="Times New Roman"/>
          <w:szCs w:val="22"/>
        </w:rPr>
        <w:t>Aïr</w:t>
      </w:r>
      <w:proofErr w:type="spellEnd"/>
      <w:r w:rsidR="004C6542" w:rsidRPr="0013580E">
        <w:rPr>
          <w:rFonts w:cs="Times New Roman"/>
          <w:szCs w:val="22"/>
        </w:rPr>
        <w:t xml:space="preserve">, and </w:t>
      </w:r>
      <w:proofErr w:type="spellStart"/>
      <w:r w:rsidR="004C6542" w:rsidRPr="0013580E">
        <w:rPr>
          <w:rFonts w:cs="Times New Roman"/>
          <w:szCs w:val="22"/>
        </w:rPr>
        <w:t>Adagh</w:t>
      </w:r>
      <w:proofErr w:type="spellEnd"/>
      <w:r w:rsidR="004C6542" w:rsidRPr="0013580E">
        <w:rPr>
          <w:rFonts w:cs="Times New Roman"/>
          <w:szCs w:val="22"/>
        </w:rPr>
        <w:t xml:space="preserve"> n </w:t>
      </w:r>
      <w:proofErr w:type="spellStart"/>
      <w:r w:rsidR="004C6542" w:rsidRPr="0013580E">
        <w:rPr>
          <w:rFonts w:cs="Times New Roman"/>
          <w:szCs w:val="22"/>
        </w:rPr>
        <w:t>Ifoghas</w:t>
      </w:r>
      <w:proofErr w:type="spellEnd"/>
      <w:r w:rsidR="004C6542" w:rsidRPr="0013580E">
        <w:rPr>
          <w:rFonts w:cs="Times New Roman"/>
          <w:szCs w:val="22"/>
        </w:rPr>
        <w:t>, the ad</w:t>
      </w:r>
      <w:r w:rsidR="004C204E">
        <w:rPr>
          <w:rFonts w:cs="Times New Roman"/>
          <w:szCs w:val="22"/>
        </w:rPr>
        <w:t>ja</w:t>
      </w:r>
      <w:r w:rsidR="004C6542" w:rsidRPr="0013580E">
        <w:rPr>
          <w:rFonts w:cs="Times New Roman"/>
          <w:szCs w:val="22"/>
        </w:rPr>
        <w:t>cent Sahel-</w:t>
      </w:r>
      <w:proofErr w:type="spellStart"/>
      <w:r w:rsidR="004C6542" w:rsidRPr="0013580E">
        <w:rPr>
          <w:rFonts w:cs="Times New Roman"/>
          <w:szCs w:val="22"/>
        </w:rPr>
        <w:t>Sahran</w:t>
      </w:r>
      <w:proofErr w:type="spellEnd"/>
      <w:r w:rsidR="004C6542" w:rsidRPr="0013580E">
        <w:rPr>
          <w:rFonts w:cs="Times New Roman"/>
          <w:szCs w:val="22"/>
        </w:rPr>
        <w:t xml:space="preserve"> plains on the southern edge of the desert, and the interior bend of the Niger River. </w:t>
      </w:r>
      <w:r>
        <w:rPr>
          <w:rFonts w:cs="Times New Roman"/>
          <w:szCs w:val="22"/>
        </w:rPr>
        <w:t xml:space="preserve">Politically, Tuaregs were organized as </w:t>
      </w:r>
      <w:proofErr w:type="gramStart"/>
      <w:r>
        <w:rPr>
          <w:rFonts w:cs="Times New Roman"/>
          <w:szCs w:val="22"/>
        </w:rPr>
        <w:t>a number o</w:t>
      </w:r>
      <w:r w:rsidR="004C6542" w:rsidRPr="0013580E">
        <w:rPr>
          <w:rFonts w:cs="Times New Roman"/>
          <w:szCs w:val="22"/>
        </w:rPr>
        <w:t>f</w:t>
      </w:r>
      <w:proofErr w:type="gramEnd"/>
      <w:r w:rsidR="004C6542" w:rsidRPr="0013580E">
        <w:rPr>
          <w:rFonts w:cs="Times New Roman"/>
          <w:szCs w:val="22"/>
        </w:rPr>
        <w:t xml:space="preserve"> similarly structured tribal federations </w:t>
      </w:r>
      <w:r w:rsidR="00A34FB0" w:rsidRPr="0013580E">
        <w:rPr>
          <w:rFonts w:cs="Times New Roman"/>
          <w:szCs w:val="22"/>
        </w:rPr>
        <w:t>(</w:t>
      </w:r>
      <w:proofErr w:type="spellStart"/>
      <w:r w:rsidR="00A34FB0" w:rsidRPr="0013580E">
        <w:rPr>
          <w:rFonts w:cs="Times New Roman"/>
          <w:szCs w:val="22"/>
        </w:rPr>
        <w:t>Lecocq</w:t>
      </w:r>
      <w:proofErr w:type="spellEnd"/>
      <w:r w:rsidR="00A34FB0" w:rsidRPr="0013580E">
        <w:rPr>
          <w:rFonts w:cs="Times New Roman"/>
          <w:szCs w:val="22"/>
        </w:rPr>
        <w:t xml:space="preserve"> &amp; </w:t>
      </w:r>
      <w:proofErr w:type="spellStart"/>
      <w:r w:rsidR="00A34FB0" w:rsidRPr="0013580E">
        <w:rPr>
          <w:rFonts w:cs="Times New Roman"/>
          <w:szCs w:val="22"/>
        </w:rPr>
        <w:t>Klute</w:t>
      </w:r>
      <w:proofErr w:type="spellEnd"/>
      <w:r w:rsidR="00A34FB0" w:rsidRPr="0013580E">
        <w:rPr>
          <w:rFonts w:cs="Times New Roman"/>
          <w:szCs w:val="22"/>
        </w:rPr>
        <w:t xml:space="preserve"> 2019). </w:t>
      </w:r>
    </w:p>
    <w:p w14:paraId="4A931191" w14:textId="7590AA2E" w:rsidR="004C6542" w:rsidRPr="0013580E" w:rsidRDefault="004C6542" w:rsidP="006E1063">
      <w:pPr>
        <w:pStyle w:val="ListParagraph"/>
        <w:numPr>
          <w:ilvl w:val="1"/>
          <w:numId w:val="5"/>
        </w:numPr>
        <w:rPr>
          <w:rFonts w:cs="Times New Roman"/>
          <w:szCs w:val="22"/>
        </w:rPr>
      </w:pPr>
      <w:r w:rsidRPr="0013580E">
        <w:rPr>
          <w:rFonts w:cs="Times New Roman"/>
          <w:szCs w:val="22"/>
        </w:rPr>
        <w:lastRenderedPageBreak/>
        <w:t xml:space="preserve">The French </w:t>
      </w:r>
      <w:r w:rsidR="004824F8">
        <w:rPr>
          <w:rFonts w:cs="Times New Roman"/>
          <w:szCs w:val="22"/>
        </w:rPr>
        <w:t xml:space="preserve">attempted </w:t>
      </w:r>
      <w:r w:rsidR="006F50EC">
        <w:rPr>
          <w:rFonts w:cs="Times New Roman"/>
          <w:szCs w:val="22"/>
        </w:rPr>
        <w:t>to</w:t>
      </w:r>
      <w:r w:rsidRPr="0013580E">
        <w:rPr>
          <w:rFonts w:cs="Times New Roman"/>
          <w:szCs w:val="22"/>
        </w:rPr>
        <w:t xml:space="preserve"> colonize the </w:t>
      </w:r>
      <w:proofErr w:type="gramStart"/>
      <w:r w:rsidRPr="0013580E">
        <w:rPr>
          <w:rFonts w:cs="Times New Roman"/>
          <w:szCs w:val="22"/>
        </w:rPr>
        <w:t>territory</w:t>
      </w:r>
      <w:r w:rsidR="004824F8">
        <w:rPr>
          <w:rFonts w:cs="Times New Roman"/>
          <w:szCs w:val="22"/>
        </w:rPr>
        <w:t>, but</w:t>
      </w:r>
      <w:proofErr w:type="gramEnd"/>
      <w:r w:rsidR="004824F8">
        <w:rPr>
          <w:rFonts w:cs="Times New Roman"/>
          <w:szCs w:val="22"/>
        </w:rPr>
        <w:t xml:space="preserve"> </w:t>
      </w:r>
      <w:r w:rsidR="006F50EC">
        <w:rPr>
          <w:rFonts w:cs="Times New Roman"/>
          <w:szCs w:val="22"/>
        </w:rPr>
        <w:t>were</w:t>
      </w:r>
      <w:r w:rsidRPr="0013580E">
        <w:rPr>
          <w:rFonts w:cs="Times New Roman"/>
          <w:szCs w:val="22"/>
        </w:rPr>
        <w:t xml:space="preserve"> met with </w:t>
      </w:r>
      <w:r w:rsidR="004824F8">
        <w:rPr>
          <w:rFonts w:cs="Times New Roman"/>
          <w:szCs w:val="22"/>
        </w:rPr>
        <w:t>fierce</w:t>
      </w:r>
      <w:r w:rsidRPr="0013580E">
        <w:rPr>
          <w:rFonts w:cs="Times New Roman"/>
          <w:szCs w:val="22"/>
        </w:rPr>
        <w:t xml:space="preserve"> resistance. Tuareg federations surrender</w:t>
      </w:r>
      <w:r w:rsidR="006F50EC">
        <w:rPr>
          <w:rFonts w:cs="Times New Roman"/>
          <w:szCs w:val="22"/>
        </w:rPr>
        <w:t>ed</w:t>
      </w:r>
      <w:r w:rsidRPr="0013580E">
        <w:rPr>
          <w:rFonts w:cs="Times New Roman"/>
          <w:szCs w:val="22"/>
        </w:rPr>
        <w:t xml:space="preserve"> at the </w:t>
      </w:r>
      <w:r w:rsidR="006F50EC">
        <w:rPr>
          <w:rFonts w:cs="Times New Roman"/>
          <w:szCs w:val="22"/>
        </w:rPr>
        <w:t>beginning</w:t>
      </w:r>
      <w:r w:rsidRPr="0013580E">
        <w:rPr>
          <w:rFonts w:cs="Times New Roman"/>
          <w:szCs w:val="22"/>
        </w:rPr>
        <w:t xml:space="preserve"> of the 20</w:t>
      </w:r>
      <w:r w:rsidRPr="0013580E">
        <w:rPr>
          <w:rFonts w:cs="Times New Roman"/>
          <w:szCs w:val="22"/>
          <w:vertAlign w:val="superscript"/>
        </w:rPr>
        <w:t>th</w:t>
      </w:r>
      <w:r w:rsidRPr="0013580E">
        <w:rPr>
          <w:rFonts w:cs="Times New Roman"/>
          <w:szCs w:val="22"/>
        </w:rPr>
        <w:t xml:space="preserve"> century</w:t>
      </w:r>
      <w:r w:rsidR="004824F8">
        <w:rPr>
          <w:rFonts w:cs="Times New Roman"/>
          <w:szCs w:val="22"/>
        </w:rPr>
        <w:t>. There were several Tuareg revolts around the time of WWI</w:t>
      </w:r>
      <w:r w:rsidRPr="0013580E">
        <w:rPr>
          <w:rFonts w:cs="Times New Roman"/>
          <w:szCs w:val="22"/>
        </w:rPr>
        <w:t xml:space="preserve"> (</w:t>
      </w:r>
      <w:proofErr w:type="spellStart"/>
      <w:r w:rsidRPr="0013580E">
        <w:rPr>
          <w:rFonts w:cs="Times New Roman"/>
          <w:szCs w:val="22"/>
        </w:rPr>
        <w:t>Grémont</w:t>
      </w:r>
      <w:proofErr w:type="spellEnd"/>
      <w:r w:rsidRPr="0013580E">
        <w:rPr>
          <w:rFonts w:cs="Times New Roman"/>
          <w:szCs w:val="22"/>
        </w:rPr>
        <w:t xml:space="preserve"> 2010). The French solidified </w:t>
      </w:r>
      <w:r w:rsidR="004824F8">
        <w:rPr>
          <w:rFonts w:cs="Times New Roman"/>
          <w:szCs w:val="22"/>
        </w:rPr>
        <w:t xml:space="preserve">their grip over the region </w:t>
      </w:r>
      <w:r w:rsidRPr="0013580E">
        <w:rPr>
          <w:rFonts w:cs="Times New Roman"/>
          <w:szCs w:val="22"/>
        </w:rPr>
        <w:t>in 1934. Tuaregs enjoy</w:t>
      </w:r>
      <w:r w:rsidR="004824F8">
        <w:rPr>
          <w:rFonts w:cs="Times New Roman"/>
          <w:szCs w:val="22"/>
        </w:rPr>
        <w:t>ed</w:t>
      </w:r>
      <w:r w:rsidRPr="0013580E">
        <w:rPr>
          <w:rFonts w:cs="Times New Roman"/>
          <w:szCs w:val="22"/>
        </w:rPr>
        <w:t xml:space="preserve"> a degree of ‘colonial privilege’ relative to other groups </w:t>
      </w:r>
      <w:r w:rsidR="004824F8">
        <w:rPr>
          <w:rFonts w:cs="Times New Roman"/>
          <w:szCs w:val="22"/>
        </w:rPr>
        <w:t>as they were exempted</w:t>
      </w:r>
      <w:r w:rsidRPr="0013580E">
        <w:rPr>
          <w:rFonts w:cs="Times New Roman"/>
          <w:szCs w:val="22"/>
        </w:rPr>
        <w:t xml:space="preserve"> from forced labor and military conscription </w:t>
      </w:r>
      <w:r w:rsidR="00A34FB0" w:rsidRPr="0013580E">
        <w:rPr>
          <w:rFonts w:cs="Times New Roman"/>
          <w:szCs w:val="22"/>
        </w:rPr>
        <w:t>(</w:t>
      </w:r>
      <w:proofErr w:type="spellStart"/>
      <w:r w:rsidR="00A34FB0" w:rsidRPr="0013580E">
        <w:rPr>
          <w:rFonts w:cs="Times New Roman"/>
          <w:szCs w:val="22"/>
        </w:rPr>
        <w:t>Lecocq</w:t>
      </w:r>
      <w:proofErr w:type="spellEnd"/>
      <w:r w:rsidR="00A34FB0" w:rsidRPr="0013580E">
        <w:rPr>
          <w:rFonts w:cs="Times New Roman"/>
          <w:szCs w:val="22"/>
        </w:rPr>
        <w:t xml:space="preserve"> &amp; </w:t>
      </w:r>
      <w:proofErr w:type="spellStart"/>
      <w:r w:rsidR="00A34FB0" w:rsidRPr="0013580E">
        <w:rPr>
          <w:rFonts w:cs="Times New Roman"/>
          <w:szCs w:val="22"/>
        </w:rPr>
        <w:t>Klute</w:t>
      </w:r>
      <w:proofErr w:type="spellEnd"/>
      <w:r w:rsidR="00A34FB0" w:rsidRPr="0013580E">
        <w:rPr>
          <w:rFonts w:cs="Times New Roman"/>
          <w:szCs w:val="22"/>
        </w:rPr>
        <w:t xml:space="preserve"> 2019).</w:t>
      </w:r>
    </w:p>
    <w:p w14:paraId="4519CE1D" w14:textId="7FD70BFD" w:rsidR="004824F8" w:rsidRDefault="004C6542" w:rsidP="006E1063">
      <w:pPr>
        <w:pStyle w:val="ListParagraph"/>
        <w:numPr>
          <w:ilvl w:val="1"/>
          <w:numId w:val="5"/>
        </w:numPr>
        <w:rPr>
          <w:rFonts w:cs="Times New Roman"/>
          <w:szCs w:val="22"/>
        </w:rPr>
      </w:pPr>
      <w:r w:rsidRPr="004824F8">
        <w:rPr>
          <w:rFonts w:cs="Times New Roman"/>
          <w:szCs w:val="22"/>
        </w:rPr>
        <w:t xml:space="preserve">In </w:t>
      </w:r>
      <w:r w:rsidR="004824F8" w:rsidRPr="004824F8">
        <w:rPr>
          <w:rFonts w:cs="Times New Roman"/>
          <w:szCs w:val="22"/>
        </w:rPr>
        <w:t xml:space="preserve">the </w:t>
      </w:r>
      <w:r w:rsidRPr="004824F8">
        <w:rPr>
          <w:rFonts w:cs="Times New Roman"/>
          <w:szCs w:val="22"/>
        </w:rPr>
        <w:t>1950s</w:t>
      </w:r>
      <w:r w:rsidR="00CD3803">
        <w:rPr>
          <w:rFonts w:cs="Times New Roman"/>
          <w:szCs w:val="22"/>
        </w:rPr>
        <w:t>,</w:t>
      </w:r>
      <w:r w:rsidRPr="004824F8">
        <w:rPr>
          <w:rFonts w:cs="Times New Roman"/>
          <w:szCs w:val="22"/>
        </w:rPr>
        <w:t xml:space="preserve"> southern black tribes</w:t>
      </w:r>
      <w:r w:rsidR="004824F8" w:rsidRPr="004824F8">
        <w:rPr>
          <w:rFonts w:cs="Times New Roman"/>
          <w:szCs w:val="22"/>
        </w:rPr>
        <w:t xml:space="preserve"> began their </w:t>
      </w:r>
      <w:r w:rsidRPr="004824F8">
        <w:rPr>
          <w:rFonts w:cs="Times New Roman"/>
          <w:szCs w:val="22"/>
        </w:rPr>
        <w:t>drive for independence from France. Fearing domination</w:t>
      </w:r>
      <w:r w:rsidR="004824F8" w:rsidRPr="004824F8">
        <w:rPr>
          <w:rFonts w:cs="Times New Roman"/>
          <w:szCs w:val="22"/>
        </w:rPr>
        <w:t xml:space="preserve">, </w:t>
      </w:r>
      <w:r w:rsidRPr="004824F8">
        <w:rPr>
          <w:rFonts w:cs="Times New Roman"/>
          <w:szCs w:val="22"/>
        </w:rPr>
        <w:t>Tuareg</w:t>
      </w:r>
      <w:r w:rsidR="004824F8" w:rsidRPr="004824F8">
        <w:rPr>
          <w:rFonts w:cs="Times New Roman"/>
          <w:szCs w:val="22"/>
        </w:rPr>
        <w:t>s</w:t>
      </w:r>
      <w:r w:rsidRPr="004824F8">
        <w:rPr>
          <w:rFonts w:cs="Times New Roman"/>
          <w:szCs w:val="22"/>
        </w:rPr>
        <w:t xml:space="preserve"> demand</w:t>
      </w:r>
      <w:r w:rsidR="004824F8" w:rsidRPr="004824F8">
        <w:rPr>
          <w:rFonts w:cs="Times New Roman"/>
          <w:szCs w:val="22"/>
        </w:rPr>
        <w:t>ed</w:t>
      </w:r>
      <w:r w:rsidRPr="004824F8">
        <w:rPr>
          <w:rFonts w:cs="Times New Roman"/>
          <w:szCs w:val="22"/>
        </w:rPr>
        <w:t xml:space="preserve"> the creation of an autonomous state in northern districts of French West Africa and southern Algeria in 1959 (Min</w:t>
      </w:r>
      <w:r w:rsidR="004824F8" w:rsidRPr="004824F8">
        <w:rPr>
          <w:rFonts w:cs="Times New Roman"/>
          <w:szCs w:val="22"/>
        </w:rPr>
        <w:t>a</w:t>
      </w:r>
      <w:r w:rsidRPr="004824F8">
        <w:rPr>
          <w:rFonts w:cs="Times New Roman"/>
          <w:szCs w:val="22"/>
        </w:rPr>
        <w:t>han</w:t>
      </w:r>
      <w:r w:rsidR="004824F8" w:rsidRPr="004824F8">
        <w:rPr>
          <w:rFonts w:cs="Times New Roman"/>
          <w:szCs w:val="22"/>
        </w:rPr>
        <w:t xml:space="preserve"> </w:t>
      </w:r>
      <w:r w:rsidRPr="004824F8">
        <w:rPr>
          <w:rFonts w:cs="Times New Roman"/>
          <w:szCs w:val="22"/>
        </w:rPr>
        <w:t>2002</w:t>
      </w:r>
      <w:proofErr w:type="gramStart"/>
      <w:r w:rsidRPr="004824F8">
        <w:rPr>
          <w:rFonts w:cs="Times New Roman"/>
          <w:szCs w:val="22"/>
        </w:rPr>
        <w:t>).Tuareg</w:t>
      </w:r>
      <w:proofErr w:type="gramEnd"/>
      <w:r w:rsidRPr="004824F8">
        <w:rPr>
          <w:rFonts w:cs="Times New Roman"/>
          <w:szCs w:val="22"/>
        </w:rPr>
        <w:t xml:space="preserve"> demands </w:t>
      </w:r>
      <w:r w:rsidR="004824F8" w:rsidRPr="004824F8">
        <w:rPr>
          <w:rFonts w:cs="Times New Roman"/>
          <w:szCs w:val="22"/>
        </w:rPr>
        <w:t>were</w:t>
      </w:r>
      <w:r w:rsidRPr="004824F8">
        <w:rPr>
          <w:rFonts w:cs="Times New Roman"/>
          <w:szCs w:val="22"/>
        </w:rPr>
        <w:t xml:space="preserve"> ignored</w:t>
      </w:r>
      <w:r w:rsidR="00A34FB0" w:rsidRPr="004824F8">
        <w:rPr>
          <w:rFonts w:cs="Times New Roman"/>
          <w:szCs w:val="22"/>
        </w:rPr>
        <w:t xml:space="preserve"> (</w:t>
      </w:r>
      <w:proofErr w:type="spellStart"/>
      <w:r w:rsidR="00A34FB0" w:rsidRPr="004824F8">
        <w:rPr>
          <w:rFonts w:cs="Times New Roman"/>
          <w:szCs w:val="22"/>
        </w:rPr>
        <w:t>Lecocq</w:t>
      </w:r>
      <w:proofErr w:type="spellEnd"/>
      <w:r w:rsidR="00A34FB0" w:rsidRPr="004824F8">
        <w:rPr>
          <w:rFonts w:cs="Times New Roman"/>
          <w:szCs w:val="22"/>
        </w:rPr>
        <w:t xml:space="preserve"> &amp; </w:t>
      </w:r>
      <w:proofErr w:type="spellStart"/>
      <w:r w:rsidR="00A34FB0" w:rsidRPr="004824F8">
        <w:rPr>
          <w:rFonts w:cs="Times New Roman"/>
          <w:szCs w:val="22"/>
        </w:rPr>
        <w:t>Klute</w:t>
      </w:r>
      <w:proofErr w:type="spellEnd"/>
      <w:r w:rsidR="00A34FB0" w:rsidRPr="004824F8">
        <w:rPr>
          <w:rFonts w:cs="Times New Roman"/>
          <w:szCs w:val="22"/>
        </w:rPr>
        <w:t xml:space="preserve"> 2019). </w:t>
      </w:r>
    </w:p>
    <w:p w14:paraId="4F78CBA0" w14:textId="2CDF6EA5" w:rsidR="00BB4A66" w:rsidRDefault="00CD3803" w:rsidP="006E1063">
      <w:pPr>
        <w:pStyle w:val="ListParagraph"/>
        <w:numPr>
          <w:ilvl w:val="1"/>
          <w:numId w:val="5"/>
        </w:numPr>
        <w:rPr>
          <w:rFonts w:cs="Times New Roman"/>
          <w:szCs w:val="22"/>
        </w:rPr>
      </w:pPr>
      <w:proofErr w:type="spellStart"/>
      <w:r>
        <w:rPr>
          <w:rFonts w:cs="Times New Roman"/>
          <w:szCs w:val="22"/>
        </w:rPr>
        <w:t>Decentralziation</w:t>
      </w:r>
      <w:proofErr w:type="spellEnd"/>
      <w:r>
        <w:rPr>
          <w:rFonts w:cs="Times New Roman"/>
          <w:szCs w:val="22"/>
        </w:rPr>
        <w:t xml:space="preserve"> was </w:t>
      </w:r>
      <w:proofErr w:type="spellStart"/>
      <w:r w:rsidR="00BB4A66" w:rsidRPr="004824F8">
        <w:rPr>
          <w:rFonts w:cs="Times New Roman"/>
          <w:szCs w:val="22"/>
        </w:rPr>
        <w:t>inshired</w:t>
      </w:r>
      <w:proofErr w:type="spellEnd"/>
      <w:r w:rsidR="00BB4A66" w:rsidRPr="004824F8">
        <w:rPr>
          <w:rFonts w:cs="Times New Roman"/>
          <w:szCs w:val="22"/>
        </w:rPr>
        <w:t xml:space="preserve"> in</w:t>
      </w:r>
      <w:r>
        <w:rPr>
          <w:rFonts w:cs="Times New Roman"/>
          <w:szCs w:val="22"/>
        </w:rPr>
        <w:t xml:space="preserve"> Mali’s</w:t>
      </w:r>
      <w:r w:rsidR="00BB4A66" w:rsidRPr="004824F8">
        <w:rPr>
          <w:rFonts w:cs="Times New Roman"/>
          <w:szCs w:val="22"/>
        </w:rPr>
        <w:t xml:space="preserve"> constitution</w:t>
      </w:r>
      <w:r>
        <w:rPr>
          <w:rFonts w:cs="Times New Roman"/>
          <w:szCs w:val="22"/>
        </w:rPr>
        <w:t xml:space="preserve">, which declared </w:t>
      </w:r>
      <w:r w:rsidR="00BB4A66" w:rsidRPr="004824F8">
        <w:rPr>
          <w:rFonts w:cs="Times New Roman"/>
          <w:szCs w:val="22"/>
        </w:rPr>
        <w:t xml:space="preserve">that “all territorial authorities in the Republic of </w:t>
      </w:r>
      <w:r>
        <w:rPr>
          <w:rFonts w:cs="Times New Roman"/>
          <w:szCs w:val="22"/>
        </w:rPr>
        <w:t>M</w:t>
      </w:r>
      <w:r w:rsidR="00BB4A66" w:rsidRPr="004824F8">
        <w:rPr>
          <w:rFonts w:cs="Times New Roman"/>
          <w:szCs w:val="22"/>
        </w:rPr>
        <w:t xml:space="preserve">ali shall be freely administered by elected bodies”. However, </w:t>
      </w:r>
      <w:r>
        <w:rPr>
          <w:rFonts w:cs="Times New Roman"/>
          <w:szCs w:val="22"/>
        </w:rPr>
        <w:t>this was not implemented at the time</w:t>
      </w:r>
      <w:r w:rsidR="00BB4A66" w:rsidRPr="004824F8">
        <w:rPr>
          <w:rFonts w:cs="Times New Roman"/>
          <w:szCs w:val="22"/>
        </w:rPr>
        <w:t xml:space="preserve"> (Diarra et al. 2004)</w:t>
      </w:r>
      <w:r w:rsidR="0013580E" w:rsidRPr="004824F8">
        <w:rPr>
          <w:rFonts w:cs="Times New Roman"/>
          <w:szCs w:val="22"/>
        </w:rPr>
        <w:t xml:space="preserve">. </w:t>
      </w:r>
    </w:p>
    <w:p w14:paraId="12A47C85" w14:textId="66BE9C19" w:rsidR="00CD3803" w:rsidRDefault="00CD3803" w:rsidP="006E1063">
      <w:pPr>
        <w:pStyle w:val="ListParagraph"/>
        <w:numPr>
          <w:ilvl w:val="0"/>
          <w:numId w:val="5"/>
        </w:numPr>
        <w:rPr>
          <w:rFonts w:cs="Times New Roman"/>
          <w:szCs w:val="22"/>
        </w:rPr>
      </w:pPr>
      <w:r>
        <w:rPr>
          <w:rFonts w:cs="Times New Roman"/>
          <w:szCs w:val="22"/>
        </w:rPr>
        <w:t>2</w:t>
      </w:r>
      <w:r w:rsidRPr="00CD3803">
        <w:rPr>
          <w:rFonts w:cs="Times New Roman"/>
          <w:szCs w:val="22"/>
          <w:vertAlign w:val="superscript"/>
        </w:rPr>
        <w:t>nd</w:t>
      </w:r>
      <w:r>
        <w:rPr>
          <w:rFonts w:cs="Times New Roman"/>
          <w:szCs w:val="22"/>
        </w:rPr>
        <w:t xml:space="preserve"> phase:</w:t>
      </w:r>
    </w:p>
    <w:p w14:paraId="410D843A" w14:textId="11198535" w:rsidR="00732F61" w:rsidRPr="0013580E" w:rsidRDefault="00732F61" w:rsidP="006E1063">
      <w:pPr>
        <w:pStyle w:val="ListParagraph"/>
        <w:numPr>
          <w:ilvl w:val="1"/>
          <w:numId w:val="5"/>
        </w:numPr>
        <w:rPr>
          <w:rFonts w:eastAsia="Times New Roman" w:cs="Times New Roman"/>
          <w:szCs w:val="22"/>
          <w:lang w:val="en-GB"/>
        </w:rPr>
      </w:pPr>
      <w:r w:rsidRPr="0013580E">
        <w:rPr>
          <w:rFonts w:cs="Times New Roman"/>
          <w:color w:val="000000"/>
          <w:szCs w:val="22"/>
        </w:rPr>
        <w:t xml:space="preserve">No concessions or restrictions were found in the ten years before </w:t>
      </w:r>
      <w:r w:rsidR="0013580E" w:rsidRPr="0013580E">
        <w:rPr>
          <w:rFonts w:cs="Times New Roman"/>
          <w:color w:val="000000"/>
          <w:szCs w:val="22"/>
        </w:rPr>
        <w:t>the second start date.</w:t>
      </w:r>
    </w:p>
    <w:p w14:paraId="3088F9C4" w14:textId="069444FC" w:rsidR="00732F61" w:rsidRDefault="00732F61" w:rsidP="00732F61">
      <w:pPr>
        <w:pStyle w:val="ListParagraph"/>
        <w:rPr>
          <w:rFonts w:eastAsia="Times New Roman" w:cs="Times New Roman"/>
          <w:szCs w:val="22"/>
          <w:lang w:val="en-GB"/>
        </w:rPr>
      </w:pPr>
    </w:p>
    <w:p w14:paraId="01272841" w14:textId="77777777" w:rsidR="003B02F4" w:rsidRPr="0013580E" w:rsidRDefault="003B02F4" w:rsidP="00732F61">
      <w:pPr>
        <w:pStyle w:val="ListParagraph"/>
        <w:rPr>
          <w:rFonts w:eastAsia="Times New Roman" w:cs="Times New Roman"/>
          <w:szCs w:val="22"/>
          <w:lang w:val="en-GB"/>
        </w:rPr>
      </w:pPr>
    </w:p>
    <w:p w14:paraId="4F0E3921" w14:textId="77777777" w:rsidR="00794F7B" w:rsidRPr="0013580E" w:rsidRDefault="00794F7B" w:rsidP="00794F7B">
      <w:pPr>
        <w:rPr>
          <w:b/>
          <w:sz w:val="22"/>
          <w:szCs w:val="22"/>
        </w:rPr>
      </w:pPr>
      <w:r w:rsidRPr="0013580E">
        <w:rPr>
          <w:b/>
          <w:sz w:val="22"/>
          <w:szCs w:val="22"/>
        </w:rPr>
        <w:t>Concessions and restrictions</w:t>
      </w:r>
    </w:p>
    <w:p w14:paraId="5E82FF30" w14:textId="6284C7C0" w:rsidR="00BB4A66" w:rsidRPr="0013580E" w:rsidRDefault="00BB4A66" w:rsidP="00BB4A66">
      <w:pPr>
        <w:rPr>
          <w:sz w:val="22"/>
          <w:szCs w:val="22"/>
        </w:rPr>
      </w:pPr>
    </w:p>
    <w:p w14:paraId="6CD2EC1C" w14:textId="77777777" w:rsidR="00737F93" w:rsidRDefault="00737F93" w:rsidP="00737F93">
      <w:pPr>
        <w:pStyle w:val="ListParagraph"/>
        <w:numPr>
          <w:ilvl w:val="0"/>
          <w:numId w:val="5"/>
        </w:numPr>
        <w:rPr>
          <w:rFonts w:cs="Times New Roman"/>
          <w:szCs w:val="22"/>
        </w:rPr>
      </w:pPr>
      <w:r w:rsidRPr="004824F8">
        <w:rPr>
          <w:rFonts w:cs="Times New Roman"/>
          <w:szCs w:val="22"/>
        </w:rPr>
        <w:t xml:space="preserve">In 1960 Mali </w:t>
      </w:r>
      <w:r>
        <w:rPr>
          <w:rFonts w:cs="Times New Roman"/>
          <w:szCs w:val="22"/>
        </w:rPr>
        <w:t xml:space="preserve">became independent. Relations with the Tuareg </w:t>
      </w:r>
      <w:r w:rsidRPr="004824F8">
        <w:rPr>
          <w:rFonts w:cs="Times New Roman"/>
          <w:szCs w:val="22"/>
        </w:rPr>
        <w:t xml:space="preserve">quickly </w:t>
      </w:r>
      <w:r>
        <w:rPr>
          <w:rFonts w:cs="Times New Roman"/>
          <w:szCs w:val="22"/>
        </w:rPr>
        <w:t xml:space="preserve">deteriorated, with the Mali state seeing the Tuareg variously as </w:t>
      </w:r>
      <w:r w:rsidRPr="004824F8">
        <w:rPr>
          <w:rFonts w:cs="Times New Roman"/>
          <w:szCs w:val="22"/>
        </w:rPr>
        <w:t xml:space="preserve">‘white, slave-raiding nomads’ or ‘neo-colonial agents of France’. </w:t>
      </w:r>
      <w:r>
        <w:rPr>
          <w:rFonts w:cs="Times New Roman"/>
          <w:szCs w:val="22"/>
        </w:rPr>
        <w:t>Mali imposed</w:t>
      </w:r>
      <w:r w:rsidRPr="004824F8">
        <w:rPr>
          <w:rFonts w:cs="Times New Roman"/>
          <w:szCs w:val="22"/>
        </w:rPr>
        <w:t xml:space="preserve"> ‘civilizing’ modernization policies (enrollment of children in schools</w:t>
      </w:r>
      <w:r>
        <w:rPr>
          <w:rFonts w:cs="Times New Roman"/>
          <w:szCs w:val="22"/>
        </w:rPr>
        <w:t>) and curtailed the powers of tribal leaders</w:t>
      </w:r>
      <w:r w:rsidRPr="004824F8">
        <w:rPr>
          <w:rFonts w:cs="Times New Roman"/>
          <w:szCs w:val="22"/>
        </w:rPr>
        <w:t xml:space="preserve"> (</w:t>
      </w:r>
      <w:proofErr w:type="spellStart"/>
      <w:r w:rsidRPr="004824F8">
        <w:rPr>
          <w:rFonts w:cs="Times New Roman"/>
          <w:szCs w:val="22"/>
        </w:rPr>
        <w:t>Lecocq</w:t>
      </w:r>
      <w:proofErr w:type="spellEnd"/>
      <w:r w:rsidRPr="004824F8">
        <w:rPr>
          <w:rFonts w:cs="Times New Roman"/>
          <w:szCs w:val="22"/>
        </w:rPr>
        <w:t xml:space="preserve"> &amp; </w:t>
      </w:r>
      <w:proofErr w:type="spellStart"/>
      <w:r w:rsidRPr="004824F8">
        <w:rPr>
          <w:rFonts w:cs="Times New Roman"/>
          <w:szCs w:val="22"/>
        </w:rPr>
        <w:t>Klute</w:t>
      </w:r>
      <w:proofErr w:type="spellEnd"/>
      <w:r>
        <w:rPr>
          <w:rFonts w:cs="Times New Roman"/>
          <w:szCs w:val="22"/>
        </w:rPr>
        <w:t xml:space="preserve"> </w:t>
      </w:r>
      <w:r w:rsidRPr="004824F8">
        <w:rPr>
          <w:rFonts w:cs="Times New Roman"/>
          <w:szCs w:val="22"/>
        </w:rPr>
        <w:t>2019)</w:t>
      </w:r>
      <w:r>
        <w:rPr>
          <w:rFonts w:cs="Times New Roman"/>
          <w:szCs w:val="22"/>
        </w:rPr>
        <w:t>. [1960: autonomy restriction]</w:t>
      </w:r>
    </w:p>
    <w:p w14:paraId="4F1F8BF9" w14:textId="55CB9BA1" w:rsidR="00A34FB0" w:rsidRPr="0013580E" w:rsidRDefault="00BB4A66" w:rsidP="006E1063">
      <w:pPr>
        <w:pStyle w:val="ListParagraph"/>
        <w:numPr>
          <w:ilvl w:val="0"/>
          <w:numId w:val="5"/>
        </w:numPr>
        <w:rPr>
          <w:rFonts w:cs="Times New Roman"/>
          <w:szCs w:val="22"/>
        </w:rPr>
      </w:pPr>
      <w:r w:rsidRPr="0013580E">
        <w:rPr>
          <w:rFonts w:cs="Times New Roman"/>
          <w:szCs w:val="22"/>
        </w:rPr>
        <w:t>In 1991 t</w:t>
      </w:r>
      <w:r w:rsidR="004C6542" w:rsidRPr="0013580E">
        <w:rPr>
          <w:rFonts w:cs="Times New Roman"/>
          <w:szCs w:val="22"/>
        </w:rPr>
        <w:t>he Tamanrasset Accord</w:t>
      </w:r>
      <w:r w:rsidR="00CD3803">
        <w:rPr>
          <w:rFonts w:cs="Times New Roman"/>
          <w:szCs w:val="22"/>
        </w:rPr>
        <w:t xml:space="preserve"> was signed</w:t>
      </w:r>
      <w:r w:rsidR="00CE13C2">
        <w:rPr>
          <w:rFonts w:cs="Times New Roman"/>
          <w:szCs w:val="22"/>
        </w:rPr>
        <w:t xml:space="preserve">, which promised the </w:t>
      </w:r>
      <w:proofErr w:type="spellStart"/>
      <w:r w:rsidR="00CE13C2">
        <w:rPr>
          <w:rFonts w:cs="Times New Roman"/>
          <w:szCs w:val="22"/>
        </w:rPr>
        <w:t>Tuaeg</w:t>
      </w:r>
      <w:proofErr w:type="spellEnd"/>
      <w:r w:rsidR="00CE13C2">
        <w:rPr>
          <w:rFonts w:cs="Times New Roman"/>
          <w:szCs w:val="22"/>
        </w:rPr>
        <w:t xml:space="preserve"> i</w:t>
      </w:r>
      <w:r w:rsidR="004C6542" w:rsidRPr="0013580E">
        <w:rPr>
          <w:rFonts w:cs="Times New Roman"/>
          <w:szCs w:val="22"/>
        </w:rPr>
        <w:t>nternal autonomy</w:t>
      </w:r>
      <w:r w:rsidRPr="0013580E">
        <w:rPr>
          <w:rFonts w:cs="Times New Roman"/>
          <w:szCs w:val="22"/>
        </w:rPr>
        <w:t xml:space="preserve">. </w:t>
      </w:r>
      <w:r w:rsidR="00CE13C2">
        <w:rPr>
          <w:rFonts w:cs="Times New Roman"/>
          <w:szCs w:val="22"/>
        </w:rPr>
        <w:t xml:space="preserve">However, the government fell before the accord could be implemented </w:t>
      </w:r>
      <w:r w:rsidR="004C6542" w:rsidRPr="0013580E">
        <w:rPr>
          <w:rFonts w:cs="Times New Roman"/>
          <w:szCs w:val="22"/>
        </w:rPr>
        <w:t>(Cunningham</w:t>
      </w:r>
      <w:r w:rsidR="00CE13C2">
        <w:rPr>
          <w:rFonts w:cs="Times New Roman"/>
          <w:szCs w:val="22"/>
        </w:rPr>
        <w:t xml:space="preserve"> </w:t>
      </w:r>
      <w:r w:rsidR="004C6542" w:rsidRPr="0013580E">
        <w:rPr>
          <w:rFonts w:cs="Times New Roman"/>
          <w:szCs w:val="22"/>
        </w:rPr>
        <w:t>2014</w:t>
      </w:r>
      <w:r w:rsidRPr="0013580E">
        <w:rPr>
          <w:rFonts w:cs="Times New Roman"/>
          <w:szCs w:val="22"/>
        </w:rPr>
        <w:t xml:space="preserve">; </w:t>
      </w:r>
      <w:proofErr w:type="spellStart"/>
      <w:r w:rsidR="00A34FB0" w:rsidRPr="0013580E">
        <w:rPr>
          <w:rFonts w:cs="Times New Roman"/>
          <w:szCs w:val="22"/>
        </w:rPr>
        <w:t>Lecocq</w:t>
      </w:r>
      <w:proofErr w:type="spellEnd"/>
      <w:r w:rsidR="00A34FB0" w:rsidRPr="0013580E">
        <w:rPr>
          <w:rFonts w:cs="Times New Roman"/>
          <w:szCs w:val="22"/>
        </w:rPr>
        <w:t xml:space="preserve"> &amp; </w:t>
      </w:r>
      <w:proofErr w:type="spellStart"/>
      <w:r w:rsidR="00A34FB0" w:rsidRPr="0013580E">
        <w:rPr>
          <w:rFonts w:cs="Times New Roman"/>
          <w:szCs w:val="22"/>
        </w:rPr>
        <w:t>Klute</w:t>
      </w:r>
      <w:proofErr w:type="spellEnd"/>
      <w:r w:rsidR="00A34FB0" w:rsidRPr="0013580E">
        <w:rPr>
          <w:rFonts w:cs="Times New Roman"/>
          <w:szCs w:val="22"/>
        </w:rPr>
        <w:t xml:space="preserve"> 2019</w:t>
      </w:r>
      <w:r w:rsidR="004C6542" w:rsidRPr="0013580E">
        <w:rPr>
          <w:rFonts w:cs="Times New Roman"/>
          <w:szCs w:val="22"/>
        </w:rPr>
        <w:t>)</w:t>
      </w:r>
      <w:r w:rsidRPr="0013580E">
        <w:rPr>
          <w:rFonts w:cs="Times New Roman"/>
          <w:szCs w:val="22"/>
        </w:rPr>
        <w:t xml:space="preserve">. </w:t>
      </w:r>
      <w:r w:rsidR="00CE13C2">
        <w:rPr>
          <w:rFonts w:cs="Times New Roman"/>
          <w:szCs w:val="22"/>
        </w:rPr>
        <w:t>We do not code a concession because of the lack of implementation.</w:t>
      </w:r>
    </w:p>
    <w:p w14:paraId="6AAC2723" w14:textId="6509CBF4" w:rsidR="008C1697" w:rsidRPr="00961750" w:rsidRDefault="00BB4A66" w:rsidP="006E1063">
      <w:pPr>
        <w:pStyle w:val="ListParagraph"/>
        <w:numPr>
          <w:ilvl w:val="0"/>
          <w:numId w:val="5"/>
        </w:numPr>
        <w:rPr>
          <w:rFonts w:cs="Times New Roman"/>
          <w:szCs w:val="22"/>
        </w:rPr>
      </w:pPr>
      <w:r w:rsidRPr="00961750">
        <w:rPr>
          <w:rFonts w:cs="Times New Roman"/>
          <w:szCs w:val="22"/>
        </w:rPr>
        <w:t xml:space="preserve">In April </w:t>
      </w:r>
      <w:r w:rsidR="004C6542" w:rsidRPr="00961750">
        <w:rPr>
          <w:rFonts w:cs="Times New Roman"/>
          <w:szCs w:val="22"/>
        </w:rPr>
        <w:t>1992</w:t>
      </w:r>
      <w:r w:rsidRPr="00961750">
        <w:rPr>
          <w:rFonts w:cs="Times New Roman"/>
          <w:szCs w:val="22"/>
        </w:rPr>
        <w:t xml:space="preserve"> a new peace-deal called the </w:t>
      </w:r>
      <w:r w:rsidR="004C6542" w:rsidRPr="00961750">
        <w:rPr>
          <w:rFonts w:cs="Times New Roman"/>
          <w:szCs w:val="22"/>
        </w:rPr>
        <w:t>National Pact</w:t>
      </w:r>
      <w:r w:rsidRPr="00961750">
        <w:rPr>
          <w:rFonts w:cs="Times New Roman"/>
          <w:szCs w:val="22"/>
        </w:rPr>
        <w:t xml:space="preserve"> </w:t>
      </w:r>
      <w:r w:rsidR="00CD3803" w:rsidRPr="00961750">
        <w:rPr>
          <w:rFonts w:cs="Times New Roman"/>
          <w:szCs w:val="22"/>
        </w:rPr>
        <w:t xml:space="preserve">was </w:t>
      </w:r>
      <w:r w:rsidR="004C6542" w:rsidRPr="00961750">
        <w:rPr>
          <w:rFonts w:cs="Times New Roman"/>
          <w:szCs w:val="22"/>
        </w:rPr>
        <w:t>signed between the government and multiple Tuareg rebel groups</w:t>
      </w:r>
      <w:r w:rsidR="00CD3803" w:rsidRPr="00961750">
        <w:rPr>
          <w:rFonts w:cs="Times New Roman"/>
          <w:szCs w:val="22"/>
        </w:rPr>
        <w:t>. The deal included the following:</w:t>
      </w:r>
      <w:r w:rsidR="004C6542" w:rsidRPr="00961750">
        <w:rPr>
          <w:szCs w:val="22"/>
        </w:rPr>
        <w:t xml:space="preserve"> integration of Tuareg combatants, demilitarization and economic integration of the north, and a special administrative structure for the three norther regions</w:t>
      </w:r>
      <w:r w:rsidR="00CD3803" w:rsidRPr="00961750">
        <w:rPr>
          <w:szCs w:val="22"/>
        </w:rPr>
        <w:t xml:space="preserve"> with competencies in areas </w:t>
      </w:r>
      <w:proofErr w:type="gramStart"/>
      <w:r w:rsidR="00CD3803" w:rsidRPr="00961750">
        <w:rPr>
          <w:szCs w:val="22"/>
        </w:rPr>
        <w:t xml:space="preserve">including </w:t>
      </w:r>
      <w:r w:rsidR="004C6542" w:rsidRPr="00961750">
        <w:rPr>
          <w:szCs w:val="22"/>
        </w:rPr>
        <w:t xml:space="preserve"> education</w:t>
      </w:r>
      <w:proofErr w:type="gramEnd"/>
      <w:r w:rsidR="004C6542" w:rsidRPr="00961750">
        <w:rPr>
          <w:szCs w:val="22"/>
        </w:rPr>
        <w:t xml:space="preserve">, health, </w:t>
      </w:r>
      <w:r w:rsidR="00CD3803" w:rsidRPr="00961750">
        <w:rPr>
          <w:szCs w:val="22"/>
        </w:rPr>
        <w:t xml:space="preserve">taxation, </w:t>
      </w:r>
      <w:r w:rsidR="004C6542" w:rsidRPr="00961750">
        <w:rPr>
          <w:szCs w:val="22"/>
        </w:rPr>
        <w:t>and the economy</w:t>
      </w:r>
      <w:r w:rsidR="00961750" w:rsidRPr="00961750">
        <w:rPr>
          <w:szCs w:val="22"/>
        </w:rPr>
        <w:t xml:space="preserve">. There was some implementation, so we code a concession. However, the National Pact was never fully implemented. </w:t>
      </w:r>
      <w:r w:rsidR="00961750" w:rsidRPr="0013580E">
        <w:rPr>
          <w:rFonts w:cs="Times New Roman"/>
          <w:szCs w:val="22"/>
        </w:rPr>
        <w:t xml:space="preserve">Most notably, Kidal region </w:t>
      </w:r>
      <w:r w:rsidR="00961750">
        <w:rPr>
          <w:rFonts w:cs="Times New Roman"/>
          <w:szCs w:val="22"/>
        </w:rPr>
        <w:t>was</w:t>
      </w:r>
      <w:r w:rsidR="00961750" w:rsidRPr="0013580E">
        <w:rPr>
          <w:rFonts w:cs="Times New Roman"/>
          <w:szCs w:val="22"/>
        </w:rPr>
        <w:t xml:space="preserve"> not given the full promised autonomy</w:t>
      </w:r>
      <w:r w:rsidR="00961750">
        <w:rPr>
          <w:rFonts w:cs="Times New Roman"/>
          <w:szCs w:val="22"/>
        </w:rPr>
        <w:t xml:space="preserve"> and the s</w:t>
      </w:r>
      <w:r w:rsidR="00961750" w:rsidRPr="0013580E">
        <w:rPr>
          <w:rFonts w:cs="Times New Roman"/>
          <w:szCs w:val="22"/>
        </w:rPr>
        <w:t xml:space="preserve">pecial tax regime for the region </w:t>
      </w:r>
      <w:r w:rsidR="00961750">
        <w:rPr>
          <w:rFonts w:cs="Times New Roman"/>
          <w:szCs w:val="22"/>
        </w:rPr>
        <w:t>was</w:t>
      </w:r>
      <w:r w:rsidR="00961750" w:rsidRPr="0013580E">
        <w:rPr>
          <w:rFonts w:cs="Times New Roman"/>
          <w:szCs w:val="22"/>
        </w:rPr>
        <w:t xml:space="preserve"> not implemented</w:t>
      </w:r>
      <w:r w:rsidR="00961750">
        <w:rPr>
          <w:rFonts w:cs="Times New Roman"/>
          <w:szCs w:val="22"/>
        </w:rPr>
        <w:t xml:space="preserve">, </w:t>
      </w:r>
      <w:proofErr w:type="gramStart"/>
      <w:r w:rsidR="00961750">
        <w:rPr>
          <w:rFonts w:cs="Times New Roman"/>
          <w:szCs w:val="22"/>
        </w:rPr>
        <w:t>either</w:t>
      </w:r>
      <w:r w:rsidR="00961750" w:rsidRPr="0013580E">
        <w:rPr>
          <w:rFonts w:cs="Times New Roman"/>
          <w:szCs w:val="22"/>
        </w:rPr>
        <w:t xml:space="preserve"> </w:t>
      </w:r>
      <w:r w:rsidR="004C6542" w:rsidRPr="00961750">
        <w:rPr>
          <w:szCs w:val="22"/>
        </w:rPr>
        <w:t xml:space="preserve"> </w:t>
      </w:r>
      <w:r w:rsidRPr="00961750">
        <w:rPr>
          <w:szCs w:val="22"/>
        </w:rPr>
        <w:t>(</w:t>
      </w:r>
      <w:proofErr w:type="gramEnd"/>
      <w:r w:rsidRPr="00961750">
        <w:rPr>
          <w:szCs w:val="22"/>
        </w:rPr>
        <w:t>Cunningham</w:t>
      </w:r>
      <w:r w:rsidR="00CD3803" w:rsidRPr="00961750">
        <w:rPr>
          <w:szCs w:val="22"/>
        </w:rPr>
        <w:t xml:space="preserve"> </w:t>
      </w:r>
      <w:r w:rsidRPr="00961750">
        <w:rPr>
          <w:szCs w:val="22"/>
        </w:rPr>
        <w:t>2014)</w:t>
      </w:r>
      <w:r w:rsidR="002C4FEB">
        <w:rPr>
          <w:szCs w:val="22"/>
        </w:rPr>
        <w:t>.</w:t>
      </w:r>
      <w:r w:rsidR="00A34FB0" w:rsidRPr="00961750">
        <w:rPr>
          <w:szCs w:val="22"/>
        </w:rPr>
        <w:t xml:space="preserve"> [1992: </w:t>
      </w:r>
      <w:r w:rsidR="00CD3803" w:rsidRPr="00961750">
        <w:rPr>
          <w:szCs w:val="22"/>
        </w:rPr>
        <w:t>a</w:t>
      </w:r>
      <w:r w:rsidR="00A34FB0" w:rsidRPr="00961750">
        <w:rPr>
          <w:szCs w:val="22"/>
        </w:rPr>
        <w:t>utonomy concession]</w:t>
      </w:r>
    </w:p>
    <w:p w14:paraId="4EE387E5" w14:textId="38744C15" w:rsidR="00A34FB0" w:rsidRPr="0013580E" w:rsidRDefault="00A34FB0" w:rsidP="006E1063">
      <w:pPr>
        <w:pStyle w:val="ListParagraph"/>
        <w:numPr>
          <w:ilvl w:val="0"/>
          <w:numId w:val="5"/>
        </w:numPr>
        <w:rPr>
          <w:rFonts w:cs="Times New Roman"/>
          <w:szCs w:val="22"/>
        </w:rPr>
      </w:pPr>
      <w:r w:rsidRPr="0013580E">
        <w:rPr>
          <w:rFonts w:cs="Times New Roman"/>
          <w:szCs w:val="22"/>
        </w:rPr>
        <w:t>In February 1993</w:t>
      </w:r>
      <w:r w:rsidR="00961750">
        <w:rPr>
          <w:rFonts w:cs="Times New Roman"/>
          <w:szCs w:val="22"/>
        </w:rPr>
        <w:t>,</w:t>
      </w:r>
      <w:r w:rsidRPr="0013580E">
        <w:rPr>
          <w:rFonts w:cs="Times New Roman"/>
          <w:szCs w:val="22"/>
        </w:rPr>
        <w:t xml:space="preserve"> the President enact</w:t>
      </w:r>
      <w:r w:rsidR="00961750">
        <w:rPr>
          <w:rFonts w:cs="Times New Roman"/>
          <w:szCs w:val="22"/>
        </w:rPr>
        <w:t xml:space="preserve">ed </w:t>
      </w:r>
      <w:r w:rsidRPr="0013580E">
        <w:rPr>
          <w:rFonts w:cs="Times New Roman"/>
          <w:szCs w:val="22"/>
        </w:rPr>
        <w:t xml:space="preserve">framework law No. 93-008, </w:t>
      </w:r>
      <w:r w:rsidR="00961750">
        <w:rPr>
          <w:rFonts w:cs="Times New Roman"/>
          <w:szCs w:val="22"/>
        </w:rPr>
        <w:t xml:space="preserve">which set </w:t>
      </w:r>
      <w:r w:rsidRPr="0013580E">
        <w:rPr>
          <w:rFonts w:cs="Times New Roman"/>
          <w:szCs w:val="22"/>
        </w:rPr>
        <w:t>out general guidelines for the national decentralization policy</w:t>
      </w:r>
      <w:r w:rsidR="00961750">
        <w:rPr>
          <w:rFonts w:cs="Times New Roman"/>
          <w:szCs w:val="22"/>
        </w:rPr>
        <w:t xml:space="preserve"> </w:t>
      </w:r>
      <w:r w:rsidRPr="0013580E">
        <w:rPr>
          <w:rFonts w:cs="Times New Roman"/>
          <w:szCs w:val="22"/>
        </w:rPr>
        <w:t>(Cunningham 2014)</w:t>
      </w:r>
      <w:r w:rsidR="00961750">
        <w:rPr>
          <w:rFonts w:cs="Times New Roman"/>
          <w:szCs w:val="22"/>
        </w:rPr>
        <w:t>. We do not code a concession because the framework was an outflow of the 1992 National Pact.</w:t>
      </w:r>
      <w:r w:rsidRPr="0013580E">
        <w:rPr>
          <w:rFonts w:cs="Times New Roman"/>
          <w:i/>
          <w:iCs/>
          <w:szCs w:val="22"/>
        </w:rPr>
        <w:t xml:space="preserve"> </w:t>
      </w:r>
    </w:p>
    <w:p w14:paraId="3E593283" w14:textId="77777777" w:rsidR="00961750" w:rsidRPr="0013580E" w:rsidRDefault="00961750" w:rsidP="006E1063">
      <w:pPr>
        <w:pStyle w:val="ListParagraph"/>
        <w:numPr>
          <w:ilvl w:val="0"/>
          <w:numId w:val="5"/>
        </w:numPr>
        <w:rPr>
          <w:rFonts w:cs="Times New Roman"/>
          <w:szCs w:val="22"/>
        </w:rPr>
      </w:pPr>
      <w:r>
        <w:rPr>
          <w:rFonts w:cs="Times New Roman"/>
          <w:szCs w:val="22"/>
        </w:rPr>
        <w:t>In 1999, m</w:t>
      </w:r>
      <w:r w:rsidR="00A34FB0" w:rsidRPr="0013580E">
        <w:rPr>
          <w:rFonts w:cs="Times New Roman"/>
          <w:szCs w:val="22"/>
        </w:rPr>
        <w:t xml:space="preserve">unicipalities </w:t>
      </w:r>
      <w:r>
        <w:rPr>
          <w:rFonts w:cs="Times New Roman"/>
          <w:szCs w:val="22"/>
        </w:rPr>
        <w:t xml:space="preserve">were provided with </w:t>
      </w:r>
      <w:r w:rsidR="00A34FB0" w:rsidRPr="0013580E">
        <w:rPr>
          <w:rFonts w:cs="Times New Roman"/>
          <w:szCs w:val="22"/>
        </w:rPr>
        <w:t xml:space="preserve">control over fiscal spending connected </w:t>
      </w:r>
      <w:proofErr w:type="gramStart"/>
      <w:r w:rsidR="00A34FB0" w:rsidRPr="0013580E">
        <w:rPr>
          <w:rFonts w:cs="Times New Roman"/>
          <w:szCs w:val="22"/>
        </w:rPr>
        <w:t>to  health</w:t>
      </w:r>
      <w:proofErr w:type="gramEnd"/>
      <w:r w:rsidR="00A34FB0" w:rsidRPr="0013580E">
        <w:rPr>
          <w:rFonts w:cs="Times New Roman"/>
          <w:szCs w:val="22"/>
        </w:rPr>
        <w:t xml:space="preserve">, education and some infrastructure (Seely 2001). </w:t>
      </w:r>
      <w:r>
        <w:rPr>
          <w:rFonts w:cs="Times New Roman"/>
          <w:szCs w:val="22"/>
        </w:rPr>
        <w:t>We do not code a concession because the framework was an outflow of the 1992 National Pact.</w:t>
      </w:r>
      <w:r w:rsidRPr="0013580E">
        <w:rPr>
          <w:rFonts w:cs="Times New Roman"/>
          <w:i/>
          <w:iCs/>
          <w:szCs w:val="22"/>
        </w:rPr>
        <w:t xml:space="preserve"> </w:t>
      </w:r>
    </w:p>
    <w:p w14:paraId="0CDD86C3" w14:textId="43E23851" w:rsidR="00D36E8E" w:rsidRPr="009C69EE" w:rsidRDefault="00961750" w:rsidP="006E1063">
      <w:pPr>
        <w:pStyle w:val="ListParagraph"/>
        <w:numPr>
          <w:ilvl w:val="0"/>
          <w:numId w:val="5"/>
        </w:numPr>
        <w:rPr>
          <w:rFonts w:cs="Times New Roman"/>
          <w:szCs w:val="22"/>
        </w:rPr>
      </w:pPr>
      <w:r w:rsidRPr="009C69EE">
        <w:rPr>
          <w:rFonts w:cs="Times New Roman"/>
          <w:szCs w:val="22"/>
        </w:rPr>
        <w:t xml:space="preserve">2006 saw the start of another Tuareg rebellion. </w:t>
      </w:r>
      <w:r w:rsidR="00D36E8E" w:rsidRPr="009C69EE">
        <w:rPr>
          <w:rFonts w:cs="Times New Roman"/>
          <w:szCs w:val="22"/>
        </w:rPr>
        <w:t xml:space="preserve">Negotiations </w:t>
      </w:r>
      <w:r w:rsidRPr="009C69EE">
        <w:rPr>
          <w:rFonts w:cs="Times New Roman"/>
          <w:szCs w:val="22"/>
        </w:rPr>
        <w:t xml:space="preserve">began shortly thereafter and in the same year, a new peace deal was signed, the Algiers Accords. </w:t>
      </w:r>
      <w:r w:rsidR="009C69EE" w:rsidRPr="009C69EE">
        <w:rPr>
          <w:rFonts w:cs="Times New Roman"/>
          <w:szCs w:val="22"/>
        </w:rPr>
        <w:t>The accords introduced a</w:t>
      </w:r>
      <w:r w:rsidR="00CE0EC4" w:rsidRPr="009C69EE">
        <w:rPr>
          <w:rFonts w:cs="Times New Roman"/>
          <w:szCs w:val="22"/>
        </w:rPr>
        <w:t xml:space="preserve"> new regional assembly that would be consulted on laws affecting the Kidal region</w:t>
      </w:r>
      <w:r w:rsidR="009C69EE" w:rsidRPr="009C69EE">
        <w:rPr>
          <w:rFonts w:cs="Times New Roman"/>
          <w:szCs w:val="22"/>
        </w:rPr>
        <w:t xml:space="preserve">, a preferential tax system, a </w:t>
      </w:r>
      <w:r w:rsidR="00CE0EC4" w:rsidRPr="009C69EE">
        <w:rPr>
          <w:rFonts w:cs="Times New Roman"/>
          <w:szCs w:val="22"/>
        </w:rPr>
        <w:t xml:space="preserve">healthcare system adapted to nomadic life, </w:t>
      </w:r>
      <w:r w:rsidR="009C69EE" w:rsidRPr="009C69EE">
        <w:rPr>
          <w:rFonts w:cs="Times New Roman"/>
          <w:szCs w:val="22"/>
        </w:rPr>
        <w:t xml:space="preserve">and improvements to </w:t>
      </w:r>
      <w:r w:rsidR="00CE0EC4" w:rsidRPr="009C69EE">
        <w:rPr>
          <w:rFonts w:cs="Times New Roman"/>
          <w:szCs w:val="22"/>
        </w:rPr>
        <w:t>infrastructure.</w:t>
      </w:r>
      <w:r w:rsidR="00D36E8E" w:rsidRPr="009C69EE">
        <w:rPr>
          <w:rFonts w:cs="Times New Roman"/>
          <w:szCs w:val="22"/>
        </w:rPr>
        <w:t xml:space="preserve"> </w:t>
      </w:r>
      <w:r w:rsidR="009C69EE" w:rsidRPr="009C69EE">
        <w:rPr>
          <w:rFonts w:cs="Times New Roman"/>
          <w:szCs w:val="22"/>
        </w:rPr>
        <w:t>Furthermore, n</w:t>
      </w:r>
      <w:r w:rsidR="00D36E8E" w:rsidRPr="009C69EE">
        <w:rPr>
          <w:rFonts w:cs="Times New Roman"/>
          <w:szCs w:val="22"/>
        </w:rPr>
        <w:t>ew north-only security units are established (</w:t>
      </w:r>
      <w:proofErr w:type="spellStart"/>
      <w:r w:rsidR="00D36E8E" w:rsidRPr="009C69EE">
        <w:rPr>
          <w:rFonts w:cs="Times New Roman"/>
          <w:szCs w:val="22"/>
        </w:rPr>
        <w:t>Pezard</w:t>
      </w:r>
      <w:proofErr w:type="spellEnd"/>
      <w:r w:rsidR="00D36E8E" w:rsidRPr="009C69EE">
        <w:rPr>
          <w:rFonts w:cs="Times New Roman"/>
          <w:szCs w:val="22"/>
        </w:rPr>
        <w:t xml:space="preserve"> &amp; </w:t>
      </w:r>
      <w:proofErr w:type="spellStart"/>
      <w:r w:rsidR="00D36E8E" w:rsidRPr="009C69EE">
        <w:rPr>
          <w:rFonts w:cs="Times New Roman"/>
          <w:szCs w:val="22"/>
        </w:rPr>
        <w:t>Shurkin</w:t>
      </w:r>
      <w:proofErr w:type="spellEnd"/>
      <w:r w:rsidR="009C69EE" w:rsidRPr="009C69EE">
        <w:rPr>
          <w:rFonts w:cs="Times New Roman"/>
          <w:szCs w:val="22"/>
        </w:rPr>
        <w:t xml:space="preserve"> </w:t>
      </w:r>
      <w:r w:rsidR="00D36E8E" w:rsidRPr="009C69EE">
        <w:rPr>
          <w:rFonts w:cs="Times New Roman"/>
          <w:szCs w:val="22"/>
        </w:rPr>
        <w:t>2015)</w:t>
      </w:r>
      <w:r w:rsidR="009C69EE" w:rsidRPr="009C69EE">
        <w:rPr>
          <w:rFonts w:cs="Times New Roman"/>
          <w:szCs w:val="22"/>
        </w:rPr>
        <w:t>.</w:t>
      </w:r>
      <w:r w:rsidR="00D36E8E" w:rsidRPr="009C69EE">
        <w:rPr>
          <w:rFonts w:cs="Times New Roman"/>
          <w:szCs w:val="22"/>
        </w:rPr>
        <w:t xml:space="preserve"> </w:t>
      </w:r>
      <w:r w:rsidR="009C69EE" w:rsidRPr="00961750">
        <w:rPr>
          <w:szCs w:val="22"/>
        </w:rPr>
        <w:t xml:space="preserve">There was some implementation, so we code a concession. However, the </w:t>
      </w:r>
      <w:r w:rsidR="009C69EE">
        <w:rPr>
          <w:szCs w:val="22"/>
        </w:rPr>
        <w:t>Algiers Accords were</w:t>
      </w:r>
      <w:r w:rsidR="009C69EE" w:rsidRPr="00961750">
        <w:rPr>
          <w:szCs w:val="22"/>
        </w:rPr>
        <w:t xml:space="preserve"> never fully implemented</w:t>
      </w:r>
      <w:r w:rsidR="009C69EE">
        <w:rPr>
          <w:szCs w:val="22"/>
        </w:rPr>
        <w:t xml:space="preserve"> </w:t>
      </w:r>
      <w:r w:rsidR="00D36E8E" w:rsidRPr="009C69EE">
        <w:rPr>
          <w:rFonts w:cs="Times New Roman"/>
          <w:szCs w:val="22"/>
        </w:rPr>
        <w:t>(</w:t>
      </w:r>
      <w:proofErr w:type="spellStart"/>
      <w:r w:rsidR="00D36E8E" w:rsidRPr="009C69EE">
        <w:rPr>
          <w:rFonts w:cs="Times New Roman"/>
          <w:szCs w:val="22"/>
        </w:rPr>
        <w:t>Pezard</w:t>
      </w:r>
      <w:proofErr w:type="spellEnd"/>
      <w:r w:rsidR="00D36E8E" w:rsidRPr="009C69EE">
        <w:rPr>
          <w:rFonts w:cs="Times New Roman"/>
          <w:szCs w:val="22"/>
        </w:rPr>
        <w:t xml:space="preserve"> &amp; </w:t>
      </w:r>
      <w:proofErr w:type="spellStart"/>
      <w:r w:rsidR="00D36E8E" w:rsidRPr="009C69EE">
        <w:rPr>
          <w:rFonts w:cs="Times New Roman"/>
          <w:szCs w:val="22"/>
        </w:rPr>
        <w:t>Shurkin</w:t>
      </w:r>
      <w:proofErr w:type="spellEnd"/>
      <w:r w:rsidR="00D36E8E" w:rsidRPr="009C69EE">
        <w:rPr>
          <w:rFonts w:cs="Times New Roman"/>
          <w:szCs w:val="22"/>
        </w:rPr>
        <w:t xml:space="preserve"> 2015)</w:t>
      </w:r>
      <w:r w:rsidR="002C4FEB">
        <w:rPr>
          <w:rFonts w:cs="Times New Roman"/>
          <w:szCs w:val="22"/>
        </w:rPr>
        <w:t>.</w:t>
      </w:r>
      <w:r w:rsidR="00D36E8E" w:rsidRPr="009C69EE">
        <w:rPr>
          <w:rFonts w:cs="Times New Roman"/>
          <w:szCs w:val="22"/>
        </w:rPr>
        <w:t xml:space="preserve"> [2006: </w:t>
      </w:r>
      <w:r w:rsidR="009C69EE">
        <w:rPr>
          <w:rFonts w:cs="Times New Roman"/>
          <w:szCs w:val="22"/>
        </w:rPr>
        <w:t>a</w:t>
      </w:r>
      <w:r w:rsidR="00D36E8E" w:rsidRPr="009C69EE">
        <w:rPr>
          <w:rFonts w:cs="Times New Roman"/>
          <w:szCs w:val="22"/>
        </w:rPr>
        <w:t xml:space="preserve">utonomy </w:t>
      </w:r>
      <w:r w:rsidR="009C69EE">
        <w:rPr>
          <w:rFonts w:cs="Times New Roman"/>
          <w:szCs w:val="22"/>
        </w:rPr>
        <w:t>concession</w:t>
      </w:r>
      <w:r w:rsidR="00D36E8E" w:rsidRPr="009C69EE">
        <w:rPr>
          <w:rFonts w:cs="Times New Roman"/>
          <w:szCs w:val="22"/>
        </w:rPr>
        <w:t>]</w:t>
      </w:r>
    </w:p>
    <w:p w14:paraId="5196F33C" w14:textId="07DC3206" w:rsidR="00D95EF8" w:rsidRPr="006F7202" w:rsidRDefault="00D95EF8" w:rsidP="006E1063">
      <w:pPr>
        <w:pStyle w:val="ListParagraph"/>
        <w:numPr>
          <w:ilvl w:val="0"/>
          <w:numId w:val="5"/>
        </w:numPr>
        <w:rPr>
          <w:rFonts w:cs="Times New Roman"/>
          <w:szCs w:val="22"/>
        </w:rPr>
      </w:pPr>
      <w:r w:rsidRPr="006F7202">
        <w:t xml:space="preserve">On September 5, 2013, a new prime minister, Oumar </w:t>
      </w:r>
      <w:proofErr w:type="spellStart"/>
      <w:r w:rsidRPr="006F7202">
        <w:t>Tatam</w:t>
      </w:r>
      <w:proofErr w:type="spellEnd"/>
      <w:r w:rsidRPr="006F7202">
        <w:t xml:space="preserve"> Ly, was appointed by the president. His first cabinet consisted of members of all ethnic groups. Furthermore, a new ministry was built, which </w:t>
      </w:r>
      <w:r w:rsidR="00091535" w:rsidRPr="006F7202">
        <w:t xml:space="preserve">was </w:t>
      </w:r>
      <w:r w:rsidRPr="006F7202">
        <w:t>responsible for the Reconciliation of the North (</w:t>
      </w:r>
      <w:r w:rsidR="000C1697" w:rsidRPr="006F7202">
        <w:t>US State Department 2017</w:t>
      </w:r>
      <w:r w:rsidRPr="006F7202">
        <w:t>).</w:t>
      </w:r>
      <w:r w:rsidR="0058444B" w:rsidRPr="006F7202">
        <w:t xml:space="preserve"> </w:t>
      </w:r>
      <w:r w:rsidR="00091535" w:rsidRPr="006F7202">
        <w:t>We could not find evidence for a concession as defined here, however.</w:t>
      </w:r>
    </w:p>
    <w:p w14:paraId="098F1584" w14:textId="69B74A1A" w:rsidR="00702B31" w:rsidRPr="006F7202" w:rsidRDefault="00E12BAF" w:rsidP="006E1063">
      <w:pPr>
        <w:pStyle w:val="ListParagraph"/>
        <w:numPr>
          <w:ilvl w:val="0"/>
          <w:numId w:val="5"/>
        </w:numPr>
        <w:rPr>
          <w:rFonts w:cs="Times New Roman"/>
          <w:szCs w:val="22"/>
        </w:rPr>
      </w:pPr>
      <w:r w:rsidRPr="006F7202">
        <w:t>In June 2015, a</w:t>
      </w:r>
      <w:r w:rsidR="00091535" w:rsidRPr="006F7202">
        <w:t>nother</w:t>
      </w:r>
      <w:r w:rsidRPr="006F7202">
        <w:t xml:space="preserve"> peace agreement was signed between the northern rebel groups and the government</w:t>
      </w:r>
      <w:r w:rsidR="00091535" w:rsidRPr="006F7202">
        <w:t>,</w:t>
      </w:r>
      <w:r w:rsidRPr="006F7202">
        <w:t xml:space="preserve"> though other groups continue to fight for independence (Minahan 2016: 428). In this context, the government offered Azawad</w:t>
      </w:r>
      <w:r w:rsidR="00091535" w:rsidRPr="006F7202">
        <w:t xml:space="preserve"> partial autonomy.</w:t>
      </w:r>
      <w:r w:rsidRPr="006F7202">
        <w:t xml:space="preserve"> However, </w:t>
      </w:r>
      <w:r w:rsidR="00091535" w:rsidRPr="006F7202">
        <w:t xml:space="preserve">the offer appears to have been made as a result of international pressure and no concrete steps </w:t>
      </w:r>
      <w:proofErr w:type="gramStart"/>
      <w:r w:rsidR="00091535" w:rsidRPr="006F7202">
        <w:t>followed.</w:t>
      </w:r>
      <w:r w:rsidR="00AD4C43" w:rsidRPr="006F7202">
        <w:t>(</w:t>
      </w:r>
      <w:proofErr w:type="gramEnd"/>
      <w:r w:rsidR="00AD4C43" w:rsidRPr="006F7202">
        <w:t xml:space="preserve">ICG 2020: </w:t>
      </w:r>
      <w:r w:rsidR="00A5478D" w:rsidRPr="006F7202">
        <w:t>Council on Foreign Relations 2020</w:t>
      </w:r>
      <w:r w:rsidR="00AD4C43" w:rsidRPr="006F7202">
        <w:t>)</w:t>
      </w:r>
      <w:r w:rsidR="005071B0" w:rsidRPr="006F7202">
        <w:t xml:space="preserve">. </w:t>
      </w:r>
      <w:r w:rsidR="00091535" w:rsidRPr="006F7202">
        <w:t>We do not code a concession.</w:t>
      </w:r>
    </w:p>
    <w:p w14:paraId="09D17B51" w14:textId="563FFBA3" w:rsidR="007D31AA" w:rsidRPr="006F7202" w:rsidRDefault="007D31AA" w:rsidP="007D31AA">
      <w:pPr>
        <w:rPr>
          <w:b/>
          <w:sz w:val="22"/>
          <w:szCs w:val="22"/>
        </w:rPr>
      </w:pPr>
      <w:r w:rsidRPr="006F7202">
        <w:rPr>
          <w:b/>
          <w:sz w:val="22"/>
          <w:szCs w:val="22"/>
        </w:rPr>
        <w:lastRenderedPageBreak/>
        <w:t xml:space="preserve">Regional autonomy </w:t>
      </w:r>
    </w:p>
    <w:p w14:paraId="44748946" w14:textId="77777777" w:rsidR="007D31AA" w:rsidRPr="006F7202" w:rsidRDefault="007D31AA" w:rsidP="007D31AA">
      <w:pPr>
        <w:rPr>
          <w:sz w:val="22"/>
          <w:szCs w:val="22"/>
        </w:rPr>
      </w:pPr>
    </w:p>
    <w:p w14:paraId="7D36EB9E" w14:textId="19699E08" w:rsidR="006F7202" w:rsidRPr="006F7202" w:rsidRDefault="00A34FB0" w:rsidP="006E1063">
      <w:pPr>
        <w:pStyle w:val="ListParagraph"/>
        <w:numPr>
          <w:ilvl w:val="0"/>
          <w:numId w:val="5"/>
        </w:numPr>
        <w:rPr>
          <w:bCs/>
          <w:szCs w:val="22"/>
        </w:rPr>
      </w:pPr>
      <w:r w:rsidRPr="006F7202">
        <w:rPr>
          <w:rFonts w:cs="Times New Roman"/>
          <w:szCs w:val="22"/>
        </w:rPr>
        <w:t>While the de-</w:t>
      </w:r>
      <w:proofErr w:type="spellStart"/>
      <w:r w:rsidRPr="006F7202">
        <w:rPr>
          <w:rFonts w:cs="Times New Roman"/>
          <w:szCs w:val="22"/>
        </w:rPr>
        <w:t>centralisation</w:t>
      </w:r>
      <w:proofErr w:type="spellEnd"/>
      <w:r w:rsidRPr="006F7202">
        <w:rPr>
          <w:rFonts w:cs="Times New Roman"/>
          <w:szCs w:val="22"/>
        </w:rPr>
        <w:t xml:space="preserve"> act of 1992 did bring the devolution of government power in some areas, it </w:t>
      </w:r>
      <w:proofErr w:type="spellStart"/>
      <w:r w:rsidRPr="006F7202">
        <w:rPr>
          <w:rFonts w:cs="Times New Roman"/>
          <w:szCs w:val="22"/>
        </w:rPr>
        <w:t>can not</w:t>
      </w:r>
      <w:proofErr w:type="spellEnd"/>
      <w:r w:rsidRPr="006F7202">
        <w:rPr>
          <w:rFonts w:cs="Times New Roman"/>
          <w:szCs w:val="22"/>
        </w:rPr>
        <w:t xml:space="preserve"> be seen as meaningful re</w:t>
      </w:r>
      <w:r w:rsidR="00876669" w:rsidRPr="006F7202">
        <w:rPr>
          <w:rFonts w:cs="Times New Roman"/>
          <w:szCs w:val="22"/>
        </w:rPr>
        <w:t>g</w:t>
      </w:r>
      <w:r w:rsidRPr="006F7202">
        <w:rPr>
          <w:rFonts w:cs="Times New Roman"/>
          <w:szCs w:val="22"/>
        </w:rPr>
        <w:t xml:space="preserve">ional autonomy. Municipalities across the country were given some power over their spending on health, </w:t>
      </w:r>
      <w:proofErr w:type="gramStart"/>
      <w:r w:rsidRPr="006F7202">
        <w:rPr>
          <w:rFonts w:cs="Times New Roman"/>
          <w:szCs w:val="22"/>
        </w:rPr>
        <w:t>education</w:t>
      </w:r>
      <w:proofErr w:type="gramEnd"/>
      <w:r w:rsidRPr="006F7202">
        <w:rPr>
          <w:rFonts w:cs="Times New Roman"/>
          <w:szCs w:val="22"/>
        </w:rPr>
        <w:t xml:space="preserve"> and infr</w:t>
      </w:r>
      <w:r w:rsidR="0074505B" w:rsidRPr="006F7202">
        <w:rPr>
          <w:rFonts w:cs="Times New Roman"/>
          <w:szCs w:val="22"/>
        </w:rPr>
        <w:t>a</w:t>
      </w:r>
      <w:r w:rsidRPr="006F7202">
        <w:rPr>
          <w:rFonts w:cs="Times New Roman"/>
          <w:szCs w:val="22"/>
        </w:rPr>
        <w:t xml:space="preserve">structure, however, major decision making remains highly centralized. </w:t>
      </w:r>
      <w:r w:rsidR="00091535" w:rsidRPr="006F7202">
        <w:rPr>
          <w:rFonts w:cs="Times New Roman"/>
          <w:szCs w:val="22"/>
        </w:rPr>
        <w:t>While further peace agreements promising autonomy were signed in subsequent years, the extent of decentralization remains limited as of 2020</w:t>
      </w:r>
      <w:r w:rsidRPr="006F7202">
        <w:rPr>
          <w:rFonts w:cs="Times New Roman"/>
          <w:szCs w:val="22"/>
        </w:rPr>
        <w:t xml:space="preserve"> (CRU 2020)</w:t>
      </w:r>
      <w:r w:rsidR="00876669" w:rsidRPr="006F7202">
        <w:rPr>
          <w:rFonts w:cs="Times New Roman"/>
          <w:szCs w:val="22"/>
        </w:rPr>
        <w:t>.</w:t>
      </w:r>
      <w:r w:rsidR="00091535" w:rsidRPr="006F7202">
        <w:rPr>
          <w:rFonts w:cs="Times New Roman"/>
          <w:szCs w:val="22"/>
        </w:rPr>
        <w:t xml:space="preserve"> </w:t>
      </w:r>
      <w:r w:rsidR="006F7202" w:rsidRPr="006F7202">
        <w:rPr>
          <w:rFonts w:cs="Times New Roman"/>
          <w:szCs w:val="22"/>
        </w:rPr>
        <w:t xml:space="preserve">Therefore, we only code regional autonomy during de </w:t>
      </w:r>
      <w:proofErr w:type="spellStart"/>
      <w:r w:rsidR="006F7202" w:rsidRPr="006F7202">
        <w:rPr>
          <w:rFonts w:cs="Times New Roman"/>
          <w:szCs w:val="22"/>
        </w:rPr>
        <w:t>faco</w:t>
      </w:r>
      <w:proofErr w:type="spellEnd"/>
      <w:r w:rsidR="006F7202" w:rsidRPr="006F7202">
        <w:rPr>
          <w:rFonts w:cs="Times New Roman"/>
          <w:szCs w:val="22"/>
        </w:rPr>
        <w:t xml:space="preserve"> independence. </w:t>
      </w:r>
      <w:r w:rsidR="006F7202" w:rsidRPr="006F7202">
        <w:rPr>
          <w:bCs/>
          <w:szCs w:val="22"/>
        </w:rPr>
        <w:t>[1960-1962, 1990-2012: no autonomy; 2013: autonomy; 2014-2020: no autonomy]</w:t>
      </w:r>
    </w:p>
    <w:p w14:paraId="1E3BCD4B" w14:textId="53E0E8E4" w:rsidR="00A34FB0" w:rsidRDefault="00A34FB0" w:rsidP="007D31AA">
      <w:pPr>
        <w:rPr>
          <w:sz w:val="22"/>
          <w:szCs w:val="22"/>
        </w:rPr>
      </w:pPr>
    </w:p>
    <w:p w14:paraId="4DA3288A" w14:textId="77777777" w:rsidR="002B5231" w:rsidRPr="006F7202" w:rsidRDefault="002B5231" w:rsidP="007D31AA">
      <w:pPr>
        <w:rPr>
          <w:sz w:val="22"/>
          <w:szCs w:val="22"/>
        </w:rPr>
      </w:pPr>
    </w:p>
    <w:p w14:paraId="7ADF6A3C" w14:textId="77777777" w:rsidR="007D31AA" w:rsidRPr="006F7202" w:rsidRDefault="007D31AA" w:rsidP="007D31AA">
      <w:pPr>
        <w:rPr>
          <w:b/>
          <w:sz w:val="22"/>
          <w:szCs w:val="22"/>
        </w:rPr>
      </w:pPr>
      <w:r w:rsidRPr="006F7202">
        <w:rPr>
          <w:b/>
          <w:sz w:val="22"/>
          <w:szCs w:val="22"/>
        </w:rPr>
        <w:t>De facto independence</w:t>
      </w:r>
    </w:p>
    <w:p w14:paraId="338D52A7" w14:textId="77777777" w:rsidR="007D31AA" w:rsidRPr="006F7202" w:rsidRDefault="007D31AA" w:rsidP="00794F7B">
      <w:pPr>
        <w:rPr>
          <w:bCs/>
          <w:sz w:val="22"/>
          <w:szCs w:val="22"/>
        </w:rPr>
      </w:pPr>
    </w:p>
    <w:p w14:paraId="3554CFDD" w14:textId="588341CA" w:rsidR="007D31AA" w:rsidRPr="006F7202" w:rsidRDefault="000C3A43" w:rsidP="006E1063">
      <w:pPr>
        <w:pStyle w:val="ListParagraph"/>
        <w:numPr>
          <w:ilvl w:val="0"/>
          <w:numId w:val="5"/>
        </w:numPr>
        <w:rPr>
          <w:bCs/>
          <w:szCs w:val="22"/>
        </w:rPr>
      </w:pPr>
      <w:r w:rsidRPr="006F7202">
        <w:rPr>
          <w:bCs/>
          <w:szCs w:val="22"/>
        </w:rPr>
        <w:t xml:space="preserve">According to Roth (2015: 237), MNLA, a Tuareg rebel group, took control of most of the northern two-thirds of Mali and declared it independent in 2012 and remained de facto independent throughout 2012. The de facto state quickly became dominated by Islamists, who in early 2013 began pushing further south into non-Tuareg areas </w:t>
      </w:r>
      <w:proofErr w:type="gramStart"/>
      <w:r w:rsidRPr="006F7202">
        <w:rPr>
          <w:bCs/>
          <w:szCs w:val="22"/>
        </w:rPr>
        <w:t>in an attempt to</w:t>
      </w:r>
      <w:proofErr w:type="gramEnd"/>
      <w:r w:rsidRPr="006F7202">
        <w:rPr>
          <w:bCs/>
          <w:szCs w:val="22"/>
        </w:rPr>
        <w:t xml:space="preserve"> turn the whole of Mali into an Islamic state. In response, a French and Chadian military force, with the support of Ecowas forces, invaded Azawad and dislodged separatists and Islamists from power. In keeping with this account and the 1</w:t>
      </w:r>
      <w:r w:rsidRPr="006F7202">
        <w:rPr>
          <w:bCs/>
          <w:szCs w:val="22"/>
          <w:vertAlign w:val="superscript"/>
        </w:rPr>
        <w:t>st</w:t>
      </w:r>
      <w:r w:rsidRPr="006F7202">
        <w:rPr>
          <w:bCs/>
          <w:szCs w:val="22"/>
        </w:rPr>
        <w:t xml:space="preserve"> of January rule, we code de facto independence in 2013.</w:t>
      </w:r>
      <w:r w:rsidR="006F7202" w:rsidRPr="006F7202">
        <w:rPr>
          <w:bCs/>
          <w:szCs w:val="22"/>
        </w:rPr>
        <w:t xml:space="preserve"> [1960-1962, 1990-2012: no de facto independence; 2013: de facto independence; 2014-2020: no de facto independence]</w:t>
      </w:r>
    </w:p>
    <w:p w14:paraId="00C02D2F" w14:textId="03E06051" w:rsidR="00134307" w:rsidRDefault="00134307" w:rsidP="00794F7B">
      <w:pPr>
        <w:rPr>
          <w:bCs/>
          <w:sz w:val="22"/>
          <w:szCs w:val="22"/>
        </w:rPr>
      </w:pPr>
    </w:p>
    <w:p w14:paraId="51DBBADF" w14:textId="77777777" w:rsidR="006F7202" w:rsidRPr="0013580E" w:rsidRDefault="006F7202" w:rsidP="00794F7B">
      <w:pPr>
        <w:rPr>
          <w:bCs/>
          <w:sz w:val="22"/>
          <w:szCs w:val="22"/>
        </w:rPr>
      </w:pPr>
    </w:p>
    <w:p w14:paraId="4A95509B" w14:textId="79B3FDC6" w:rsidR="00794F7B" w:rsidRPr="0013580E" w:rsidRDefault="00794F7B" w:rsidP="00794F7B">
      <w:pPr>
        <w:rPr>
          <w:b/>
          <w:sz w:val="22"/>
          <w:szCs w:val="22"/>
        </w:rPr>
      </w:pPr>
      <w:r w:rsidRPr="0013580E">
        <w:rPr>
          <w:b/>
          <w:sz w:val="22"/>
          <w:szCs w:val="22"/>
        </w:rPr>
        <w:t>Major territorial change</w:t>
      </w:r>
      <w:r w:rsidR="00C2634E" w:rsidRPr="0013580E">
        <w:rPr>
          <w:b/>
          <w:sz w:val="22"/>
          <w:szCs w:val="22"/>
        </w:rPr>
        <w:t>s</w:t>
      </w:r>
    </w:p>
    <w:p w14:paraId="62910A23" w14:textId="77777777" w:rsidR="00A2750B" w:rsidRPr="0013580E" w:rsidRDefault="00A2750B" w:rsidP="00A2750B">
      <w:pPr>
        <w:rPr>
          <w:bCs/>
          <w:sz w:val="22"/>
          <w:szCs w:val="22"/>
        </w:rPr>
      </w:pPr>
    </w:p>
    <w:p w14:paraId="713EC03F" w14:textId="1F1F8090" w:rsidR="00A2750B" w:rsidRDefault="006F7202" w:rsidP="006E1063">
      <w:pPr>
        <w:pStyle w:val="ListParagraph"/>
        <w:numPr>
          <w:ilvl w:val="0"/>
          <w:numId w:val="5"/>
        </w:numPr>
        <w:rPr>
          <w:bCs/>
          <w:szCs w:val="22"/>
        </w:rPr>
      </w:pPr>
      <w:r>
        <w:rPr>
          <w:bCs/>
          <w:szCs w:val="22"/>
        </w:rPr>
        <w:t>[2012: establishment of de facto independence]</w:t>
      </w:r>
    </w:p>
    <w:p w14:paraId="1693D461" w14:textId="13D30971" w:rsidR="006F7202" w:rsidRPr="006F7202" w:rsidRDefault="006F7202" w:rsidP="006E1063">
      <w:pPr>
        <w:pStyle w:val="ListParagraph"/>
        <w:numPr>
          <w:ilvl w:val="0"/>
          <w:numId w:val="5"/>
        </w:numPr>
        <w:rPr>
          <w:bCs/>
          <w:szCs w:val="22"/>
        </w:rPr>
      </w:pPr>
      <w:r>
        <w:rPr>
          <w:bCs/>
          <w:szCs w:val="22"/>
        </w:rPr>
        <w:t>[2013: revocation of de facto independence]</w:t>
      </w:r>
    </w:p>
    <w:p w14:paraId="0F62216F" w14:textId="67921081" w:rsidR="00B73A8F" w:rsidRPr="0013580E" w:rsidRDefault="00B73A8F" w:rsidP="00794F7B">
      <w:pPr>
        <w:rPr>
          <w:bCs/>
          <w:sz w:val="22"/>
          <w:szCs w:val="22"/>
        </w:rPr>
      </w:pPr>
    </w:p>
    <w:p w14:paraId="69901A0D" w14:textId="77777777" w:rsidR="00134307" w:rsidRPr="0013580E" w:rsidRDefault="00134307" w:rsidP="00794F7B">
      <w:pPr>
        <w:rPr>
          <w:bCs/>
          <w:sz w:val="22"/>
          <w:szCs w:val="22"/>
        </w:rPr>
      </w:pPr>
    </w:p>
    <w:p w14:paraId="585A043B" w14:textId="77777777" w:rsidR="008C72DD" w:rsidRPr="0013580E" w:rsidRDefault="008C72DD" w:rsidP="008C72DD">
      <w:pPr>
        <w:ind w:left="709" w:hanging="709"/>
        <w:rPr>
          <w:b/>
          <w:sz w:val="22"/>
          <w:szCs w:val="22"/>
        </w:rPr>
      </w:pPr>
      <w:r w:rsidRPr="0013580E">
        <w:rPr>
          <w:b/>
          <w:sz w:val="22"/>
          <w:szCs w:val="22"/>
        </w:rPr>
        <w:t>EPR2SDM</w:t>
      </w:r>
    </w:p>
    <w:p w14:paraId="10612799" w14:textId="77777777" w:rsidR="008C72DD" w:rsidRPr="0013580E" w:rsidRDefault="008C72DD" w:rsidP="008C72DD">
      <w:pPr>
        <w:ind w:left="709" w:hanging="709"/>
        <w:rPr>
          <w:b/>
          <w:sz w:val="22"/>
          <w:szCs w:val="22"/>
        </w:rPr>
      </w:pPr>
    </w:p>
    <w:tbl>
      <w:tblPr>
        <w:tblStyle w:val="Tabellenraster1"/>
        <w:tblW w:w="5000" w:type="pct"/>
        <w:tblLook w:val="04A0" w:firstRow="1" w:lastRow="0" w:firstColumn="1" w:lastColumn="0" w:noHBand="0" w:noVBand="1"/>
      </w:tblPr>
      <w:tblGrid>
        <w:gridCol w:w="4680"/>
        <w:gridCol w:w="4664"/>
      </w:tblGrid>
      <w:tr w:rsidR="008C72DD" w:rsidRPr="0013580E" w14:paraId="74215C40" w14:textId="77777777" w:rsidTr="00716FC1">
        <w:trPr>
          <w:trHeight w:val="284"/>
        </w:trPr>
        <w:tc>
          <w:tcPr>
            <w:tcW w:w="4787" w:type="dxa"/>
            <w:vAlign w:val="center"/>
          </w:tcPr>
          <w:p w14:paraId="7A38DC17" w14:textId="77777777" w:rsidR="008C72DD" w:rsidRPr="0013580E" w:rsidRDefault="008C72DD" w:rsidP="00716FC1">
            <w:pPr>
              <w:rPr>
                <w:i/>
                <w:sz w:val="22"/>
                <w:szCs w:val="22"/>
              </w:rPr>
            </w:pPr>
            <w:r w:rsidRPr="0013580E">
              <w:rPr>
                <w:i/>
                <w:sz w:val="22"/>
                <w:szCs w:val="22"/>
              </w:rPr>
              <w:t>Movement</w:t>
            </w:r>
          </w:p>
        </w:tc>
        <w:tc>
          <w:tcPr>
            <w:tcW w:w="4783" w:type="dxa"/>
            <w:vAlign w:val="center"/>
          </w:tcPr>
          <w:p w14:paraId="72605171" w14:textId="77777777" w:rsidR="008C72DD" w:rsidRPr="0013580E" w:rsidRDefault="008C72DD" w:rsidP="00716FC1">
            <w:pPr>
              <w:rPr>
                <w:sz w:val="22"/>
                <w:szCs w:val="22"/>
              </w:rPr>
            </w:pPr>
            <w:r w:rsidRPr="0013580E">
              <w:rPr>
                <w:sz w:val="22"/>
                <w:szCs w:val="22"/>
              </w:rPr>
              <w:t>Tuaregs</w:t>
            </w:r>
          </w:p>
        </w:tc>
      </w:tr>
      <w:tr w:rsidR="008C72DD" w:rsidRPr="0013580E" w14:paraId="2EC31AA2" w14:textId="77777777" w:rsidTr="00716FC1">
        <w:trPr>
          <w:trHeight w:val="284"/>
        </w:trPr>
        <w:tc>
          <w:tcPr>
            <w:tcW w:w="4787" w:type="dxa"/>
            <w:vAlign w:val="center"/>
          </w:tcPr>
          <w:p w14:paraId="3EDCFB5C" w14:textId="77777777" w:rsidR="008C72DD" w:rsidRPr="0013580E" w:rsidRDefault="008C72DD" w:rsidP="00716FC1">
            <w:pPr>
              <w:rPr>
                <w:i/>
                <w:sz w:val="22"/>
                <w:szCs w:val="22"/>
              </w:rPr>
            </w:pPr>
            <w:r w:rsidRPr="0013580E">
              <w:rPr>
                <w:i/>
                <w:sz w:val="22"/>
                <w:szCs w:val="22"/>
              </w:rPr>
              <w:t>Scenario</w:t>
            </w:r>
          </w:p>
        </w:tc>
        <w:tc>
          <w:tcPr>
            <w:tcW w:w="4783" w:type="dxa"/>
            <w:vAlign w:val="center"/>
          </w:tcPr>
          <w:p w14:paraId="3EA3D8DB" w14:textId="77777777" w:rsidR="008C72DD" w:rsidRPr="0013580E" w:rsidRDefault="008C72DD" w:rsidP="00716FC1">
            <w:pPr>
              <w:rPr>
                <w:sz w:val="22"/>
                <w:szCs w:val="22"/>
              </w:rPr>
            </w:pPr>
            <w:r w:rsidRPr="0013580E">
              <w:rPr>
                <w:sz w:val="22"/>
                <w:szCs w:val="22"/>
              </w:rPr>
              <w:t>1:1</w:t>
            </w:r>
          </w:p>
        </w:tc>
      </w:tr>
      <w:tr w:rsidR="008C72DD" w:rsidRPr="0013580E" w14:paraId="26D5F4DF" w14:textId="77777777" w:rsidTr="00716FC1">
        <w:trPr>
          <w:trHeight w:val="284"/>
        </w:trPr>
        <w:tc>
          <w:tcPr>
            <w:tcW w:w="4787" w:type="dxa"/>
            <w:vAlign w:val="center"/>
          </w:tcPr>
          <w:p w14:paraId="0DE180DC" w14:textId="77777777" w:rsidR="008C72DD" w:rsidRPr="0013580E" w:rsidRDefault="008C72DD" w:rsidP="00716FC1">
            <w:pPr>
              <w:rPr>
                <w:i/>
                <w:sz w:val="22"/>
                <w:szCs w:val="22"/>
              </w:rPr>
            </w:pPr>
            <w:r w:rsidRPr="0013580E">
              <w:rPr>
                <w:i/>
                <w:sz w:val="22"/>
                <w:szCs w:val="22"/>
              </w:rPr>
              <w:t>EPR group(s)</w:t>
            </w:r>
          </w:p>
        </w:tc>
        <w:tc>
          <w:tcPr>
            <w:tcW w:w="4783" w:type="dxa"/>
            <w:vAlign w:val="center"/>
          </w:tcPr>
          <w:p w14:paraId="1F1940C1" w14:textId="77777777" w:rsidR="008C72DD" w:rsidRPr="0013580E" w:rsidRDefault="008C72DD" w:rsidP="00716FC1">
            <w:pPr>
              <w:rPr>
                <w:sz w:val="22"/>
                <w:szCs w:val="22"/>
              </w:rPr>
            </w:pPr>
            <w:r w:rsidRPr="0013580E">
              <w:rPr>
                <w:sz w:val="22"/>
                <w:szCs w:val="22"/>
              </w:rPr>
              <w:t>Tuareg</w:t>
            </w:r>
          </w:p>
        </w:tc>
      </w:tr>
      <w:tr w:rsidR="008C72DD" w:rsidRPr="0013580E" w14:paraId="35268B36" w14:textId="77777777" w:rsidTr="00716FC1">
        <w:trPr>
          <w:trHeight w:val="284"/>
        </w:trPr>
        <w:tc>
          <w:tcPr>
            <w:tcW w:w="4787" w:type="dxa"/>
            <w:vAlign w:val="center"/>
          </w:tcPr>
          <w:p w14:paraId="791FD0CC" w14:textId="77777777" w:rsidR="008C72DD" w:rsidRPr="0013580E" w:rsidRDefault="008C72DD" w:rsidP="00716FC1">
            <w:pPr>
              <w:rPr>
                <w:i/>
                <w:sz w:val="22"/>
                <w:szCs w:val="22"/>
              </w:rPr>
            </w:pPr>
            <w:proofErr w:type="spellStart"/>
            <w:r w:rsidRPr="0013580E">
              <w:rPr>
                <w:i/>
                <w:sz w:val="22"/>
                <w:szCs w:val="22"/>
              </w:rPr>
              <w:t>Gwgroupid</w:t>
            </w:r>
            <w:proofErr w:type="spellEnd"/>
            <w:r w:rsidRPr="0013580E">
              <w:rPr>
                <w:i/>
                <w:sz w:val="22"/>
                <w:szCs w:val="22"/>
              </w:rPr>
              <w:t>(s)</w:t>
            </w:r>
          </w:p>
        </w:tc>
        <w:tc>
          <w:tcPr>
            <w:tcW w:w="4783" w:type="dxa"/>
            <w:vAlign w:val="center"/>
          </w:tcPr>
          <w:p w14:paraId="549A0E61" w14:textId="77777777" w:rsidR="008C72DD" w:rsidRPr="0013580E" w:rsidRDefault="008C72DD" w:rsidP="00716FC1">
            <w:pPr>
              <w:rPr>
                <w:sz w:val="22"/>
                <w:szCs w:val="22"/>
              </w:rPr>
            </w:pPr>
            <w:r w:rsidRPr="0013580E">
              <w:rPr>
                <w:sz w:val="22"/>
                <w:szCs w:val="22"/>
              </w:rPr>
              <w:t>43202000</w:t>
            </w:r>
          </w:p>
        </w:tc>
      </w:tr>
    </w:tbl>
    <w:p w14:paraId="22B766A5" w14:textId="77777777" w:rsidR="008C72DD" w:rsidRDefault="008C72DD" w:rsidP="008C72DD">
      <w:pPr>
        <w:rPr>
          <w:b/>
          <w:sz w:val="22"/>
          <w:szCs w:val="22"/>
        </w:rPr>
      </w:pPr>
    </w:p>
    <w:p w14:paraId="70E97B1D" w14:textId="77777777" w:rsidR="008C72DD" w:rsidRDefault="008C72DD" w:rsidP="008C72DD">
      <w:pPr>
        <w:rPr>
          <w:b/>
          <w:sz w:val="22"/>
          <w:szCs w:val="22"/>
        </w:rPr>
      </w:pPr>
    </w:p>
    <w:p w14:paraId="71C8E769" w14:textId="70E6AD60" w:rsidR="00C524D6" w:rsidRPr="0013580E" w:rsidRDefault="00C524D6" w:rsidP="00367333">
      <w:pPr>
        <w:ind w:left="709" w:hanging="709"/>
        <w:rPr>
          <w:b/>
          <w:sz w:val="22"/>
          <w:szCs w:val="22"/>
        </w:rPr>
      </w:pPr>
      <w:r w:rsidRPr="0013580E">
        <w:rPr>
          <w:b/>
          <w:sz w:val="22"/>
          <w:szCs w:val="22"/>
        </w:rPr>
        <w:t>Power access</w:t>
      </w:r>
    </w:p>
    <w:p w14:paraId="37E0B3EE" w14:textId="41AA16A5" w:rsidR="00C524D6" w:rsidRPr="0013580E" w:rsidRDefault="00C524D6" w:rsidP="00367333">
      <w:pPr>
        <w:ind w:left="709" w:hanging="709"/>
        <w:rPr>
          <w:bCs/>
          <w:sz w:val="22"/>
          <w:szCs w:val="22"/>
        </w:rPr>
      </w:pPr>
    </w:p>
    <w:p w14:paraId="35339215" w14:textId="4506B2DF" w:rsidR="00403CC9" w:rsidRPr="0013580E" w:rsidRDefault="005A02F8" w:rsidP="006E1063">
      <w:pPr>
        <w:pStyle w:val="ListParagraph"/>
        <w:numPr>
          <w:ilvl w:val="0"/>
          <w:numId w:val="4"/>
        </w:numPr>
        <w:rPr>
          <w:rFonts w:cs="Times New Roman"/>
          <w:bCs/>
          <w:szCs w:val="22"/>
        </w:rPr>
      </w:pPr>
      <w:r w:rsidRPr="0013580E">
        <w:rPr>
          <w:rFonts w:cs="Times New Roman"/>
          <w:bCs/>
          <w:szCs w:val="22"/>
        </w:rPr>
        <w:t>We adopt EPR’s power access coding</w:t>
      </w:r>
      <w:r w:rsidR="002C4FEB">
        <w:rPr>
          <w:rFonts w:cs="Times New Roman"/>
          <w:bCs/>
          <w:szCs w:val="22"/>
        </w:rPr>
        <w:t xml:space="preserve">, </w:t>
      </w:r>
      <w:proofErr w:type="gramStart"/>
      <w:r w:rsidR="002C4FEB">
        <w:rPr>
          <w:rFonts w:cs="Times New Roman"/>
          <w:bCs/>
          <w:szCs w:val="22"/>
        </w:rPr>
        <w:t>with the exception of</w:t>
      </w:r>
      <w:proofErr w:type="gramEnd"/>
      <w:r w:rsidR="002C4FEB">
        <w:rPr>
          <w:rFonts w:cs="Times New Roman"/>
          <w:bCs/>
          <w:szCs w:val="22"/>
        </w:rPr>
        <w:t xml:space="preserve"> 2013 (powerless due to de facto independence).</w:t>
      </w:r>
      <w:r w:rsidR="006D016C">
        <w:rPr>
          <w:rFonts w:cs="Times New Roman"/>
          <w:bCs/>
          <w:szCs w:val="22"/>
        </w:rPr>
        <w:t xml:space="preserve"> [1962-64: powerless; 19</w:t>
      </w:r>
      <w:r w:rsidR="00772F58">
        <w:rPr>
          <w:rFonts w:cs="Times New Roman"/>
          <w:bCs/>
          <w:szCs w:val="22"/>
        </w:rPr>
        <w:t>90</w:t>
      </w:r>
      <w:r w:rsidR="006D016C">
        <w:rPr>
          <w:rFonts w:cs="Times New Roman"/>
          <w:bCs/>
          <w:szCs w:val="22"/>
        </w:rPr>
        <w:t>-1991: powerless; 1992-</w:t>
      </w:r>
      <w:r w:rsidR="002C4FEB">
        <w:rPr>
          <w:rFonts w:cs="Times New Roman"/>
          <w:bCs/>
          <w:szCs w:val="22"/>
        </w:rPr>
        <w:t>2012, 2014-2020:</w:t>
      </w:r>
      <w:r w:rsidR="006D016C">
        <w:rPr>
          <w:rFonts w:cs="Times New Roman"/>
          <w:bCs/>
          <w:szCs w:val="22"/>
        </w:rPr>
        <w:t xml:space="preserve"> junior partner</w:t>
      </w:r>
      <w:r w:rsidR="002C4FEB">
        <w:rPr>
          <w:rFonts w:cs="Times New Roman"/>
          <w:bCs/>
          <w:szCs w:val="22"/>
        </w:rPr>
        <w:t>; 2013: powerless</w:t>
      </w:r>
      <w:r w:rsidR="006D016C">
        <w:rPr>
          <w:rFonts w:cs="Times New Roman"/>
          <w:bCs/>
          <w:szCs w:val="22"/>
        </w:rPr>
        <w:t>]</w:t>
      </w:r>
    </w:p>
    <w:p w14:paraId="03376C3F" w14:textId="4769ED55" w:rsidR="00540127" w:rsidRPr="0013580E" w:rsidRDefault="00540127" w:rsidP="00367333">
      <w:pPr>
        <w:ind w:left="709" w:hanging="709"/>
        <w:rPr>
          <w:bCs/>
          <w:sz w:val="22"/>
          <w:szCs w:val="22"/>
        </w:rPr>
      </w:pPr>
    </w:p>
    <w:p w14:paraId="45C2BC88" w14:textId="77777777" w:rsidR="005A02F8" w:rsidRPr="0013580E" w:rsidRDefault="005A02F8" w:rsidP="00367333">
      <w:pPr>
        <w:ind w:left="709" w:hanging="709"/>
        <w:rPr>
          <w:bCs/>
          <w:sz w:val="22"/>
          <w:szCs w:val="22"/>
        </w:rPr>
      </w:pPr>
    </w:p>
    <w:p w14:paraId="14F83F2E" w14:textId="2AC26BEF" w:rsidR="00C524D6" w:rsidRPr="0013580E" w:rsidRDefault="00C524D6" w:rsidP="00367333">
      <w:pPr>
        <w:ind w:left="709" w:hanging="709"/>
        <w:rPr>
          <w:b/>
          <w:sz w:val="22"/>
          <w:szCs w:val="22"/>
        </w:rPr>
      </w:pPr>
      <w:r w:rsidRPr="0013580E">
        <w:rPr>
          <w:b/>
          <w:sz w:val="22"/>
          <w:szCs w:val="22"/>
        </w:rPr>
        <w:t>Group size</w:t>
      </w:r>
    </w:p>
    <w:p w14:paraId="416A19B3" w14:textId="7FB366D1" w:rsidR="00B412DF" w:rsidRPr="0013580E" w:rsidRDefault="00B412DF" w:rsidP="00C524D6">
      <w:pPr>
        <w:rPr>
          <w:sz w:val="22"/>
          <w:szCs w:val="22"/>
        </w:rPr>
      </w:pPr>
    </w:p>
    <w:p w14:paraId="207C6C92" w14:textId="72118793" w:rsidR="00C524D6" w:rsidRPr="0013580E" w:rsidRDefault="005A02F8" w:rsidP="006E1063">
      <w:pPr>
        <w:pStyle w:val="ListParagraph"/>
        <w:numPr>
          <w:ilvl w:val="0"/>
          <w:numId w:val="4"/>
        </w:numPr>
        <w:rPr>
          <w:rFonts w:cs="Times New Roman"/>
          <w:szCs w:val="22"/>
        </w:rPr>
      </w:pPr>
      <w:r w:rsidRPr="0013580E">
        <w:rPr>
          <w:rFonts w:cs="Times New Roman"/>
          <w:szCs w:val="22"/>
        </w:rPr>
        <w:t>We draw on EPR for the relative group size.</w:t>
      </w:r>
      <w:r w:rsidR="006D016C">
        <w:rPr>
          <w:rFonts w:cs="Times New Roman"/>
          <w:szCs w:val="22"/>
        </w:rPr>
        <w:t xml:space="preserve"> [0.07]</w:t>
      </w:r>
    </w:p>
    <w:p w14:paraId="13445279" w14:textId="3830701A" w:rsidR="00403CC9" w:rsidRPr="0013580E" w:rsidRDefault="00403CC9" w:rsidP="00C524D6">
      <w:pPr>
        <w:rPr>
          <w:sz w:val="22"/>
          <w:szCs w:val="22"/>
        </w:rPr>
      </w:pPr>
    </w:p>
    <w:p w14:paraId="354972E2" w14:textId="77777777" w:rsidR="005A02F8" w:rsidRPr="0013580E" w:rsidRDefault="005A02F8" w:rsidP="00C524D6">
      <w:pPr>
        <w:rPr>
          <w:sz w:val="22"/>
          <w:szCs w:val="22"/>
        </w:rPr>
      </w:pPr>
    </w:p>
    <w:p w14:paraId="51B84FC4" w14:textId="77777777" w:rsidR="003735A2" w:rsidRDefault="003735A2" w:rsidP="00134307">
      <w:pPr>
        <w:rPr>
          <w:b/>
          <w:bCs/>
          <w:sz w:val="22"/>
          <w:szCs w:val="22"/>
        </w:rPr>
      </w:pPr>
    </w:p>
    <w:p w14:paraId="665099D1" w14:textId="3AE080C1" w:rsidR="00134307" w:rsidRPr="0013580E" w:rsidRDefault="00C524D6" w:rsidP="00134307">
      <w:pPr>
        <w:rPr>
          <w:b/>
          <w:bCs/>
          <w:sz w:val="22"/>
          <w:szCs w:val="22"/>
        </w:rPr>
      </w:pPr>
      <w:r w:rsidRPr="0013580E">
        <w:rPr>
          <w:b/>
          <w:bCs/>
          <w:sz w:val="22"/>
          <w:szCs w:val="22"/>
        </w:rPr>
        <w:t>Regional concentration</w:t>
      </w:r>
    </w:p>
    <w:p w14:paraId="7F4D7BB5" w14:textId="77777777" w:rsidR="00134307" w:rsidRPr="0013580E" w:rsidRDefault="00134307" w:rsidP="00134307">
      <w:pPr>
        <w:rPr>
          <w:b/>
          <w:bCs/>
          <w:sz w:val="22"/>
          <w:szCs w:val="22"/>
        </w:rPr>
      </w:pPr>
    </w:p>
    <w:p w14:paraId="2593DCB6" w14:textId="2E329A27" w:rsidR="00B20627" w:rsidRPr="0013580E" w:rsidRDefault="00A34FB0" w:rsidP="006E1063">
      <w:pPr>
        <w:numPr>
          <w:ilvl w:val="0"/>
          <w:numId w:val="4"/>
        </w:numPr>
        <w:rPr>
          <w:color w:val="000000"/>
          <w:sz w:val="22"/>
          <w:szCs w:val="22"/>
        </w:rPr>
      </w:pPr>
      <w:r w:rsidRPr="0013580E">
        <w:rPr>
          <w:color w:val="000000"/>
          <w:sz w:val="22"/>
          <w:szCs w:val="22"/>
        </w:rPr>
        <w:t xml:space="preserve">EPR codes regional concentration, but EPR applies a lower bar. MAR also codes regional concentration while noting that &gt;75% of group members live in the regional base and that the </w:t>
      </w:r>
      <w:r w:rsidRPr="0013580E">
        <w:rPr>
          <w:color w:val="000000"/>
          <w:sz w:val="22"/>
          <w:szCs w:val="22"/>
        </w:rPr>
        <w:lastRenderedPageBreak/>
        <w:t>Tuaregs make up the predominant proportion of the population of their regional base. Minahan (2002: 1992) suggests that the Tuaregs make up 80% of the population in their regional base, though he also includes territories in adjacent countries. [regional concentration]</w:t>
      </w:r>
    </w:p>
    <w:p w14:paraId="46992874" w14:textId="258B166E" w:rsidR="00403CC9" w:rsidRDefault="00403CC9" w:rsidP="00B412DF">
      <w:pPr>
        <w:rPr>
          <w:sz w:val="22"/>
          <w:szCs w:val="22"/>
        </w:rPr>
      </w:pPr>
    </w:p>
    <w:p w14:paraId="63E82F88" w14:textId="77777777" w:rsidR="00B35088" w:rsidRPr="0013580E" w:rsidRDefault="00B35088" w:rsidP="00B412DF">
      <w:pPr>
        <w:rPr>
          <w:sz w:val="22"/>
          <w:szCs w:val="22"/>
        </w:rPr>
      </w:pPr>
    </w:p>
    <w:p w14:paraId="31AFE13C" w14:textId="77777777" w:rsidR="00754B7F" w:rsidRDefault="00754B7F" w:rsidP="00B412DF">
      <w:pPr>
        <w:rPr>
          <w:b/>
          <w:sz w:val="22"/>
          <w:szCs w:val="22"/>
        </w:rPr>
      </w:pPr>
    </w:p>
    <w:p w14:paraId="71BC5A79" w14:textId="0B54077C" w:rsidR="00B412DF" w:rsidRPr="0013580E" w:rsidRDefault="00364E03" w:rsidP="00B412DF">
      <w:pPr>
        <w:rPr>
          <w:b/>
          <w:sz w:val="22"/>
          <w:szCs w:val="22"/>
        </w:rPr>
      </w:pPr>
      <w:r w:rsidRPr="0013580E">
        <w:rPr>
          <w:b/>
          <w:sz w:val="22"/>
          <w:szCs w:val="22"/>
        </w:rPr>
        <w:t>Kin</w:t>
      </w:r>
    </w:p>
    <w:p w14:paraId="61E7C971" w14:textId="77777777" w:rsidR="00364E03" w:rsidRPr="0013580E" w:rsidRDefault="00364E03" w:rsidP="00B412DF">
      <w:pPr>
        <w:rPr>
          <w:bCs/>
          <w:sz w:val="22"/>
          <w:szCs w:val="22"/>
        </w:rPr>
      </w:pPr>
    </w:p>
    <w:p w14:paraId="1427ED10" w14:textId="0AA4420D" w:rsidR="00B412DF" w:rsidRPr="0013580E" w:rsidRDefault="00EC4D48" w:rsidP="006E1063">
      <w:pPr>
        <w:pStyle w:val="ListParagraph"/>
        <w:numPr>
          <w:ilvl w:val="0"/>
          <w:numId w:val="4"/>
        </w:numPr>
        <w:spacing w:after="60"/>
        <w:rPr>
          <w:rFonts w:cs="Times New Roman"/>
          <w:bCs/>
          <w:szCs w:val="22"/>
        </w:rPr>
      </w:pPr>
      <w:r w:rsidRPr="0013580E">
        <w:rPr>
          <w:rFonts w:cs="Times New Roman"/>
          <w:bCs/>
          <w:szCs w:val="22"/>
        </w:rPr>
        <w:t>There are &gt;100,000 Tuareg in Niger and Algeria (Minahan 2002: 1992; also see EPR; MAR). [kin in adjacent country]</w:t>
      </w:r>
    </w:p>
    <w:p w14:paraId="4D89C565" w14:textId="5A86AF2F" w:rsidR="00403CC9" w:rsidRDefault="00403CC9" w:rsidP="00794F7B">
      <w:pPr>
        <w:spacing w:after="60"/>
        <w:ind w:left="709" w:hanging="709"/>
        <w:rPr>
          <w:bCs/>
          <w:sz w:val="22"/>
          <w:szCs w:val="22"/>
        </w:rPr>
      </w:pPr>
    </w:p>
    <w:p w14:paraId="640EBF89" w14:textId="77777777" w:rsidR="00D97367" w:rsidRPr="0013580E" w:rsidRDefault="00D97367" w:rsidP="00794F7B">
      <w:pPr>
        <w:spacing w:after="60"/>
        <w:ind w:left="709" w:hanging="709"/>
        <w:rPr>
          <w:bCs/>
          <w:sz w:val="22"/>
          <w:szCs w:val="22"/>
        </w:rPr>
      </w:pPr>
    </w:p>
    <w:p w14:paraId="5ABE3FB3" w14:textId="77777777" w:rsidR="00794F7B" w:rsidRPr="00B35088" w:rsidRDefault="00794F7B" w:rsidP="00794F7B">
      <w:pPr>
        <w:spacing w:after="60"/>
        <w:ind w:left="709" w:hanging="709"/>
        <w:rPr>
          <w:b/>
          <w:sz w:val="22"/>
          <w:szCs w:val="22"/>
        </w:rPr>
      </w:pPr>
      <w:r w:rsidRPr="00B35088">
        <w:rPr>
          <w:b/>
          <w:sz w:val="22"/>
          <w:szCs w:val="22"/>
        </w:rPr>
        <w:t>Sources</w:t>
      </w:r>
    </w:p>
    <w:p w14:paraId="4F9E9B68" w14:textId="77777777" w:rsidR="00794F7B" w:rsidRPr="00B35088" w:rsidRDefault="00794F7B" w:rsidP="00794F7B">
      <w:pPr>
        <w:rPr>
          <w:sz w:val="22"/>
          <w:szCs w:val="22"/>
        </w:rPr>
      </w:pPr>
    </w:p>
    <w:p w14:paraId="35F15140" w14:textId="77777777" w:rsidR="0045240C" w:rsidRPr="00506165" w:rsidRDefault="0045240C" w:rsidP="00665C4F">
      <w:pPr>
        <w:widowControl w:val="0"/>
        <w:spacing w:after="60"/>
        <w:ind w:left="709" w:hanging="709"/>
        <w:rPr>
          <w:sz w:val="22"/>
          <w:szCs w:val="22"/>
        </w:rPr>
      </w:pPr>
      <w:r>
        <w:rPr>
          <w:sz w:val="22"/>
          <w:szCs w:val="22"/>
        </w:rPr>
        <w:t>Al Jazeera (21</w:t>
      </w:r>
      <w:r w:rsidRPr="00506165">
        <w:rPr>
          <w:sz w:val="22"/>
          <w:szCs w:val="22"/>
          <w:vertAlign w:val="superscript"/>
        </w:rPr>
        <w:t>st</w:t>
      </w:r>
      <w:r>
        <w:rPr>
          <w:sz w:val="22"/>
          <w:szCs w:val="22"/>
        </w:rPr>
        <w:t xml:space="preserve"> June 2015). </w:t>
      </w:r>
      <w:r w:rsidRPr="00506165">
        <w:rPr>
          <w:sz w:val="22"/>
          <w:szCs w:val="22"/>
        </w:rPr>
        <w:t xml:space="preserve">Malian Rivals Sign </w:t>
      </w:r>
      <w:r>
        <w:rPr>
          <w:sz w:val="22"/>
          <w:szCs w:val="22"/>
        </w:rPr>
        <w:t>Peace Deal</w:t>
      </w:r>
      <w:r w:rsidRPr="00506165">
        <w:rPr>
          <w:sz w:val="22"/>
          <w:szCs w:val="22"/>
        </w:rPr>
        <w:t xml:space="preserve"> </w:t>
      </w:r>
      <w:hyperlink r:id="rId13" w:history="1">
        <w:r w:rsidRPr="00CC2EBA">
          <w:rPr>
            <w:rStyle w:val="Hyperlink"/>
            <w:sz w:val="22"/>
            <w:szCs w:val="22"/>
          </w:rPr>
          <w:t>https://www.aljazeera.com/news/2015/6/21/malian-rivals-sign-peace-deal</w:t>
        </w:r>
      </w:hyperlink>
      <w:r>
        <w:rPr>
          <w:sz w:val="22"/>
          <w:szCs w:val="22"/>
        </w:rPr>
        <w:t>. [30</w:t>
      </w:r>
      <w:r w:rsidRPr="00791199">
        <w:rPr>
          <w:sz w:val="22"/>
          <w:szCs w:val="22"/>
          <w:vertAlign w:val="superscript"/>
        </w:rPr>
        <w:t>th</w:t>
      </w:r>
      <w:r>
        <w:rPr>
          <w:sz w:val="22"/>
          <w:szCs w:val="22"/>
        </w:rPr>
        <w:t xml:space="preserve"> August 2022]</w:t>
      </w:r>
    </w:p>
    <w:p w14:paraId="05C6D759" w14:textId="77777777" w:rsidR="0045240C" w:rsidRPr="00B35088" w:rsidRDefault="0045240C" w:rsidP="00665C4F">
      <w:pPr>
        <w:widowControl w:val="0"/>
        <w:spacing w:after="60"/>
        <w:ind w:left="709" w:hanging="709"/>
        <w:rPr>
          <w:sz w:val="22"/>
          <w:szCs w:val="22"/>
        </w:rPr>
      </w:pPr>
      <w:r w:rsidRPr="00B35088">
        <w:rPr>
          <w:sz w:val="22"/>
          <w:szCs w:val="22"/>
        </w:rPr>
        <w:t xml:space="preserve">Alvarado, David (2012). “Independent </w:t>
      </w:r>
      <w:proofErr w:type="spellStart"/>
      <w:r w:rsidRPr="00B35088">
        <w:rPr>
          <w:sz w:val="22"/>
          <w:szCs w:val="22"/>
        </w:rPr>
        <w:t>Azaward</w:t>
      </w:r>
      <w:proofErr w:type="spellEnd"/>
      <w:r w:rsidRPr="00B35088">
        <w:rPr>
          <w:sz w:val="22"/>
          <w:szCs w:val="22"/>
        </w:rPr>
        <w:t xml:space="preserve">: Tuaregs, Jihadists, and an Uncertain Future for Mali.” </w:t>
      </w:r>
      <w:r w:rsidRPr="00B35088">
        <w:rPr>
          <w:i/>
          <w:iCs/>
          <w:sz w:val="22"/>
          <w:szCs w:val="22"/>
        </w:rPr>
        <w:t xml:space="preserve">CIDOB </w:t>
      </w:r>
      <w:r w:rsidRPr="00B35088">
        <w:rPr>
          <w:sz w:val="22"/>
          <w:szCs w:val="22"/>
        </w:rPr>
        <w:t>54.</w:t>
      </w:r>
    </w:p>
    <w:p w14:paraId="384035AB" w14:textId="77777777" w:rsidR="0045240C" w:rsidRPr="00B35088" w:rsidRDefault="0045240C" w:rsidP="00665C4F">
      <w:pPr>
        <w:widowControl w:val="0"/>
        <w:spacing w:after="60"/>
        <w:ind w:left="709" w:hanging="709"/>
        <w:rPr>
          <w:sz w:val="22"/>
          <w:szCs w:val="22"/>
        </w:rPr>
      </w:pPr>
      <w:r w:rsidRPr="00B35088">
        <w:rPr>
          <w:sz w:val="22"/>
          <w:szCs w:val="22"/>
        </w:rPr>
        <w:t>BBC (2012). “Mali Tuareg Rebels Declare Independence in the North.” April 6. http://www.bbc.com/news/world-africa-17635437 [July 31, 2017].</w:t>
      </w:r>
    </w:p>
    <w:p w14:paraId="1257ADC7" w14:textId="77777777" w:rsidR="0045240C" w:rsidRPr="00B35088" w:rsidRDefault="0045240C" w:rsidP="00665C4F">
      <w:pPr>
        <w:widowControl w:val="0"/>
        <w:spacing w:after="60"/>
        <w:ind w:left="709" w:hanging="709"/>
        <w:rPr>
          <w:sz w:val="22"/>
          <w:szCs w:val="22"/>
        </w:rPr>
      </w:pPr>
      <w:r w:rsidRPr="00B35088">
        <w:rPr>
          <w:sz w:val="22"/>
          <w:szCs w:val="22"/>
        </w:rPr>
        <w:t xml:space="preserve">Call, Charles T. (2012). </w:t>
      </w:r>
      <w:r w:rsidRPr="00B35088">
        <w:rPr>
          <w:i/>
          <w:iCs/>
          <w:sz w:val="22"/>
          <w:szCs w:val="22"/>
        </w:rPr>
        <w:t>Why peace fails: the causes and prevention of civil war recurrence.</w:t>
      </w:r>
      <w:r w:rsidRPr="00B35088">
        <w:rPr>
          <w:sz w:val="22"/>
          <w:szCs w:val="22"/>
        </w:rPr>
        <w:t xml:space="preserve"> Washington: Georgetown University Press.</w:t>
      </w:r>
    </w:p>
    <w:p w14:paraId="48B257CD" w14:textId="77777777" w:rsidR="0045240C" w:rsidRPr="00B35088" w:rsidRDefault="0045240C" w:rsidP="00665C4F">
      <w:pPr>
        <w:spacing w:after="60"/>
        <w:ind w:left="709" w:hanging="709"/>
        <w:rPr>
          <w:sz w:val="22"/>
          <w:szCs w:val="22"/>
        </w:rPr>
      </w:pPr>
      <w:proofErr w:type="spellStart"/>
      <w:r w:rsidRPr="00B35088">
        <w:rPr>
          <w:sz w:val="22"/>
          <w:szCs w:val="22"/>
        </w:rPr>
        <w:t>Cederman</w:t>
      </w:r>
      <w:proofErr w:type="spellEnd"/>
      <w:r w:rsidRPr="00B35088">
        <w:rPr>
          <w:sz w:val="22"/>
          <w:szCs w:val="22"/>
        </w:rPr>
        <w:t xml:space="preserve">, Lars-Erik, Andreas </w:t>
      </w:r>
      <w:proofErr w:type="spellStart"/>
      <w:r w:rsidRPr="00B35088">
        <w:rPr>
          <w:sz w:val="22"/>
          <w:szCs w:val="22"/>
        </w:rPr>
        <w:t>Wimmer</w:t>
      </w:r>
      <w:proofErr w:type="spellEnd"/>
      <w:r w:rsidRPr="00B35088">
        <w:rPr>
          <w:sz w:val="22"/>
          <w:szCs w:val="22"/>
        </w:rPr>
        <w:t xml:space="preserve">, and Brian Min (2010). “Why Do Ethnic Groups Rebel: New Data and Analysis.” </w:t>
      </w:r>
      <w:r w:rsidRPr="00B35088">
        <w:rPr>
          <w:i/>
          <w:iCs/>
          <w:sz w:val="22"/>
          <w:szCs w:val="22"/>
        </w:rPr>
        <w:t>World Politics</w:t>
      </w:r>
      <w:r w:rsidRPr="00B35088">
        <w:rPr>
          <w:sz w:val="22"/>
          <w:szCs w:val="22"/>
        </w:rPr>
        <w:t xml:space="preserve"> </w:t>
      </w:r>
      <w:r w:rsidRPr="00B35088">
        <w:rPr>
          <w:iCs/>
          <w:sz w:val="22"/>
          <w:szCs w:val="22"/>
        </w:rPr>
        <w:t>62</w:t>
      </w:r>
      <w:r w:rsidRPr="00B35088">
        <w:rPr>
          <w:sz w:val="22"/>
          <w:szCs w:val="22"/>
        </w:rPr>
        <w:t>(1): 87-119.</w:t>
      </w:r>
    </w:p>
    <w:p w14:paraId="7CDF2943" w14:textId="77777777" w:rsidR="0045240C" w:rsidRPr="00BC1C09" w:rsidRDefault="0045240C" w:rsidP="0045240C">
      <w:pPr>
        <w:spacing w:after="60"/>
        <w:ind w:left="709" w:hanging="709"/>
        <w:rPr>
          <w:i/>
          <w:iCs/>
          <w:sz w:val="22"/>
          <w:szCs w:val="22"/>
          <w:lang w:val="en-US"/>
        </w:rPr>
      </w:pPr>
      <w:proofErr w:type="spellStart"/>
      <w:r>
        <w:rPr>
          <w:sz w:val="22"/>
          <w:szCs w:val="22"/>
          <w:lang w:val="en-US"/>
        </w:rPr>
        <w:t>Chauzal</w:t>
      </w:r>
      <w:proofErr w:type="spellEnd"/>
      <w:r>
        <w:rPr>
          <w:sz w:val="22"/>
          <w:szCs w:val="22"/>
          <w:lang w:val="en-US"/>
        </w:rPr>
        <w:t xml:space="preserve">, Gregory, and </w:t>
      </w:r>
      <w:proofErr w:type="spellStart"/>
      <w:r>
        <w:rPr>
          <w:sz w:val="22"/>
          <w:szCs w:val="22"/>
          <w:lang w:val="en-US"/>
        </w:rPr>
        <w:t>Thibauly</w:t>
      </w:r>
      <w:proofErr w:type="spellEnd"/>
      <w:r>
        <w:rPr>
          <w:sz w:val="22"/>
          <w:szCs w:val="22"/>
          <w:lang w:val="en-US"/>
        </w:rPr>
        <w:t xml:space="preserve"> van Damme (2015) “The roots of Mali’s conflict” </w:t>
      </w:r>
      <w:proofErr w:type="spellStart"/>
      <w:r>
        <w:rPr>
          <w:i/>
          <w:iCs/>
          <w:sz w:val="22"/>
          <w:szCs w:val="22"/>
          <w:lang w:val="en-US"/>
        </w:rPr>
        <w:t>Clingdael</w:t>
      </w:r>
      <w:proofErr w:type="spellEnd"/>
      <w:r>
        <w:rPr>
          <w:i/>
          <w:iCs/>
          <w:sz w:val="22"/>
          <w:szCs w:val="22"/>
          <w:lang w:val="en-US"/>
        </w:rPr>
        <w:t xml:space="preserve">. </w:t>
      </w:r>
      <w:hyperlink r:id="rId14" w:history="1">
        <w:r w:rsidRPr="0045240C">
          <w:rPr>
            <w:rStyle w:val="Hyperlink"/>
            <w:sz w:val="22"/>
            <w:szCs w:val="22"/>
            <w:lang w:val="en-US"/>
          </w:rPr>
          <w:t>https://www.clingendael.org/pub/2015/the_roots_of_malis_conflict/</w:t>
        </w:r>
      </w:hyperlink>
      <w:r w:rsidRPr="0045240C">
        <w:rPr>
          <w:sz w:val="22"/>
          <w:szCs w:val="22"/>
          <w:lang w:val="en-US"/>
        </w:rPr>
        <w:t xml:space="preserve"> [25</w:t>
      </w:r>
      <w:r w:rsidRPr="0045240C">
        <w:rPr>
          <w:sz w:val="22"/>
          <w:szCs w:val="22"/>
          <w:vertAlign w:val="superscript"/>
          <w:lang w:val="en-US"/>
        </w:rPr>
        <w:t>th</w:t>
      </w:r>
      <w:r w:rsidRPr="0045240C">
        <w:rPr>
          <w:sz w:val="22"/>
          <w:szCs w:val="22"/>
          <w:lang w:val="en-US"/>
        </w:rPr>
        <w:t xml:space="preserve"> </w:t>
      </w:r>
      <w:proofErr w:type="gramStart"/>
      <w:r w:rsidRPr="0045240C">
        <w:rPr>
          <w:sz w:val="22"/>
          <w:szCs w:val="22"/>
          <w:lang w:val="en-US"/>
        </w:rPr>
        <w:t>March,</w:t>
      </w:r>
      <w:proofErr w:type="gramEnd"/>
      <w:r w:rsidRPr="0045240C">
        <w:rPr>
          <w:sz w:val="22"/>
          <w:szCs w:val="22"/>
          <w:lang w:val="en-US"/>
        </w:rPr>
        <w:t xml:space="preserve"> 2023].</w:t>
      </w:r>
      <w:r>
        <w:rPr>
          <w:sz w:val="22"/>
          <w:szCs w:val="22"/>
          <w:lang w:val="en-US"/>
        </w:rPr>
        <w:t xml:space="preserve"> </w:t>
      </w:r>
    </w:p>
    <w:p w14:paraId="183EEEB8" w14:textId="77777777" w:rsidR="0045240C" w:rsidRPr="00B35088" w:rsidRDefault="0045240C" w:rsidP="00665C4F">
      <w:pPr>
        <w:widowControl w:val="0"/>
        <w:spacing w:after="60"/>
        <w:ind w:left="709" w:hanging="709"/>
        <w:rPr>
          <w:sz w:val="22"/>
          <w:szCs w:val="22"/>
        </w:rPr>
      </w:pPr>
      <w:r w:rsidRPr="00B35088">
        <w:rPr>
          <w:sz w:val="22"/>
          <w:szCs w:val="22"/>
        </w:rPr>
        <w:t xml:space="preserve">Cline, Lawrence E. (2013). “Nomads, Islamists, and soldiers: the struggles for Northern Mali.” </w:t>
      </w:r>
      <w:r w:rsidRPr="00B35088">
        <w:rPr>
          <w:i/>
          <w:iCs/>
          <w:sz w:val="22"/>
          <w:szCs w:val="22"/>
        </w:rPr>
        <w:t>Studies in Conflict &amp; Terrorism</w:t>
      </w:r>
      <w:r w:rsidRPr="00B35088">
        <w:rPr>
          <w:sz w:val="22"/>
          <w:szCs w:val="22"/>
        </w:rPr>
        <w:t xml:space="preserve"> 36(8): 617-634.</w:t>
      </w:r>
    </w:p>
    <w:p w14:paraId="4158DA97" w14:textId="77777777" w:rsidR="0045240C" w:rsidRPr="00B35088" w:rsidRDefault="0045240C" w:rsidP="00665C4F">
      <w:pPr>
        <w:spacing w:after="60"/>
        <w:ind w:left="709" w:hanging="709"/>
        <w:rPr>
          <w:sz w:val="22"/>
          <w:szCs w:val="22"/>
          <w:lang w:val="en-US"/>
        </w:rPr>
      </w:pPr>
      <w:r w:rsidRPr="00B35088">
        <w:rPr>
          <w:sz w:val="22"/>
          <w:szCs w:val="22"/>
          <w:lang w:val="en-US"/>
        </w:rPr>
        <w:t>Council on Foreign Relations (2020). Destabilization of Mali. https://www.cfr.org/global-conflict-tracker/conflict/ destabilization-</w:t>
      </w:r>
      <w:proofErr w:type="spellStart"/>
      <w:r w:rsidRPr="00B35088">
        <w:rPr>
          <w:sz w:val="22"/>
          <w:szCs w:val="22"/>
          <w:lang w:val="en-US"/>
        </w:rPr>
        <w:t>mali</w:t>
      </w:r>
      <w:proofErr w:type="spellEnd"/>
      <w:r w:rsidRPr="00B35088">
        <w:rPr>
          <w:sz w:val="22"/>
          <w:szCs w:val="22"/>
          <w:lang w:val="en-US"/>
        </w:rPr>
        <w:t xml:space="preserve"> </w:t>
      </w:r>
      <w:proofErr w:type="spellStart"/>
      <w:r w:rsidRPr="00B35088">
        <w:rPr>
          <w:sz w:val="22"/>
          <w:szCs w:val="22"/>
          <w:lang w:val="en-US"/>
        </w:rPr>
        <w:t>Gleditsch</w:t>
      </w:r>
      <w:proofErr w:type="spellEnd"/>
      <w:r w:rsidRPr="00B35088">
        <w:rPr>
          <w:sz w:val="22"/>
          <w:szCs w:val="22"/>
          <w:lang w:val="en-US"/>
        </w:rPr>
        <w:t>, [26th July 2022]</w:t>
      </w:r>
    </w:p>
    <w:p w14:paraId="08C6B338" w14:textId="77777777" w:rsidR="0045240C" w:rsidRPr="00B35088" w:rsidRDefault="0045240C" w:rsidP="00665C4F">
      <w:pPr>
        <w:pStyle w:val="NormalWeb"/>
        <w:spacing w:before="0" w:beforeAutospacing="0" w:after="60" w:afterAutospacing="0"/>
        <w:ind w:left="709" w:hanging="709"/>
        <w:rPr>
          <w:color w:val="000000"/>
          <w:sz w:val="22"/>
          <w:szCs w:val="22"/>
          <w:lang w:val="en-US"/>
        </w:rPr>
      </w:pPr>
      <w:r w:rsidRPr="00B35088">
        <w:rPr>
          <w:color w:val="000000"/>
          <w:sz w:val="22"/>
          <w:szCs w:val="22"/>
          <w:lang w:val="en-US"/>
        </w:rPr>
        <w:t>Freedom House. (2007-2016). Freedom of the World: Mali. https: //freedomhouse.org/report/freedom-world/2016/</w:t>
      </w:r>
      <w:proofErr w:type="spellStart"/>
      <w:r w:rsidRPr="00B35088">
        <w:rPr>
          <w:color w:val="000000"/>
          <w:sz w:val="22"/>
          <w:szCs w:val="22"/>
          <w:lang w:val="en-US"/>
        </w:rPr>
        <w:t>mali</w:t>
      </w:r>
      <w:proofErr w:type="spellEnd"/>
      <w:r w:rsidRPr="00B35088">
        <w:rPr>
          <w:color w:val="000000"/>
          <w:sz w:val="22"/>
          <w:szCs w:val="22"/>
          <w:lang w:val="en-US"/>
        </w:rPr>
        <w:t xml:space="preserve"> [26</w:t>
      </w:r>
      <w:r w:rsidRPr="00B35088">
        <w:rPr>
          <w:color w:val="000000"/>
          <w:sz w:val="22"/>
          <w:szCs w:val="22"/>
          <w:vertAlign w:val="superscript"/>
          <w:lang w:val="en-US"/>
        </w:rPr>
        <w:t>th</w:t>
      </w:r>
      <w:r w:rsidRPr="00B35088">
        <w:rPr>
          <w:color w:val="000000"/>
          <w:sz w:val="22"/>
          <w:szCs w:val="22"/>
          <w:lang w:val="en-US"/>
        </w:rPr>
        <w:t xml:space="preserve"> July 2022]</w:t>
      </w:r>
    </w:p>
    <w:p w14:paraId="702D1DAF" w14:textId="77777777" w:rsidR="00E4530C" w:rsidRPr="00D4420D" w:rsidRDefault="00E4530C" w:rsidP="00E4530C">
      <w:pPr>
        <w:pStyle w:val="NormalWeb"/>
        <w:spacing w:before="0" w:beforeAutospacing="0" w:after="120" w:afterAutospacing="0"/>
        <w:ind w:left="475" w:hanging="475"/>
        <w:rPr>
          <w:i/>
          <w:iCs/>
          <w:sz w:val="22"/>
        </w:rPr>
      </w:pPr>
      <w:r w:rsidRPr="008A5DED">
        <w:rPr>
          <w:sz w:val="22"/>
          <w:lang w:val="fr-CH"/>
        </w:rPr>
        <w:t xml:space="preserve">GADM (2019). </w:t>
      </w:r>
      <w:r w:rsidRPr="00E4530C">
        <w:rPr>
          <w:sz w:val="22"/>
          <w:lang w:val="en-US"/>
        </w:rPr>
        <w:t xml:space="preserve">Database of Global Administrative Boundaries, Version 3.6. </w:t>
      </w:r>
      <w:r>
        <w:fldChar w:fldCharType="begin"/>
      </w:r>
      <w:r w:rsidRPr="00E4530C">
        <w:rPr>
          <w:lang w:val="en-US"/>
        </w:rPr>
        <w:instrText>HYPERLINK "https://gadm.org/"</w:instrText>
      </w:r>
      <w:r>
        <w:fldChar w:fldCharType="separate"/>
      </w:r>
      <w:r w:rsidRPr="003724DB">
        <w:rPr>
          <w:rStyle w:val="Hyperlink"/>
          <w:sz w:val="22"/>
        </w:rPr>
        <w:t>https://gadm.org/</w:t>
      </w:r>
      <w:r>
        <w:rPr>
          <w:rStyle w:val="Hyperlink"/>
          <w:sz w:val="22"/>
        </w:rPr>
        <w:fldChar w:fldCharType="end"/>
      </w:r>
      <w:r>
        <w:rPr>
          <w:sz w:val="22"/>
        </w:rPr>
        <w:t xml:space="preserve"> [November 19, 2021].</w:t>
      </w:r>
    </w:p>
    <w:p w14:paraId="49D60F16" w14:textId="77777777" w:rsidR="0045240C" w:rsidRPr="00B35088" w:rsidRDefault="0045240C" w:rsidP="00665C4F">
      <w:pPr>
        <w:pStyle w:val="NormalWeb"/>
        <w:spacing w:before="0" w:beforeAutospacing="0" w:after="60" w:afterAutospacing="0"/>
        <w:ind w:left="709" w:hanging="709"/>
        <w:rPr>
          <w:sz w:val="22"/>
          <w:szCs w:val="22"/>
          <w:lang w:val="en-US"/>
        </w:rPr>
      </w:pPr>
      <w:r w:rsidRPr="00B35088">
        <w:rPr>
          <w:color w:val="000000"/>
          <w:sz w:val="22"/>
          <w:szCs w:val="22"/>
          <w:lang w:val="en-US"/>
        </w:rPr>
        <w:t xml:space="preserve">Hewitt, Christopher, and Tom Cheetham (2000). </w:t>
      </w:r>
      <w:r w:rsidRPr="00B35088">
        <w:rPr>
          <w:i/>
          <w:iCs/>
          <w:color w:val="000000"/>
          <w:sz w:val="22"/>
          <w:szCs w:val="22"/>
          <w:lang w:val="en-US"/>
        </w:rPr>
        <w:t>Encyclopedia of Modern Separatist Movements</w:t>
      </w:r>
      <w:r w:rsidRPr="00B35088">
        <w:rPr>
          <w:color w:val="000000"/>
          <w:sz w:val="22"/>
          <w:szCs w:val="22"/>
          <w:lang w:val="en-US"/>
        </w:rPr>
        <w:t>. Santa Barbara, CA: ABC-CLIO, p. 300.</w:t>
      </w:r>
    </w:p>
    <w:p w14:paraId="340D8B1F" w14:textId="77777777" w:rsidR="0045240C" w:rsidRPr="00B35088" w:rsidRDefault="0045240C" w:rsidP="00665C4F">
      <w:pPr>
        <w:pStyle w:val="NormalWeb"/>
        <w:spacing w:before="0" w:beforeAutospacing="0" w:after="60" w:afterAutospacing="0"/>
        <w:ind w:left="709" w:hanging="709"/>
        <w:rPr>
          <w:sz w:val="22"/>
          <w:szCs w:val="22"/>
          <w:lang w:val="en-US"/>
        </w:rPr>
      </w:pPr>
      <w:r w:rsidRPr="00B35088">
        <w:rPr>
          <w:sz w:val="22"/>
          <w:szCs w:val="22"/>
          <w:lang w:val="en-US"/>
        </w:rPr>
        <w:t xml:space="preserve">Hirsch, Afua; </w:t>
      </w:r>
      <w:proofErr w:type="spellStart"/>
      <w:r w:rsidRPr="00B35088">
        <w:rPr>
          <w:sz w:val="22"/>
          <w:szCs w:val="22"/>
          <w:lang w:val="en-US"/>
        </w:rPr>
        <w:t>Willsher</w:t>
      </w:r>
      <w:proofErr w:type="spellEnd"/>
      <w:r w:rsidRPr="00B35088">
        <w:rPr>
          <w:sz w:val="22"/>
          <w:szCs w:val="22"/>
          <w:lang w:val="en-US"/>
        </w:rPr>
        <w:t>, Kim (14 January 2013). "Mali conflict: France has opened gates of hell, say rebels". The Guardian. London. Archived from the original on 2 December 2016. [26</w:t>
      </w:r>
      <w:r w:rsidRPr="00B35088">
        <w:rPr>
          <w:sz w:val="22"/>
          <w:szCs w:val="22"/>
          <w:vertAlign w:val="superscript"/>
          <w:lang w:val="en-US"/>
        </w:rPr>
        <w:t>th</w:t>
      </w:r>
      <w:r w:rsidRPr="00B35088">
        <w:rPr>
          <w:sz w:val="22"/>
          <w:szCs w:val="22"/>
          <w:lang w:val="en-US"/>
        </w:rPr>
        <w:t xml:space="preserve"> July 2022]</w:t>
      </w:r>
    </w:p>
    <w:p w14:paraId="069EECB9" w14:textId="77777777" w:rsidR="0045240C" w:rsidRPr="00B35088" w:rsidRDefault="0045240C" w:rsidP="00665C4F">
      <w:pPr>
        <w:pStyle w:val="NormalWeb"/>
        <w:spacing w:before="0" w:beforeAutospacing="0" w:after="60" w:afterAutospacing="0"/>
        <w:ind w:left="709" w:hanging="709"/>
        <w:rPr>
          <w:sz w:val="22"/>
          <w:szCs w:val="22"/>
          <w:lang w:val="en-US"/>
        </w:rPr>
      </w:pPr>
      <w:r w:rsidRPr="00B35088">
        <w:rPr>
          <w:sz w:val="22"/>
          <w:szCs w:val="22"/>
          <w:lang w:val="en-US"/>
        </w:rPr>
        <w:t xml:space="preserve">International Crisis group. (2020). "Mali’s Algiers Peace Agreement, Five Years On: An Uneasy Calm." https://reliefweb.int/report/mali/ </w:t>
      </w:r>
      <w:proofErr w:type="spellStart"/>
      <w:r w:rsidRPr="00B35088">
        <w:rPr>
          <w:sz w:val="22"/>
          <w:szCs w:val="22"/>
          <w:lang w:val="en-US"/>
        </w:rPr>
        <w:t>mali</w:t>
      </w:r>
      <w:proofErr w:type="spellEnd"/>
      <w:r w:rsidRPr="00B35088">
        <w:rPr>
          <w:sz w:val="22"/>
          <w:szCs w:val="22"/>
          <w:lang w:val="en-US"/>
        </w:rPr>
        <w:t>-s-</w:t>
      </w:r>
      <w:proofErr w:type="spellStart"/>
      <w:r w:rsidRPr="00B35088">
        <w:rPr>
          <w:sz w:val="22"/>
          <w:szCs w:val="22"/>
          <w:lang w:val="en-US"/>
        </w:rPr>
        <w:t>algiers</w:t>
      </w:r>
      <w:proofErr w:type="spellEnd"/>
      <w:r w:rsidRPr="00B35088">
        <w:rPr>
          <w:sz w:val="22"/>
          <w:szCs w:val="22"/>
          <w:lang w:val="en-US"/>
        </w:rPr>
        <w:t xml:space="preserve">-peace-agreement-five-years-uneasy-calm </w:t>
      </w:r>
      <w:proofErr w:type="spellStart"/>
      <w:r w:rsidRPr="00B35088">
        <w:rPr>
          <w:sz w:val="22"/>
          <w:szCs w:val="22"/>
          <w:lang w:val="en-US"/>
        </w:rPr>
        <w:t>Keesing’s</w:t>
      </w:r>
      <w:proofErr w:type="spellEnd"/>
      <w:r w:rsidRPr="00B35088">
        <w:rPr>
          <w:sz w:val="22"/>
          <w:szCs w:val="22"/>
          <w:lang w:val="en-US"/>
        </w:rPr>
        <w:t xml:space="preserve"> Record of World Events. </w:t>
      </w:r>
      <w:hyperlink r:id="rId15" w:history="1">
        <w:r w:rsidRPr="00B35088">
          <w:rPr>
            <w:rStyle w:val="Hyperlink"/>
            <w:sz w:val="22"/>
            <w:szCs w:val="22"/>
            <w:lang w:val="en-US"/>
          </w:rPr>
          <w:t>http://www.keesings.com</w:t>
        </w:r>
      </w:hyperlink>
      <w:r w:rsidRPr="00B35088">
        <w:rPr>
          <w:sz w:val="22"/>
          <w:szCs w:val="22"/>
          <w:lang w:val="en-US"/>
        </w:rPr>
        <w:t xml:space="preserve"> [26</w:t>
      </w:r>
      <w:r w:rsidRPr="00B35088">
        <w:rPr>
          <w:sz w:val="22"/>
          <w:szCs w:val="22"/>
          <w:vertAlign w:val="superscript"/>
          <w:lang w:val="en-US"/>
        </w:rPr>
        <w:t>th</w:t>
      </w:r>
      <w:r w:rsidRPr="00B35088">
        <w:rPr>
          <w:sz w:val="22"/>
          <w:szCs w:val="22"/>
          <w:lang w:val="en-US"/>
        </w:rPr>
        <w:t xml:space="preserve"> July 2022].</w:t>
      </w:r>
    </w:p>
    <w:p w14:paraId="19EC1B20" w14:textId="77777777" w:rsidR="0045240C" w:rsidRPr="00791199" w:rsidRDefault="0045240C" w:rsidP="00665C4F">
      <w:pPr>
        <w:widowControl w:val="0"/>
        <w:spacing w:after="60"/>
        <w:ind w:left="709" w:hanging="709"/>
        <w:rPr>
          <w:sz w:val="22"/>
          <w:szCs w:val="22"/>
          <w:lang w:val="en-US"/>
        </w:rPr>
      </w:pPr>
      <w:r>
        <w:rPr>
          <w:sz w:val="22"/>
          <w:szCs w:val="22"/>
        </w:rPr>
        <w:t xml:space="preserve">International Peace </w:t>
      </w:r>
      <w:proofErr w:type="spellStart"/>
      <w:r>
        <w:rPr>
          <w:sz w:val="22"/>
          <w:szCs w:val="22"/>
        </w:rPr>
        <w:t>Insititute</w:t>
      </w:r>
      <w:proofErr w:type="spellEnd"/>
      <w:r>
        <w:rPr>
          <w:sz w:val="22"/>
          <w:szCs w:val="22"/>
        </w:rPr>
        <w:t xml:space="preserve"> Global Observatory. (2017). </w:t>
      </w:r>
      <w:r w:rsidRPr="00791199">
        <w:rPr>
          <w:sz w:val="22"/>
          <w:szCs w:val="22"/>
        </w:rPr>
        <w:t>Mali: Two Years After Bamako Agreement, What Peace Is There to Keep?</w:t>
      </w:r>
      <w:r>
        <w:rPr>
          <w:sz w:val="22"/>
          <w:szCs w:val="22"/>
        </w:rPr>
        <w:t xml:space="preserve"> </w:t>
      </w:r>
      <w:hyperlink r:id="rId16" w:history="1">
        <w:r w:rsidRPr="00CC2EBA">
          <w:rPr>
            <w:rStyle w:val="Hyperlink"/>
            <w:sz w:val="22"/>
            <w:szCs w:val="22"/>
          </w:rPr>
          <w:t>https://theglobalobservatory.org/2017/06/mali-bamako-agreement-agiers-process-minusma/</w:t>
        </w:r>
      </w:hyperlink>
      <w:r>
        <w:rPr>
          <w:sz w:val="22"/>
          <w:szCs w:val="22"/>
        </w:rPr>
        <w:t xml:space="preserve"> [30</w:t>
      </w:r>
      <w:r w:rsidRPr="00EA24AC">
        <w:rPr>
          <w:sz w:val="22"/>
          <w:szCs w:val="22"/>
          <w:vertAlign w:val="superscript"/>
        </w:rPr>
        <w:t>th</w:t>
      </w:r>
      <w:r>
        <w:rPr>
          <w:sz w:val="22"/>
          <w:szCs w:val="22"/>
        </w:rPr>
        <w:t xml:space="preserve"> August 2022]</w:t>
      </w:r>
    </w:p>
    <w:p w14:paraId="11D94AA8" w14:textId="77777777" w:rsidR="0045240C" w:rsidRPr="00B35088" w:rsidRDefault="0045240C" w:rsidP="00665C4F">
      <w:pPr>
        <w:widowControl w:val="0"/>
        <w:spacing w:after="60"/>
        <w:ind w:left="709" w:hanging="709"/>
        <w:rPr>
          <w:sz w:val="22"/>
          <w:szCs w:val="22"/>
        </w:rPr>
      </w:pPr>
      <w:r w:rsidRPr="00B35088">
        <w:rPr>
          <w:sz w:val="22"/>
          <w:szCs w:val="22"/>
        </w:rPr>
        <w:t xml:space="preserve">Keita, Kalifa (1998). “Conflict and conflict resolution in the Sahel: The Tuareg insurgency in Mali.” </w:t>
      </w:r>
      <w:r w:rsidRPr="00B35088">
        <w:rPr>
          <w:i/>
          <w:iCs/>
          <w:sz w:val="22"/>
          <w:szCs w:val="22"/>
        </w:rPr>
        <w:t>Small Wars &amp; Insurgencies</w:t>
      </w:r>
      <w:r w:rsidRPr="00B35088">
        <w:rPr>
          <w:sz w:val="22"/>
          <w:szCs w:val="22"/>
        </w:rPr>
        <w:t xml:space="preserve"> 9(3): 102-128.</w:t>
      </w:r>
    </w:p>
    <w:p w14:paraId="5811D311" w14:textId="77777777" w:rsidR="0045240C" w:rsidRPr="00B35088" w:rsidRDefault="0045240C" w:rsidP="00665C4F">
      <w:pPr>
        <w:pStyle w:val="NormalWeb"/>
        <w:spacing w:before="0" w:beforeAutospacing="0" w:after="60" w:afterAutospacing="0"/>
        <w:ind w:left="709" w:hanging="709"/>
        <w:rPr>
          <w:sz w:val="22"/>
          <w:szCs w:val="22"/>
          <w:lang w:val="en-US"/>
        </w:rPr>
      </w:pPr>
      <w:bookmarkStart w:id="0" w:name="_Hlk87882186"/>
      <w:proofErr w:type="spellStart"/>
      <w:r w:rsidRPr="00B35088">
        <w:rPr>
          <w:sz w:val="22"/>
          <w:szCs w:val="22"/>
          <w:lang w:val="en-US"/>
        </w:rPr>
        <w:t>Lecocq</w:t>
      </w:r>
      <w:proofErr w:type="spellEnd"/>
      <w:r w:rsidRPr="00B35088">
        <w:rPr>
          <w:sz w:val="22"/>
          <w:szCs w:val="22"/>
          <w:lang w:val="en-US"/>
        </w:rPr>
        <w:t>, Baz (2010). Disputed Desert. Brill.</w:t>
      </w:r>
    </w:p>
    <w:p w14:paraId="3EDB0A51" w14:textId="77777777" w:rsidR="0045240C" w:rsidRDefault="0045240C" w:rsidP="00665C4F">
      <w:pPr>
        <w:pStyle w:val="NormalWeb"/>
        <w:spacing w:before="0" w:beforeAutospacing="0" w:after="60" w:afterAutospacing="0"/>
        <w:ind w:left="709" w:hanging="709"/>
        <w:rPr>
          <w:sz w:val="22"/>
          <w:szCs w:val="22"/>
          <w:lang w:val="en-US"/>
        </w:rPr>
      </w:pPr>
      <w:proofErr w:type="spellStart"/>
      <w:r w:rsidRPr="00275F28">
        <w:rPr>
          <w:sz w:val="22"/>
          <w:szCs w:val="22"/>
          <w:lang w:val="en-US"/>
        </w:rPr>
        <w:t>Lecocq</w:t>
      </w:r>
      <w:proofErr w:type="spellEnd"/>
      <w:r w:rsidRPr="00275F28">
        <w:rPr>
          <w:sz w:val="22"/>
          <w:szCs w:val="22"/>
          <w:lang w:val="en-US"/>
        </w:rPr>
        <w:t xml:space="preserve">, Baz, and Georg </w:t>
      </w:r>
      <w:proofErr w:type="spellStart"/>
      <w:r w:rsidRPr="00275F28">
        <w:rPr>
          <w:sz w:val="22"/>
          <w:szCs w:val="22"/>
          <w:lang w:val="en-US"/>
        </w:rPr>
        <w:t>Klute</w:t>
      </w:r>
      <w:proofErr w:type="spellEnd"/>
      <w:r w:rsidRPr="00275F28">
        <w:rPr>
          <w:sz w:val="22"/>
          <w:szCs w:val="22"/>
          <w:lang w:val="en-US"/>
        </w:rPr>
        <w:t xml:space="preserve"> (2019). “Tuareg Separatism in Mali and Niger.” In: </w:t>
      </w:r>
      <w:proofErr w:type="spellStart"/>
      <w:r w:rsidRPr="00275F28">
        <w:rPr>
          <w:sz w:val="22"/>
          <w:szCs w:val="22"/>
          <w:lang w:val="en-US"/>
        </w:rPr>
        <w:t>Lotje</w:t>
      </w:r>
      <w:proofErr w:type="spellEnd"/>
      <w:r w:rsidRPr="00275F28">
        <w:rPr>
          <w:sz w:val="22"/>
          <w:szCs w:val="22"/>
          <w:lang w:val="en-US"/>
        </w:rPr>
        <w:t xml:space="preserve"> De Vries, Pierre </w:t>
      </w:r>
      <w:proofErr w:type="spellStart"/>
      <w:r w:rsidRPr="00275F28">
        <w:rPr>
          <w:sz w:val="22"/>
          <w:szCs w:val="22"/>
          <w:lang w:val="en-US"/>
        </w:rPr>
        <w:t>Englebert</w:t>
      </w:r>
      <w:proofErr w:type="spellEnd"/>
      <w:r w:rsidRPr="00275F28">
        <w:rPr>
          <w:sz w:val="22"/>
          <w:szCs w:val="22"/>
          <w:lang w:val="en-US"/>
        </w:rPr>
        <w:t xml:space="preserve">, and </w:t>
      </w:r>
      <w:proofErr w:type="spellStart"/>
      <w:r w:rsidRPr="00275F28">
        <w:rPr>
          <w:sz w:val="22"/>
          <w:szCs w:val="22"/>
          <w:lang w:val="en-US"/>
        </w:rPr>
        <w:t>Mareike</w:t>
      </w:r>
      <w:proofErr w:type="spellEnd"/>
      <w:r w:rsidRPr="00275F28">
        <w:rPr>
          <w:sz w:val="22"/>
          <w:szCs w:val="22"/>
          <w:lang w:val="en-US"/>
        </w:rPr>
        <w:t xml:space="preserve"> </w:t>
      </w:r>
      <w:proofErr w:type="spellStart"/>
      <w:r w:rsidRPr="00275F28">
        <w:rPr>
          <w:sz w:val="22"/>
          <w:szCs w:val="22"/>
          <w:lang w:val="en-US"/>
        </w:rPr>
        <w:t>Schomerus</w:t>
      </w:r>
      <w:proofErr w:type="spellEnd"/>
      <w:r w:rsidRPr="00275F28">
        <w:rPr>
          <w:sz w:val="22"/>
          <w:szCs w:val="22"/>
          <w:lang w:val="en-US"/>
        </w:rPr>
        <w:t xml:space="preserve"> (eds.), </w:t>
      </w:r>
      <w:r w:rsidRPr="00275F28">
        <w:rPr>
          <w:i/>
          <w:iCs/>
          <w:sz w:val="22"/>
          <w:szCs w:val="22"/>
          <w:lang w:val="en-US"/>
        </w:rPr>
        <w:t>Secessionism in African Politics</w:t>
      </w:r>
      <w:r w:rsidRPr="00275F28">
        <w:rPr>
          <w:sz w:val="22"/>
          <w:szCs w:val="22"/>
          <w:lang w:val="en-US"/>
        </w:rPr>
        <w:t>. Cham: Palgrave Macmillan, pp. 23-57.</w:t>
      </w:r>
    </w:p>
    <w:p w14:paraId="7427A8C7" w14:textId="77777777" w:rsidR="0045240C" w:rsidRPr="00B35088" w:rsidRDefault="0045240C" w:rsidP="00665C4F">
      <w:pPr>
        <w:pStyle w:val="NormalWeb"/>
        <w:spacing w:before="0" w:beforeAutospacing="0" w:after="60" w:afterAutospacing="0"/>
        <w:ind w:left="709" w:hanging="709"/>
        <w:rPr>
          <w:sz w:val="22"/>
          <w:szCs w:val="22"/>
          <w:lang w:val="en-US"/>
        </w:rPr>
      </w:pPr>
      <w:proofErr w:type="spellStart"/>
      <w:r w:rsidRPr="00B35088">
        <w:rPr>
          <w:sz w:val="22"/>
          <w:szCs w:val="22"/>
          <w:lang w:val="en-US"/>
        </w:rPr>
        <w:lastRenderedPageBreak/>
        <w:t>Macartan</w:t>
      </w:r>
      <w:proofErr w:type="spellEnd"/>
      <w:r w:rsidRPr="00B35088">
        <w:rPr>
          <w:sz w:val="22"/>
          <w:szCs w:val="22"/>
          <w:lang w:val="en-US"/>
        </w:rPr>
        <w:t xml:space="preserve">, Humphreys, and </w:t>
      </w:r>
      <w:proofErr w:type="spellStart"/>
      <w:r w:rsidRPr="00B35088">
        <w:rPr>
          <w:sz w:val="22"/>
          <w:szCs w:val="22"/>
          <w:lang w:val="en-US"/>
        </w:rPr>
        <w:t>Habaye</w:t>
      </w:r>
      <w:proofErr w:type="spellEnd"/>
      <w:r w:rsidRPr="00B35088">
        <w:rPr>
          <w:sz w:val="22"/>
          <w:szCs w:val="22"/>
          <w:lang w:val="en-US"/>
        </w:rPr>
        <w:t xml:space="preserve"> ag Mohamed (2005). “Senegal and Mali”. In: Paul Collier, and Nicholas </w:t>
      </w:r>
      <w:proofErr w:type="spellStart"/>
      <w:r w:rsidRPr="00B35088">
        <w:rPr>
          <w:sz w:val="22"/>
          <w:szCs w:val="22"/>
          <w:lang w:val="en-US"/>
        </w:rPr>
        <w:t>Sambanis</w:t>
      </w:r>
      <w:proofErr w:type="spellEnd"/>
      <w:r w:rsidRPr="00B35088">
        <w:rPr>
          <w:sz w:val="22"/>
          <w:szCs w:val="22"/>
          <w:lang w:val="en-US"/>
        </w:rPr>
        <w:t xml:space="preserve"> (eds.). </w:t>
      </w:r>
      <w:r w:rsidRPr="00B35088">
        <w:rPr>
          <w:i/>
          <w:sz w:val="22"/>
          <w:szCs w:val="22"/>
          <w:lang w:val="en-US"/>
        </w:rPr>
        <w:t xml:space="preserve">Understanding Civil War. Evidence and Analysis, </w:t>
      </w:r>
      <w:r w:rsidRPr="00B35088">
        <w:rPr>
          <w:sz w:val="22"/>
          <w:szCs w:val="22"/>
          <w:lang w:val="en-US"/>
        </w:rPr>
        <w:t>247-302. Washington, DC: The World Bank.</w:t>
      </w:r>
    </w:p>
    <w:p w14:paraId="3082D4F4" w14:textId="77777777" w:rsidR="0045240C" w:rsidRPr="00B35088" w:rsidRDefault="0045240C" w:rsidP="00665C4F">
      <w:pPr>
        <w:pStyle w:val="NormalWeb"/>
        <w:spacing w:before="0" w:beforeAutospacing="0" w:after="60" w:afterAutospacing="0"/>
        <w:ind w:left="709" w:hanging="709"/>
        <w:rPr>
          <w:sz w:val="22"/>
          <w:szCs w:val="22"/>
          <w:lang w:val="en-US"/>
        </w:rPr>
      </w:pPr>
      <w:r w:rsidRPr="00B35088">
        <w:rPr>
          <w:sz w:val="22"/>
          <w:szCs w:val="22"/>
          <w:lang w:val="en-US"/>
        </w:rPr>
        <w:t xml:space="preserve">Minahan, James (1996). </w:t>
      </w:r>
      <w:r w:rsidRPr="00B35088">
        <w:rPr>
          <w:i/>
          <w:sz w:val="22"/>
          <w:szCs w:val="22"/>
          <w:lang w:val="en-US"/>
        </w:rPr>
        <w:t xml:space="preserve">Nations without States: A Historical Dictionary of Contemporary National Movements. </w:t>
      </w:r>
      <w:r w:rsidRPr="00B35088">
        <w:rPr>
          <w:sz w:val="22"/>
          <w:szCs w:val="22"/>
          <w:lang w:val="en-US"/>
        </w:rPr>
        <w:t>London: Greenwood Press, pp. 51-53.</w:t>
      </w:r>
    </w:p>
    <w:p w14:paraId="26305575" w14:textId="77777777" w:rsidR="0045240C" w:rsidRPr="00B35088" w:rsidRDefault="0045240C" w:rsidP="00A94D4C">
      <w:pPr>
        <w:pStyle w:val="NormalWeb"/>
        <w:spacing w:before="0" w:beforeAutospacing="0" w:after="60" w:afterAutospacing="0"/>
        <w:ind w:left="709" w:hanging="709"/>
        <w:rPr>
          <w:rFonts w:eastAsia="Times"/>
          <w:sz w:val="22"/>
          <w:szCs w:val="22"/>
          <w:lang w:val="en-US"/>
        </w:rPr>
      </w:pPr>
      <w:r w:rsidRPr="00B35088">
        <w:rPr>
          <w:rFonts w:eastAsia="Times"/>
          <w:sz w:val="22"/>
          <w:szCs w:val="22"/>
          <w:lang w:val="en-US"/>
        </w:rPr>
        <w:t xml:space="preserve">Minahan, James (2002). </w:t>
      </w:r>
      <w:r w:rsidRPr="00B35088">
        <w:rPr>
          <w:rFonts w:eastAsia="Times"/>
          <w:i/>
          <w:sz w:val="22"/>
          <w:szCs w:val="22"/>
          <w:lang w:val="en-US"/>
        </w:rPr>
        <w:t xml:space="preserve">Encyclopedia of the Stateless Nations. </w:t>
      </w:r>
      <w:r w:rsidRPr="00B35088">
        <w:rPr>
          <w:rFonts w:eastAsia="Times"/>
          <w:sz w:val="22"/>
          <w:szCs w:val="22"/>
          <w:lang w:val="en-US"/>
        </w:rPr>
        <w:t>Westport, CT: Greenwood Press, pp. 1922-1927.</w:t>
      </w:r>
    </w:p>
    <w:bookmarkEnd w:id="0"/>
    <w:p w14:paraId="274B218D" w14:textId="77777777" w:rsidR="0045240C" w:rsidRPr="00B35088" w:rsidRDefault="0045240C" w:rsidP="00665C4F">
      <w:pPr>
        <w:pStyle w:val="NormalWeb"/>
        <w:spacing w:before="0" w:beforeAutospacing="0" w:after="60" w:afterAutospacing="0"/>
        <w:ind w:left="709" w:hanging="709"/>
        <w:rPr>
          <w:sz w:val="22"/>
          <w:szCs w:val="22"/>
          <w:lang w:val="en-US"/>
        </w:rPr>
      </w:pPr>
      <w:r w:rsidRPr="00B35088">
        <w:rPr>
          <w:rFonts w:eastAsia="Times"/>
          <w:sz w:val="22"/>
          <w:szCs w:val="22"/>
          <w:lang w:val="en-US"/>
        </w:rPr>
        <w:t>Minorities at Risk Project (2009). College Park, MD: University of Maryland</w:t>
      </w:r>
      <w:r w:rsidRPr="00B35088">
        <w:rPr>
          <w:sz w:val="22"/>
          <w:szCs w:val="22"/>
          <w:lang w:val="en-US"/>
        </w:rPr>
        <w:t xml:space="preserve">. </w:t>
      </w:r>
    </w:p>
    <w:p w14:paraId="0852F2F8" w14:textId="77777777" w:rsidR="0045240C" w:rsidRPr="00B35088" w:rsidRDefault="0045240C" w:rsidP="00665C4F">
      <w:pPr>
        <w:widowControl w:val="0"/>
        <w:spacing w:after="60"/>
        <w:ind w:left="709" w:hanging="709"/>
        <w:rPr>
          <w:sz w:val="22"/>
          <w:szCs w:val="22"/>
        </w:rPr>
      </w:pPr>
      <w:r w:rsidRPr="00B35088">
        <w:rPr>
          <w:sz w:val="22"/>
          <w:szCs w:val="22"/>
        </w:rPr>
        <w:t xml:space="preserve">Minority Rights Group International. </w:t>
      </w:r>
      <w:r w:rsidRPr="00B35088">
        <w:rPr>
          <w:i/>
          <w:sz w:val="22"/>
          <w:szCs w:val="22"/>
        </w:rPr>
        <w:t>World Directory of Minorities and Indigenous Groups</w:t>
      </w:r>
      <w:r w:rsidRPr="00B35088">
        <w:rPr>
          <w:sz w:val="22"/>
          <w:szCs w:val="22"/>
        </w:rPr>
        <w:t xml:space="preserve">. </w:t>
      </w:r>
      <w:hyperlink r:id="rId17" w:history="1">
        <w:r w:rsidRPr="00B35088">
          <w:rPr>
            <w:sz w:val="22"/>
            <w:szCs w:val="22"/>
          </w:rPr>
          <w:t>http://minorityrights.org/directory/</w:t>
        </w:r>
      </w:hyperlink>
      <w:r w:rsidRPr="00B35088">
        <w:rPr>
          <w:sz w:val="22"/>
          <w:szCs w:val="22"/>
        </w:rPr>
        <w:t xml:space="preserve"> [November 9, 2021].</w:t>
      </w:r>
    </w:p>
    <w:p w14:paraId="713FD847" w14:textId="77777777" w:rsidR="0045240C" w:rsidRPr="00B35088" w:rsidRDefault="0045240C" w:rsidP="00E2494C">
      <w:pPr>
        <w:spacing w:after="60"/>
        <w:ind w:left="709" w:hanging="709"/>
        <w:rPr>
          <w:sz w:val="22"/>
          <w:szCs w:val="22"/>
        </w:rPr>
      </w:pPr>
      <w:r w:rsidRPr="00B35088">
        <w:rPr>
          <w:sz w:val="22"/>
          <w:szCs w:val="22"/>
          <w:lang w:val="en-US"/>
        </w:rPr>
        <w:t xml:space="preserve">Nils </w:t>
      </w:r>
      <w:proofErr w:type="spellStart"/>
      <w:r w:rsidRPr="00B35088">
        <w:rPr>
          <w:sz w:val="22"/>
          <w:szCs w:val="22"/>
          <w:lang w:val="en-US"/>
        </w:rPr>
        <w:t>Petter</w:t>
      </w:r>
      <w:proofErr w:type="spellEnd"/>
      <w:r w:rsidRPr="00B35088">
        <w:rPr>
          <w:sz w:val="22"/>
          <w:szCs w:val="22"/>
          <w:lang w:val="en-US"/>
        </w:rPr>
        <w:t xml:space="preserve">, Peter </w:t>
      </w:r>
      <w:proofErr w:type="spellStart"/>
      <w:r w:rsidRPr="00B35088">
        <w:rPr>
          <w:sz w:val="22"/>
          <w:szCs w:val="22"/>
          <w:lang w:val="en-US"/>
        </w:rPr>
        <w:t>Wallensteen</w:t>
      </w:r>
      <w:proofErr w:type="spellEnd"/>
      <w:r w:rsidRPr="00B35088">
        <w:rPr>
          <w:sz w:val="22"/>
          <w:szCs w:val="22"/>
          <w:lang w:val="en-US"/>
        </w:rPr>
        <w:t xml:space="preserve">, Mikael Eriksson, Margareta </w:t>
      </w:r>
      <w:proofErr w:type="spellStart"/>
      <w:r w:rsidRPr="00B35088">
        <w:rPr>
          <w:sz w:val="22"/>
          <w:szCs w:val="22"/>
          <w:lang w:val="en-US"/>
        </w:rPr>
        <w:t>Sollenberg</w:t>
      </w:r>
      <w:proofErr w:type="spellEnd"/>
      <w:r w:rsidRPr="00B35088">
        <w:rPr>
          <w:sz w:val="22"/>
          <w:szCs w:val="22"/>
          <w:lang w:val="en-US"/>
        </w:rPr>
        <w:t xml:space="preserve">, and </w:t>
      </w:r>
      <w:proofErr w:type="spellStart"/>
      <w:r w:rsidRPr="00B35088">
        <w:rPr>
          <w:sz w:val="22"/>
          <w:szCs w:val="22"/>
          <w:lang w:val="en-US"/>
        </w:rPr>
        <w:t>Håvard</w:t>
      </w:r>
      <w:proofErr w:type="spellEnd"/>
      <w:r w:rsidRPr="00B35088">
        <w:rPr>
          <w:sz w:val="22"/>
          <w:szCs w:val="22"/>
          <w:lang w:val="en-US"/>
        </w:rPr>
        <w:t xml:space="preserve"> Strand (2002). </w:t>
      </w:r>
      <w:r w:rsidRPr="00B35088">
        <w:rPr>
          <w:sz w:val="22"/>
          <w:szCs w:val="22"/>
        </w:rPr>
        <w:t xml:space="preserve">“Armed Conflict 1946-2001: A New Dataset.” </w:t>
      </w:r>
      <w:r w:rsidRPr="00B35088">
        <w:rPr>
          <w:i/>
          <w:iCs/>
          <w:sz w:val="22"/>
          <w:szCs w:val="22"/>
        </w:rPr>
        <w:t xml:space="preserve">Journal of Peace Research </w:t>
      </w:r>
      <w:r w:rsidRPr="00B35088">
        <w:rPr>
          <w:sz w:val="22"/>
          <w:szCs w:val="22"/>
        </w:rPr>
        <w:t>39(5): 615-637.</w:t>
      </w:r>
    </w:p>
    <w:p w14:paraId="395900DF" w14:textId="77777777" w:rsidR="0045240C" w:rsidRPr="00B35088" w:rsidRDefault="0045240C" w:rsidP="00665C4F">
      <w:pPr>
        <w:spacing w:after="60"/>
        <w:ind w:left="709" w:hanging="709"/>
        <w:rPr>
          <w:sz w:val="22"/>
          <w:szCs w:val="22"/>
        </w:rPr>
      </w:pPr>
      <w:proofErr w:type="spellStart"/>
      <w:r w:rsidRPr="00B35088">
        <w:rPr>
          <w:sz w:val="22"/>
          <w:szCs w:val="22"/>
        </w:rPr>
        <w:t>Petersson</w:t>
      </w:r>
      <w:proofErr w:type="spellEnd"/>
      <w:r w:rsidRPr="00B35088">
        <w:rPr>
          <w:sz w:val="22"/>
          <w:szCs w:val="22"/>
        </w:rPr>
        <w:t xml:space="preserve">, Therese, Shawn Davis, Amber Deniz, </w:t>
      </w:r>
      <w:proofErr w:type="spellStart"/>
      <w:r w:rsidRPr="00B35088">
        <w:rPr>
          <w:sz w:val="22"/>
          <w:szCs w:val="22"/>
        </w:rPr>
        <w:t>Garoun</w:t>
      </w:r>
      <w:proofErr w:type="spellEnd"/>
      <w:r w:rsidRPr="00B35088">
        <w:rPr>
          <w:sz w:val="22"/>
          <w:szCs w:val="22"/>
        </w:rPr>
        <w:t xml:space="preserve"> </w:t>
      </w:r>
      <w:proofErr w:type="spellStart"/>
      <w:r w:rsidRPr="00B35088">
        <w:rPr>
          <w:sz w:val="22"/>
          <w:szCs w:val="22"/>
        </w:rPr>
        <w:t>Engström</w:t>
      </w:r>
      <w:proofErr w:type="spellEnd"/>
      <w:r w:rsidRPr="00B35088">
        <w:rPr>
          <w:sz w:val="22"/>
          <w:szCs w:val="22"/>
        </w:rPr>
        <w:t xml:space="preserve">, Nanar </w:t>
      </w:r>
      <w:proofErr w:type="spellStart"/>
      <w:r w:rsidRPr="00B35088">
        <w:rPr>
          <w:sz w:val="22"/>
          <w:szCs w:val="22"/>
        </w:rPr>
        <w:t>Hawach</w:t>
      </w:r>
      <w:proofErr w:type="spellEnd"/>
      <w:r w:rsidRPr="00B35088">
        <w:rPr>
          <w:sz w:val="22"/>
          <w:szCs w:val="22"/>
        </w:rPr>
        <w:t xml:space="preserve">, </w:t>
      </w:r>
      <w:proofErr w:type="spellStart"/>
      <w:r w:rsidRPr="00B35088">
        <w:rPr>
          <w:sz w:val="22"/>
          <w:szCs w:val="22"/>
        </w:rPr>
        <w:t>Stina</w:t>
      </w:r>
      <w:proofErr w:type="spellEnd"/>
      <w:r w:rsidRPr="00B35088">
        <w:rPr>
          <w:sz w:val="22"/>
          <w:szCs w:val="22"/>
        </w:rPr>
        <w:t xml:space="preserve"> </w:t>
      </w:r>
      <w:proofErr w:type="spellStart"/>
      <w:r w:rsidRPr="00B35088">
        <w:rPr>
          <w:sz w:val="22"/>
          <w:szCs w:val="22"/>
        </w:rPr>
        <w:t>Högbladh</w:t>
      </w:r>
      <w:proofErr w:type="spellEnd"/>
      <w:r w:rsidRPr="00B35088">
        <w:rPr>
          <w:sz w:val="22"/>
          <w:szCs w:val="22"/>
        </w:rPr>
        <w:t xml:space="preserve">, Margareta </w:t>
      </w:r>
      <w:proofErr w:type="spellStart"/>
      <w:r w:rsidRPr="00B35088">
        <w:rPr>
          <w:sz w:val="22"/>
          <w:szCs w:val="22"/>
        </w:rPr>
        <w:t>Sollenberg</w:t>
      </w:r>
      <w:proofErr w:type="spellEnd"/>
      <w:r w:rsidRPr="00B35088">
        <w:rPr>
          <w:sz w:val="22"/>
          <w:szCs w:val="22"/>
        </w:rPr>
        <w:t xml:space="preserve">, and Magnus </w:t>
      </w:r>
      <w:proofErr w:type="spellStart"/>
      <w:r w:rsidRPr="00B35088">
        <w:rPr>
          <w:sz w:val="22"/>
          <w:szCs w:val="22"/>
        </w:rPr>
        <w:t>Öberg</w:t>
      </w:r>
      <w:proofErr w:type="spellEnd"/>
      <w:r w:rsidRPr="00B35088">
        <w:rPr>
          <w:sz w:val="22"/>
          <w:szCs w:val="22"/>
        </w:rPr>
        <w:t xml:space="preserve"> (2021). “Organized Violence 1989-2020, with a Special Emphasis on Syria.” </w:t>
      </w:r>
      <w:r w:rsidRPr="00B35088">
        <w:rPr>
          <w:i/>
          <w:iCs/>
          <w:sz w:val="22"/>
          <w:szCs w:val="22"/>
        </w:rPr>
        <w:t>Journal of Peace Research</w:t>
      </w:r>
      <w:r w:rsidRPr="00B35088">
        <w:rPr>
          <w:sz w:val="22"/>
          <w:szCs w:val="22"/>
        </w:rPr>
        <w:t xml:space="preserve"> 58(4): 809-825.</w:t>
      </w:r>
    </w:p>
    <w:p w14:paraId="26834634" w14:textId="77777777" w:rsidR="0045240C" w:rsidRPr="001E178B" w:rsidRDefault="0045240C" w:rsidP="00665C4F">
      <w:pPr>
        <w:spacing w:after="60"/>
        <w:ind w:left="709" w:hanging="709"/>
        <w:rPr>
          <w:sz w:val="22"/>
          <w:szCs w:val="22"/>
          <w:lang w:val="de-DE"/>
        </w:rPr>
      </w:pPr>
      <w:proofErr w:type="spellStart"/>
      <w:r w:rsidRPr="00B35088">
        <w:rPr>
          <w:color w:val="000000"/>
          <w:sz w:val="22"/>
          <w:szCs w:val="22"/>
        </w:rPr>
        <w:t>Pezard</w:t>
      </w:r>
      <w:proofErr w:type="spellEnd"/>
      <w:r w:rsidRPr="00B35088">
        <w:rPr>
          <w:color w:val="000000"/>
          <w:sz w:val="22"/>
          <w:szCs w:val="22"/>
        </w:rPr>
        <w:t xml:space="preserve">, Stephanie, and Michael </w:t>
      </w:r>
      <w:proofErr w:type="spellStart"/>
      <w:r w:rsidRPr="00B35088">
        <w:rPr>
          <w:color w:val="000000"/>
          <w:sz w:val="22"/>
          <w:szCs w:val="22"/>
        </w:rPr>
        <w:t>Shurkin</w:t>
      </w:r>
      <w:proofErr w:type="spellEnd"/>
      <w:r w:rsidRPr="00B35088">
        <w:rPr>
          <w:color w:val="000000"/>
          <w:sz w:val="22"/>
          <w:szCs w:val="22"/>
        </w:rPr>
        <w:t xml:space="preserve">. “A Brief History of </w:t>
      </w:r>
      <w:proofErr w:type="spellStart"/>
      <w:r w:rsidRPr="00B35088">
        <w:rPr>
          <w:color w:val="000000"/>
          <w:sz w:val="22"/>
          <w:szCs w:val="22"/>
        </w:rPr>
        <w:t>Maliʹs</w:t>
      </w:r>
      <w:proofErr w:type="spellEnd"/>
      <w:r w:rsidRPr="00B35088">
        <w:rPr>
          <w:color w:val="000000"/>
          <w:sz w:val="22"/>
          <w:szCs w:val="22"/>
        </w:rPr>
        <w:t xml:space="preserve"> Rebellions and the Implementation of</w:t>
      </w:r>
      <w:r w:rsidRPr="00B35088">
        <w:rPr>
          <w:sz w:val="22"/>
          <w:szCs w:val="22"/>
        </w:rPr>
        <w:t xml:space="preserve"> </w:t>
      </w:r>
      <w:r w:rsidRPr="00B35088">
        <w:rPr>
          <w:color w:val="000000"/>
          <w:sz w:val="22"/>
          <w:szCs w:val="22"/>
        </w:rPr>
        <w:t>Peace Accords.”</w:t>
      </w:r>
      <w:r w:rsidRPr="00B35088">
        <w:rPr>
          <w:rStyle w:val="apple-converted-space"/>
          <w:color w:val="000000"/>
          <w:sz w:val="22"/>
          <w:szCs w:val="22"/>
        </w:rPr>
        <w:t> </w:t>
      </w:r>
      <w:r w:rsidRPr="00B35088">
        <w:rPr>
          <w:i/>
          <w:iCs/>
          <w:color w:val="000000"/>
          <w:sz w:val="22"/>
          <w:szCs w:val="22"/>
        </w:rPr>
        <w:t>Achieving Peace in Northern Mali: Past Agreements, Local Conflicts, and the Prospects for a Durable Settlement</w:t>
      </w:r>
      <w:r w:rsidRPr="00B35088">
        <w:rPr>
          <w:color w:val="000000"/>
          <w:sz w:val="22"/>
          <w:szCs w:val="22"/>
        </w:rPr>
        <w:t xml:space="preserve">, RAND Corporation, 2015, pp. 5–22, http://www.jstor.org/stable/10.7249/j.ctt15zc57q.9. </w:t>
      </w:r>
      <w:proofErr w:type="spellStart"/>
      <w:r w:rsidRPr="001E178B">
        <w:rPr>
          <w:color w:val="000000"/>
          <w:sz w:val="22"/>
          <w:szCs w:val="22"/>
          <w:lang w:val="de-DE"/>
        </w:rPr>
        <w:t>Accessed</w:t>
      </w:r>
      <w:proofErr w:type="spellEnd"/>
      <w:r w:rsidRPr="001E178B">
        <w:rPr>
          <w:color w:val="000000"/>
          <w:sz w:val="22"/>
          <w:szCs w:val="22"/>
          <w:lang w:val="de-DE"/>
        </w:rPr>
        <w:t xml:space="preserve"> 5 Apr. 2022.</w:t>
      </w:r>
    </w:p>
    <w:p w14:paraId="6B5B4113" w14:textId="231CB28F" w:rsidR="00754B7F" w:rsidRPr="00754B7F" w:rsidRDefault="00754B7F" w:rsidP="00754B7F">
      <w:pPr>
        <w:pStyle w:val="NormalWeb"/>
        <w:spacing w:before="0" w:beforeAutospacing="0" w:after="60" w:afterAutospacing="0"/>
        <w:ind w:left="709" w:hanging="709"/>
        <w:rPr>
          <w:sz w:val="22"/>
          <w:szCs w:val="22"/>
          <w:lang w:val="de-DE"/>
        </w:rPr>
      </w:pPr>
      <w:r w:rsidRPr="00754B7F">
        <w:rPr>
          <w:sz w:val="22"/>
          <w:szCs w:val="22"/>
          <w:lang w:val="de-DE"/>
        </w:rPr>
        <w:t>Richter, Eva Lena (2015). “Die Tuareg - Die Aufstände 1962-1964</w:t>
      </w:r>
      <w:r>
        <w:rPr>
          <w:sz w:val="22"/>
          <w:szCs w:val="22"/>
          <w:lang w:val="de-DE"/>
        </w:rPr>
        <w:t xml:space="preserve">.“ </w:t>
      </w:r>
      <w:hyperlink r:id="rId18" w:history="1">
        <w:r w:rsidRPr="003B1EFE">
          <w:rPr>
            <w:rStyle w:val="Hyperlink"/>
            <w:sz w:val="22"/>
            <w:szCs w:val="22"/>
            <w:lang w:val="de-DE"/>
          </w:rPr>
          <w:t>https://www.afrikanistik-aegyptologie-online.de/archiv/2015/4110/</w:t>
        </w:r>
      </w:hyperlink>
      <w:r>
        <w:rPr>
          <w:sz w:val="22"/>
          <w:szCs w:val="22"/>
          <w:lang w:val="de-DE"/>
        </w:rPr>
        <w:t xml:space="preserve"> [May 8, 2023].</w:t>
      </w:r>
    </w:p>
    <w:p w14:paraId="1528EE8B" w14:textId="436095AF" w:rsidR="0045240C" w:rsidRPr="00B35088" w:rsidRDefault="0045240C" w:rsidP="00665C4F">
      <w:pPr>
        <w:pStyle w:val="NormalWeb"/>
        <w:spacing w:before="0" w:beforeAutospacing="0" w:after="60" w:afterAutospacing="0"/>
        <w:ind w:left="709" w:hanging="709"/>
        <w:jc w:val="both"/>
        <w:rPr>
          <w:sz w:val="22"/>
          <w:szCs w:val="22"/>
          <w:lang w:val="en-US"/>
        </w:rPr>
      </w:pPr>
      <w:r w:rsidRPr="001E178B">
        <w:rPr>
          <w:sz w:val="22"/>
          <w:szCs w:val="22"/>
          <w:lang w:val="en-US"/>
        </w:rPr>
        <w:t xml:space="preserve">Roth, Christopher F. (2015). </w:t>
      </w:r>
      <w:r w:rsidRPr="00B35088">
        <w:rPr>
          <w:i/>
          <w:iCs/>
          <w:sz w:val="22"/>
          <w:szCs w:val="22"/>
          <w:lang w:val="en-US"/>
        </w:rPr>
        <w:t>Let's Split! A Complete Guide to Separatist Movements and Aspirant Nations, from Abkhazia to Zanzibar.</w:t>
      </w:r>
      <w:r w:rsidRPr="00B35088">
        <w:rPr>
          <w:sz w:val="22"/>
          <w:szCs w:val="22"/>
          <w:lang w:val="en-US"/>
        </w:rPr>
        <w:t xml:space="preserve"> Sacramento, CA: Litwin Books.</w:t>
      </w:r>
    </w:p>
    <w:p w14:paraId="5E540011" w14:textId="77777777" w:rsidR="0045240C" w:rsidRPr="00B35088" w:rsidRDefault="0045240C" w:rsidP="00665C4F">
      <w:pPr>
        <w:spacing w:after="60"/>
        <w:ind w:left="709" w:hanging="709"/>
        <w:rPr>
          <w:sz w:val="22"/>
          <w:szCs w:val="22"/>
        </w:rPr>
      </w:pPr>
      <w:proofErr w:type="spellStart"/>
      <w:r w:rsidRPr="00B35088">
        <w:rPr>
          <w:sz w:val="22"/>
          <w:szCs w:val="22"/>
          <w:lang w:val="en-US"/>
        </w:rPr>
        <w:t>Sambanis</w:t>
      </w:r>
      <w:proofErr w:type="spellEnd"/>
      <w:r w:rsidRPr="00B35088">
        <w:rPr>
          <w:sz w:val="22"/>
          <w:szCs w:val="22"/>
          <w:lang w:val="en-US"/>
        </w:rPr>
        <w:t xml:space="preserve">, Nicholas, &amp; </w:t>
      </w:r>
      <w:proofErr w:type="spellStart"/>
      <w:r w:rsidRPr="00B35088">
        <w:rPr>
          <w:sz w:val="22"/>
          <w:szCs w:val="22"/>
          <w:lang w:val="en-US"/>
        </w:rPr>
        <w:t>Schulhofer</w:t>
      </w:r>
      <w:proofErr w:type="spellEnd"/>
      <w:r w:rsidRPr="00B35088">
        <w:rPr>
          <w:sz w:val="22"/>
          <w:szCs w:val="22"/>
          <w:lang w:val="en-US"/>
        </w:rPr>
        <w:t xml:space="preserve">-Wohl, Jonas (2019). </w:t>
      </w:r>
      <w:r w:rsidRPr="00B35088">
        <w:rPr>
          <w:sz w:val="22"/>
          <w:szCs w:val="22"/>
        </w:rPr>
        <w:t xml:space="preserve">“Sovereignty Rupture as a Central Concept in Quantitative Measures of Civil War.” </w:t>
      </w:r>
      <w:r w:rsidRPr="00B35088">
        <w:rPr>
          <w:i/>
          <w:iCs/>
          <w:sz w:val="22"/>
          <w:szCs w:val="22"/>
        </w:rPr>
        <w:t>Journal of Conflict Resolution</w:t>
      </w:r>
      <w:r w:rsidRPr="00B35088">
        <w:rPr>
          <w:sz w:val="22"/>
          <w:szCs w:val="22"/>
        </w:rPr>
        <w:t xml:space="preserve"> 63(6): 1542–1578. </w:t>
      </w:r>
    </w:p>
    <w:p w14:paraId="57938782" w14:textId="77777777" w:rsidR="0045240C" w:rsidRPr="00B35088" w:rsidRDefault="0045240C" w:rsidP="00622E92">
      <w:pPr>
        <w:spacing w:after="60"/>
        <w:ind w:left="709" w:hanging="709"/>
        <w:rPr>
          <w:color w:val="000000"/>
          <w:sz w:val="22"/>
          <w:szCs w:val="22"/>
        </w:rPr>
      </w:pPr>
      <w:r w:rsidRPr="00B35088">
        <w:rPr>
          <w:color w:val="000000"/>
          <w:sz w:val="22"/>
          <w:szCs w:val="22"/>
        </w:rPr>
        <w:t>Seely, Jennifer C. “A Political Analysis of Decentralisation: Coopting the Tuareg Threat in Mali.” </w:t>
      </w:r>
      <w:r w:rsidRPr="00B35088">
        <w:rPr>
          <w:i/>
          <w:iCs/>
          <w:color w:val="000000"/>
          <w:sz w:val="22"/>
          <w:szCs w:val="22"/>
        </w:rPr>
        <w:t>The Journal of Modern African Studies</w:t>
      </w:r>
      <w:r w:rsidRPr="00B35088">
        <w:rPr>
          <w:color w:val="000000"/>
          <w:sz w:val="22"/>
          <w:szCs w:val="22"/>
        </w:rPr>
        <w:t>, vol. 39, no. 3, Cambridge University Press, 2001, pp. 499–524, http://www.jstor.org/stable/3557321.</w:t>
      </w:r>
    </w:p>
    <w:p w14:paraId="51C25F51" w14:textId="77777777" w:rsidR="0045240C" w:rsidRPr="00B35088" w:rsidRDefault="0045240C" w:rsidP="00665C4F">
      <w:pPr>
        <w:widowControl w:val="0"/>
        <w:spacing w:after="60"/>
        <w:ind w:left="709" w:hanging="709"/>
        <w:rPr>
          <w:color w:val="000000"/>
          <w:sz w:val="22"/>
          <w:szCs w:val="22"/>
        </w:rPr>
      </w:pPr>
      <w:r w:rsidRPr="00B35088">
        <w:rPr>
          <w:color w:val="000000"/>
          <w:sz w:val="22"/>
          <w:szCs w:val="22"/>
        </w:rPr>
        <w:t>Starafrica.com. (14</w:t>
      </w:r>
      <w:r w:rsidRPr="00B35088">
        <w:rPr>
          <w:color w:val="000000"/>
          <w:sz w:val="22"/>
          <w:szCs w:val="22"/>
          <w:vertAlign w:val="superscript"/>
        </w:rPr>
        <w:t>th</w:t>
      </w:r>
      <w:r w:rsidRPr="00B35088">
        <w:rPr>
          <w:color w:val="000000"/>
          <w:sz w:val="22"/>
          <w:szCs w:val="22"/>
        </w:rPr>
        <w:t xml:space="preserve"> January 2013). "Tuaregs promise to help defeat Mali rebels". Starafrica.Com. Archived from the original on 8 September 2014. [26</w:t>
      </w:r>
      <w:r w:rsidRPr="00B35088">
        <w:rPr>
          <w:color w:val="000000"/>
          <w:sz w:val="22"/>
          <w:szCs w:val="22"/>
          <w:vertAlign w:val="superscript"/>
        </w:rPr>
        <w:t>th</w:t>
      </w:r>
      <w:r w:rsidRPr="00B35088">
        <w:rPr>
          <w:color w:val="000000"/>
          <w:sz w:val="22"/>
          <w:szCs w:val="22"/>
        </w:rPr>
        <w:t xml:space="preserve"> July 2022]</w:t>
      </w:r>
    </w:p>
    <w:p w14:paraId="28CF7F25" w14:textId="77777777" w:rsidR="0045240C" w:rsidRPr="00B35088" w:rsidRDefault="0045240C" w:rsidP="00665C4F">
      <w:pPr>
        <w:widowControl w:val="0"/>
        <w:spacing w:after="60"/>
        <w:ind w:left="709" w:hanging="709"/>
        <w:rPr>
          <w:color w:val="000000"/>
          <w:sz w:val="22"/>
          <w:szCs w:val="22"/>
        </w:rPr>
      </w:pPr>
      <w:r w:rsidRPr="00B35088">
        <w:rPr>
          <w:color w:val="000000"/>
          <w:sz w:val="22"/>
          <w:szCs w:val="22"/>
        </w:rPr>
        <w:t>Stockholm International Peace Research Institute. (2016). Lessons from Mali’s local elections. https://www. sipri.org/commentary/topical-backgrounder/2016/ lessons-</w:t>
      </w:r>
      <w:proofErr w:type="spellStart"/>
      <w:r w:rsidRPr="00B35088">
        <w:rPr>
          <w:color w:val="000000"/>
          <w:sz w:val="22"/>
          <w:szCs w:val="22"/>
        </w:rPr>
        <w:t>malis</w:t>
      </w:r>
      <w:proofErr w:type="spellEnd"/>
      <w:r w:rsidRPr="00B35088">
        <w:rPr>
          <w:color w:val="000000"/>
          <w:sz w:val="22"/>
          <w:szCs w:val="22"/>
        </w:rPr>
        <w:t>-local-elections [26</w:t>
      </w:r>
      <w:r w:rsidRPr="00B35088">
        <w:rPr>
          <w:color w:val="000000"/>
          <w:sz w:val="22"/>
          <w:szCs w:val="22"/>
          <w:vertAlign w:val="superscript"/>
        </w:rPr>
        <w:t>th</w:t>
      </w:r>
      <w:r w:rsidRPr="00B35088">
        <w:rPr>
          <w:color w:val="000000"/>
          <w:sz w:val="22"/>
          <w:szCs w:val="22"/>
        </w:rPr>
        <w:t xml:space="preserve"> July 2022]</w:t>
      </w:r>
    </w:p>
    <w:p w14:paraId="3B4D6451" w14:textId="77777777" w:rsidR="0045240C" w:rsidRPr="00B35088" w:rsidRDefault="0045240C" w:rsidP="00665C4F">
      <w:pPr>
        <w:widowControl w:val="0"/>
        <w:spacing w:after="60"/>
        <w:ind w:left="709" w:hanging="709"/>
        <w:rPr>
          <w:sz w:val="22"/>
          <w:szCs w:val="22"/>
        </w:rPr>
      </w:pPr>
      <w:r w:rsidRPr="00B35088">
        <w:rPr>
          <w:i/>
          <w:iCs/>
          <w:color w:val="000000"/>
          <w:sz w:val="22"/>
          <w:szCs w:val="22"/>
        </w:rPr>
        <w:t xml:space="preserve">The case of northern </w:t>
      </w:r>
      <w:proofErr w:type="spellStart"/>
      <w:r w:rsidRPr="00B35088">
        <w:rPr>
          <w:i/>
          <w:iCs/>
          <w:color w:val="000000"/>
          <w:sz w:val="22"/>
          <w:szCs w:val="22"/>
        </w:rPr>
        <w:t>mali</w:t>
      </w:r>
      <w:proofErr w:type="spellEnd"/>
      <w:r w:rsidRPr="00B35088">
        <w:rPr>
          <w:i/>
          <w:iCs/>
          <w:color w:val="000000"/>
          <w:sz w:val="22"/>
          <w:szCs w:val="22"/>
        </w:rPr>
        <w:t xml:space="preserve"> - </w:t>
      </w:r>
      <w:proofErr w:type="spellStart"/>
      <w:r w:rsidRPr="00B35088">
        <w:rPr>
          <w:i/>
          <w:iCs/>
          <w:color w:val="000000"/>
          <w:sz w:val="22"/>
          <w:szCs w:val="22"/>
        </w:rPr>
        <w:t>clingendael</w:t>
      </w:r>
      <w:proofErr w:type="spellEnd"/>
      <w:r w:rsidRPr="00B35088">
        <w:rPr>
          <w:i/>
          <w:iCs/>
          <w:color w:val="000000"/>
          <w:sz w:val="22"/>
          <w:szCs w:val="22"/>
        </w:rPr>
        <w:t xml:space="preserve"> institute</w:t>
      </w:r>
      <w:r w:rsidRPr="00B35088">
        <w:rPr>
          <w:color w:val="000000"/>
          <w:sz w:val="22"/>
          <w:szCs w:val="22"/>
        </w:rPr>
        <w:t>. (n.d.). Retrieved January 27, 2022, from https://www.clingendael.org/sites/default/files/2020-06/Policy_Brief_Decentralisation_hybrid_governance_northern_Mali_June_2020.pdf</w:t>
      </w:r>
      <w:r w:rsidRPr="00B35088">
        <w:rPr>
          <w:rStyle w:val="apple-converted-space"/>
          <w:color w:val="000000"/>
          <w:sz w:val="22"/>
          <w:szCs w:val="22"/>
        </w:rPr>
        <w:t> </w:t>
      </w:r>
    </w:p>
    <w:p w14:paraId="230E41E8" w14:textId="77777777" w:rsidR="0045240C" w:rsidRPr="00B35088" w:rsidRDefault="0045240C" w:rsidP="00665C4F">
      <w:pPr>
        <w:spacing w:after="60"/>
        <w:ind w:left="709" w:hanging="709"/>
        <w:rPr>
          <w:sz w:val="22"/>
          <w:szCs w:val="22"/>
        </w:rPr>
      </w:pPr>
      <w:r w:rsidRPr="00B35088">
        <w:rPr>
          <w:sz w:val="22"/>
          <w:szCs w:val="22"/>
        </w:rPr>
        <w:t xml:space="preserve">Uppsala Conflict Data Program (UCDP). </w:t>
      </w:r>
      <w:r w:rsidRPr="00B35088">
        <w:rPr>
          <w:i/>
          <w:sz w:val="22"/>
          <w:szCs w:val="22"/>
        </w:rPr>
        <w:t xml:space="preserve">Conflict Encyclopedia. </w:t>
      </w:r>
      <w:r w:rsidRPr="00B35088">
        <w:rPr>
          <w:sz w:val="22"/>
          <w:szCs w:val="22"/>
        </w:rPr>
        <w:t>https://ucdp.uu.se/?id=1&amp;id=1 [November 9, 2021].</w:t>
      </w:r>
    </w:p>
    <w:p w14:paraId="750329E2" w14:textId="77777777" w:rsidR="0045240C" w:rsidRPr="00B35088" w:rsidRDefault="0045240C" w:rsidP="00B35088">
      <w:pPr>
        <w:spacing w:after="60"/>
        <w:ind w:left="709" w:hanging="709"/>
        <w:rPr>
          <w:sz w:val="22"/>
          <w:szCs w:val="22"/>
        </w:rPr>
      </w:pPr>
      <w:r w:rsidRPr="00B35088">
        <w:rPr>
          <w:sz w:val="22"/>
          <w:szCs w:val="22"/>
        </w:rPr>
        <w:t xml:space="preserve">Uppsala Conflict Data Program (UCDP). Mali: Azawad. </w:t>
      </w:r>
      <w:hyperlink r:id="rId19" w:history="1">
        <w:r w:rsidRPr="00B35088">
          <w:rPr>
            <w:rStyle w:val="Hyperlink"/>
            <w:sz w:val="22"/>
            <w:szCs w:val="22"/>
          </w:rPr>
          <w:t>https://ucdp.uu.se/conflict/372</w:t>
        </w:r>
      </w:hyperlink>
      <w:r w:rsidRPr="00B35088">
        <w:rPr>
          <w:rStyle w:val="cf01"/>
          <w:rFonts w:ascii="Times New Roman" w:hAnsi="Times New Roman" w:cs="Times New Roman"/>
          <w:sz w:val="22"/>
          <w:szCs w:val="22"/>
        </w:rPr>
        <w:t xml:space="preserve"> [26th July 2022]</w:t>
      </w:r>
    </w:p>
    <w:p w14:paraId="156AC3AE" w14:textId="77777777" w:rsidR="0045240C" w:rsidRPr="00B35088" w:rsidRDefault="0045240C" w:rsidP="00B35088">
      <w:pPr>
        <w:spacing w:after="60"/>
        <w:ind w:left="709" w:hanging="709"/>
        <w:rPr>
          <w:sz w:val="22"/>
          <w:szCs w:val="22"/>
        </w:rPr>
      </w:pPr>
      <w:r w:rsidRPr="00B35088">
        <w:rPr>
          <w:sz w:val="22"/>
          <w:szCs w:val="22"/>
        </w:rPr>
        <w:t>US State Department. (2006– 2017). Country Report: Mali.: http: //www.state.gov/j/drl/rls/hrrpt/2012humanrightsreport/ index.htm [26</w:t>
      </w:r>
      <w:r w:rsidRPr="00B35088">
        <w:rPr>
          <w:sz w:val="22"/>
          <w:szCs w:val="22"/>
          <w:vertAlign w:val="superscript"/>
        </w:rPr>
        <w:t>th</w:t>
      </w:r>
      <w:r w:rsidRPr="00B35088">
        <w:rPr>
          <w:sz w:val="22"/>
          <w:szCs w:val="22"/>
        </w:rPr>
        <w:t xml:space="preserve"> July 2022]</w:t>
      </w:r>
    </w:p>
    <w:p w14:paraId="3BE1B85D" w14:textId="77777777" w:rsidR="0045240C" w:rsidRPr="00665C4F" w:rsidRDefault="0045240C" w:rsidP="00FB5D70">
      <w:pPr>
        <w:widowControl w:val="0"/>
        <w:spacing w:after="60"/>
        <w:ind w:left="709" w:hanging="709"/>
        <w:rPr>
          <w:sz w:val="22"/>
          <w:szCs w:val="22"/>
        </w:rPr>
      </w:pPr>
      <w:r w:rsidRPr="00B35088">
        <w:rPr>
          <w:sz w:val="22"/>
          <w:szCs w:val="22"/>
        </w:rPr>
        <w:t xml:space="preserve">Vogt, Manuel, Nils-Christian Bormann, Seraina Rüegger, Lars-Erik </w:t>
      </w:r>
      <w:proofErr w:type="spellStart"/>
      <w:r w:rsidRPr="00B35088">
        <w:rPr>
          <w:sz w:val="22"/>
          <w:szCs w:val="22"/>
        </w:rPr>
        <w:t>Cederman</w:t>
      </w:r>
      <w:proofErr w:type="spellEnd"/>
      <w:r w:rsidRPr="00B35088">
        <w:rPr>
          <w:sz w:val="22"/>
          <w:szCs w:val="22"/>
        </w:rPr>
        <w:t xml:space="preserve">, Philipp </w:t>
      </w:r>
      <w:proofErr w:type="spellStart"/>
      <w:r w:rsidRPr="00B35088">
        <w:rPr>
          <w:sz w:val="22"/>
          <w:szCs w:val="22"/>
        </w:rPr>
        <w:t>Hunziker</w:t>
      </w:r>
      <w:proofErr w:type="spellEnd"/>
      <w:r w:rsidRPr="00B35088">
        <w:rPr>
          <w:sz w:val="22"/>
          <w:szCs w:val="22"/>
        </w:rPr>
        <w:t xml:space="preserve">, and Luc Girardin (2015). “Integrating Data on Ethnicity, Geography, and Conflict: The Ethnic Power Relations Data Set Family.” </w:t>
      </w:r>
      <w:r w:rsidRPr="00B35088">
        <w:rPr>
          <w:i/>
          <w:iCs/>
          <w:sz w:val="22"/>
          <w:szCs w:val="22"/>
        </w:rPr>
        <w:t>Journal of Conflict Resolution</w:t>
      </w:r>
      <w:r w:rsidRPr="00B35088">
        <w:rPr>
          <w:sz w:val="22"/>
          <w:szCs w:val="22"/>
        </w:rPr>
        <w:t xml:space="preserve"> 59(7): 1327-1342.</w:t>
      </w:r>
    </w:p>
    <w:sectPr w:rsidR="0045240C" w:rsidRPr="00665C4F" w:rsidSect="00377142">
      <w:footerReference w:type="default" r:id="rId20"/>
      <w:headerReference w:type="first" r:id="rId21"/>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586E3" w14:textId="77777777" w:rsidR="00666465" w:rsidRDefault="00666465" w:rsidP="00A76598">
      <w:r>
        <w:separator/>
      </w:r>
    </w:p>
  </w:endnote>
  <w:endnote w:type="continuationSeparator" w:id="0">
    <w:p w14:paraId="58FC2F65" w14:textId="77777777" w:rsidR="00666465" w:rsidRDefault="00666465"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9DF72" w14:textId="77777777" w:rsidR="00666465" w:rsidRPr="00ED0D02" w:rsidRDefault="00666465" w:rsidP="00ED0D02">
      <w:pPr>
        <w:pStyle w:val="Footer"/>
      </w:pPr>
      <w:r>
        <w:separator/>
      </w:r>
    </w:p>
  </w:footnote>
  <w:footnote w:type="continuationSeparator" w:id="0">
    <w:p w14:paraId="10870733" w14:textId="77777777" w:rsidR="00666465" w:rsidRDefault="00666465"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0519"/>
    <w:multiLevelType w:val="hybridMultilevel"/>
    <w:tmpl w:val="9AC02796"/>
    <w:lvl w:ilvl="0" w:tplc="D81651F6">
      <w:start w:val="2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8044F8"/>
    <w:multiLevelType w:val="hybridMultilevel"/>
    <w:tmpl w:val="214CDDCA"/>
    <w:lvl w:ilvl="0" w:tplc="0A363BF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76B49"/>
    <w:multiLevelType w:val="hybridMultilevel"/>
    <w:tmpl w:val="8828096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791A80"/>
    <w:multiLevelType w:val="hybridMultilevel"/>
    <w:tmpl w:val="BB82F326"/>
    <w:lvl w:ilvl="0" w:tplc="647E903C">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7" w15:restartNumberingAfterBreak="0">
    <w:nsid w:val="715B0A47"/>
    <w:multiLevelType w:val="multilevel"/>
    <w:tmpl w:val="100038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19462286">
    <w:abstractNumId w:val="6"/>
  </w:num>
  <w:num w:numId="2" w16cid:durableId="2003118930">
    <w:abstractNumId w:val="5"/>
  </w:num>
  <w:num w:numId="3" w16cid:durableId="1152720544">
    <w:abstractNumId w:val="4"/>
  </w:num>
  <w:num w:numId="4" w16cid:durableId="241569727">
    <w:abstractNumId w:val="1"/>
  </w:num>
  <w:num w:numId="5" w16cid:durableId="46610277">
    <w:abstractNumId w:val="3"/>
  </w:num>
  <w:num w:numId="6" w16cid:durableId="793865599">
    <w:abstractNumId w:val="0"/>
  </w:num>
  <w:num w:numId="7" w16cid:durableId="1513296613">
    <w:abstractNumId w:val="2"/>
  </w:num>
  <w:num w:numId="8" w16cid:durableId="1655060673">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A0"/>
    <w:rsid w:val="000020C0"/>
    <w:rsid w:val="00003BAD"/>
    <w:rsid w:val="00004572"/>
    <w:rsid w:val="00004E48"/>
    <w:rsid w:val="000068E3"/>
    <w:rsid w:val="000069D2"/>
    <w:rsid w:val="000079C9"/>
    <w:rsid w:val="00007C2F"/>
    <w:rsid w:val="000101F9"/>
    <w:rsid w:val="00010D2A"/>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754"/>
    <w:rsid w:val="00034F16"/>
    <w:rsid w:val="00036A9F"/>
    <w:rsid w:val="00037191"/>
    <w:rsid w:val="000373F7"/>
    <w:rsid w:val="000375E0"/>
    <w:rsid w:val="0003784F"/>
    <w:rsid w:val="00037CDE"/>
    <w:rsid w:val="0004031D"/>
    <w:rsid w:val="00040BCA"/>
    <w:rsid w:val="00041168"/>
    <w:rsid w:val="00042720"/>
    <w:rsid w:val="00043E7A"/>
    <w:rsid w:val="00043EC6"/>
    <w:rsid w:val="000448D2"/>
    <w:rsid w:val="000452E9"/>
    <w:rsid w:val="00045B63"/>
    <w:rsid w:val="00045C26"/>
    <w:rsid w:val="00046B07"/>
    <w:rsid w:val="00046BDD"/>
    <w:rsid w:val="0004727B"/>
    <w:rsid w:val="0004756E"/>
    <w:rsid w:val="00047AF5"/>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AC5"/>
    <w:rsid w:val="00060F88"/>
    <w:rsid w:val="0006111B"/>
    <w:rsid w:val="000615F4"/>
    <w:rsid w:val="00061AE1"/>
    <w:rsid w:val="00061BEA"/>
    <w:rsid w:val="00061D17"/>
    <w:rsid w:val="00061F14"/>
    <w:rsid w:val="0006244A"/>
    <w:rsid w:val="00062DCE"/>
    <w:rsid w:val="0006328A"/>
    <w:rsid w:val="000639F3"/>
    <w:rsid w:val="00063E41"/>
    <w:rsid w:val="000640F6"/>
    <w:rsid w:val="0006410A"/>
    <w:rsid w:val="000642B9"/>
    <w:rsid w:val="0006469D"/>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0A6A"/>
    <w:rsid w:val="00081EF6"/>
    <w:rsid w:val="0008222E"/>
    <w:rsid w:val="000838C5"/>
    <w:rsid w:val="00084D1E"/>
    <w:rsid w:val="0008568F"/>
    <w:rsid w:val="00085A60"/>
    <w:rsid w:val="00086890"/>
    <w:rsid w:val="00086EEF"/>
    <w:rsid w:val="00086FD2"/>
    <w:rsid w:val="0008747A"/>
    <w:rsid w:val="00087CFD"/>
    <w:rsid w:val="00090717"/>
    <w:rsid w:val="00090AF7"/>
    <w:rsid w:val="00090B0D"/>
    <w:rsid w:val="00091535"/>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687"/>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697"/>
    <w:rsid w:val="000C1745"/>
    <w:rsid w:val="000C270A"/>
    <w:rsid w:val="000C37D1"/>
    <w:rsid w:val="000C3A43"/>
    <w:rsid w:val="000C4020"/>
    <w:rsid w:val="000C4125"/>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1A1"/>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1B72"/>
    <w:rsid w:val="00132834"/>
    <w:rsid w:val="001334D3"/>
    <w:rsid w:val="001338B9"/>
    <w:rsid w:val="00133FFA"/>
    <w:rsid w:val="00134307"/>
    <w:rsid w:val="0013498D"/>
    <w:rsid w:val="00135160"/>
    <w:rsid w:val="0013580E"/>
    <w:rsid w:val="001360D2"/>
    <w:rsid w:val="00136184"/>
    <w:rsid w:val="00137083"/>
    <w:rsid w:val="00137126"/>
    <w:rsid w:val="0013735A"/>
    <w:rsid w:val="00137610"/>
    <w:rsid w:val="0013775B"/>
    <w:rsid w:val="00140038"/>
    <w:rsid w:val="0014179D"/>
    <w:rsid w:val="001419ED"/>
    <w:rsid w:val="00141EB9"/>
    <w:rsid w:val="0014200F"/>
    <w:rsid w:val="001425BB"/>
    <w:rsid w:val="00144214"/>
    <w:rsid w:val="00146259"/>
    <w:rsid w:val="00146683"/>
    <w:rsid w:val="00146903"/>
    <w:rsid w:val="00146FDD"/>
    <w:rsid w:val="0014735D"/>
    <w:rsid w:val="00147C83"/>
    <w:rsid w:val="00150009"/>
    <w:rsid w:val="00151A14"/>
    <w:rsid w:val="001530B0"/>
    <w:rsid w:val="00153CD5"/>
    <w:rsid w:val="001543F9"/>
    <w:rsid w:val="0015497E"/>
    <w:rsid w:val="00156553"/>
    <w:rsid w:val="00156BA9"/>
    <w:rsid w:val="001578FE"/>
    <w:rsid w:val="00157EEA"/>
    <w:rsid w:val="001601D9"/>
    <w:rsid w:val="00160608"/>
    <w:rsid w:val="00160618"/>
    <w:rsid w:val="001613CF"/>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5298"/>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54BF"/>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517"/>
    <w:rsid w:val="001E178B"/>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801"/>
    <w:rsid w:val="001F6D6A"/>
    <w:rsid w:val="001F710A"/>
    <w:rsid w:val="001F7A7E"/>
    <w:rsid w:val="001F7CEA"/>
    <w:rsid w:val="001F7FD2"/>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06E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5777F"/>
    <w:rsid w:val="00257DFC"/>
    <w:rsid w:val="00262985"/>
    <w:rsid w:val="002638BE"/>
    <w:rsid w:val="002639E3"/>
    <w:rsid w:val="00263C3D"/>
    <w:rsid w:val="00263F17"/>
    <w:rsid w:val="002645B3"/>
    <w:rsid w:val="00264C10"/>
    <w:rsid w:val="00264FE4"/>
    <w:rsid w:val="00265398"/>
    <w:rsid w:val="002653BA"/>
    <w:rsid w:val="00265EAD"/>
    <w:rsid w:val="00267A69"/>
    <w:rsid w:val="00270A40"/>
    <w:rsid w:val="00270D02"/>
    <w:rsid w:val="00270E4C"/>
    <w:rsid w:val="002712CA"/>
    <w:rsid w:val="002716D0"/>
    <w:rsid w:val="00272612"/>
    <w:rsid w:val="002739B7"/>
    <w:rsid w:val="00274787"/>
    <w:rsid w:val="00274A07"/>
    <w:rsid w:val="0027573F"/>
    <w:rsid w:val="00275873"/>
    <w:rsid w:val="00275F28"/>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6122"/>
    <w:rsid w:val="002970BB"/>
    <w:rsid w:val="00297EC8"/>
    <w:rsid w:val="002A0CEC"/>
    <w:rsid w:val="002A116E"/>
    <w:rsid w:val="002A1666"/>
    <w:rsid w:val="002A2152"/>
    <w:rsid w:val="002A22AA"/>
    <w:rsid w:val="002A27DF"/>
    <w:rsid w:val="002A29BB"/>
    <w:rsid w:val="002A29F4"/>
    <w:rsid w:val="002A2DED"/>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231"/>
    <w:rsid w:val="002B5565"/>
    <w:rsid w:val="002B6E7A"/>
    <w:rsid w:val="002B7825"/>
    <w:rsid w:val="002C043C"/>
    <w:rsid w:val="002C0601"/>
    <w:rsid w:val="002C09DB"/>
    <w:rsid w:val="002C1614"/>
    <w:rsid w:val="002C1A12"/>
    <w:rsid w:val="002C1BA8"/>
    <w:rsid w:val="002C30B5"/>
    <w:rsid w:val="002C32F4"/>
    <w:rsid w:val="002C35F8"/>
    <w:rsid w:val="002C360C"/>
    <w:rsid w:val="002C3D0E"/>
    <w:rsid w:val="002C3D31"/>
    <w:rsid w:val="002C3FE2"/>
    <w:rsid w:val="002C4B5B"/>
    <w:rsid w:val="002C4CC2"/>
    <w:rsid w:val="002C4E8D"/>
    <w:rsid w:val="002C4FEB"/>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244D"/>
    <w:rsid w:val="002E43F1"/>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4493"/>
    <w:rsid w:val="003058D8"/>
    <w:rsid w:val="003061CF"/>
    <w:rsid w:val="00306D31"/>
    <w:rsid w:val="003073AE"/>
    <w:rsid w:val="00307B87"/>
    <w:rsid w:val="00307BAE"/>
    <w:rsid w:val="00307EC2"/>
    <w:rsid w:val="00311A15"/>
    <w:rsid w:val="00311C43"/>
    <w:rsid w:val="003120A9"/>
    <w:rsid w:val="0031212A"/>
    <w:rsid w:val="003125DE"/>
    <w:rsid w:val="00312A11"/>
    <w:rsid w:val="0031313D"/>
    <w:rsid w:val="00313352"/>
    <w:rsid w:val="00313995"/>
    <w:rsid w:val="00313EED"/>
    <w:rsid w:val="0031571C"/>
    <w:rsid w:val="00316651"/>
    <w:rsid w:val="0031696B"/>
    <w:rsid w:val="00316982"/>
    <w:rsid w:val="00316AB6"/>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4C5C"/>
    <w:rsid w:val="003570C3"/>
    <w:rsid w:val="003600A6"/>
    <w:rsid w:val="00360469"/>
    <w:rsid w:val="00360708"/>
    <w:rsid w:val="00360807"/>
    <w:rsid w:val="003613FA"/>
    <w:rsid w:val="003618F6"/>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823"/>
    <w:rsid w:val="00372E0E"/>
    <w:rsid w:val="003735A2"/>
    <w:rsid w:val="00373EA0"/>
    <w:rsid w:val="00373EEB"/>
    <w:rsid w:val="00374BEB"/>
    <w:rsid w:val="00375A78"/>
    <w:rsid w:val="00375F9E"/>
    <w:rsid w:val="00376ABD"/>
    <w:rsid w:val="00376B0C"/>
    <w:rsid w:val="00376E17"/>
    <w:rsid w:val="00377142"/>
    <w:rsid w:val="00377418"/>
    <w:rsid w:val="003777D3"/>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0E4"/>
    <w:rsid w:val="003A582D"/>
    <w:rsid w:val="003A5C8D"/>
    <w:rsid w:val="003A5E8E"/>
    <w:rsid w:val="003A66DA"/>
    <w:rsid w:val="003A71CD"/>
    <w:rsid w:val="003A7371"/>
    <w:rsid w:val="003A7FFC"/>
    <w:rsid w:val="003B022E"/>
    <w:rsid w:val="003B02F4"/>
    <w:rsid w:val="003B05B9"/>
    <w:rsid w:val="003B2266"/>
    <w:rsid w:val="003B3618"/>
    <w:rsid w:val="003B3685"/>
    <w:rsid w:val="003B5B30"/>
    <w:rsid w:val="003B61B1"/>
    <w:rsid w:val="003B64A9"/>
    <w:rsid w:val="003B6A3F"/>
    <w:rsid w:val="003B6DA1"/>
    <w:rsid w:val="003B6F25"/>
    <w:rsid w:val="003B740F"/>
    <w:rsid w:val="003B774E"/>
    <w:rsid w:val="003B7B0A"/>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2842"/>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628"/>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B8"/>
    <w:rsid w:val="004305E2"/>
    <w:rsid w:val="00430EFD"/>
    <w:rsid w:val="00432730"/>
    <w:rsid w:val="00432E20"/>
    <w:rsid w:val="0043329B"/>
    <w:rsid w:val="00433CFA"/>
    <w:rsid w:val="00433F30"/>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40C"/>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67743"/>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5C4"/>
    <w:rsid w:val="00480996"/>
    <w:rsid w:val="00480CDA"/>
    <w:rsid w:val="00481B0E"/>
    <w:rsid w:val="00481EC9"/>
    <w:rsid w:val="004824F8"/>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04E"/>
    <w:rsid w:val="004C2C51"/>
    <w:rsid w:val="004C3255"/>
    <w:rsid w:val="004C3762"/>
    <w:rsid w:val="004C3E41"/>
    <w:rsid w:val="004C454D"/>
    <w:rsid w:val="004C4A7C"/>
    <w:rsid w:val="004C4B7D"/>
    <w:rsid w:val="004C4F79"/>
    <w:rsid w:val="004C50CB"/>
    <w:rsid w:val="004C5569"/>
    <w:rsid w:val="004C5766"/>
    <w:rsid w:val="004C58A9"/>
    <w:rsid w:val="004C5D46"/>
    <w:rsid w:val="004C60FC"/>
    <w:rsid w:val="004C6542"/>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165"/>
    <w:rsid w:val="005069E3"/>
    <w:rsid w:val="00507150"/>
    <w:rsid w:val="0050718B"/>
    <w:rsid w:val="005071B0"/>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2C4"/>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5A6E"/>
    <w:rsid w:val="00536A78"/>
    <w:rsid w:val="00536D2F"/>
    <w:rsid w:val="00537265"/>
    <w:rsid w:val="00537E55"/>
    <w:rsid w:val="00540127"/>
    <w:rsid w:val="00540D8B"/>
    <w:rsid w:val="0054262D"/>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0B71"/>
    <w:rsid w:val="005818D7"/>
    <w:rsid w:val="00582DC8"/>
    <w:rsid w:val="00583177"/>
    <w:rsid w:val="0058444B"/>
    <w:rsid w:val="005846A8"/>
    <w:rsid w:val="00584C70"/>
    <w:rsid w:val="00584D9E"/>
    <w:rsid w:val="00586660"/>
    <w:rsid w:val="00586A97"/>
    <w:rsid w:val="00586C52"/>
    <w:rsid w:val="00587718"/>
    <w:rsid w:val="005879CE"/>
    <w:rsid w:val="00590D42"/>
    <w:rsid w:val="0059155C"/>
    <w:rsid w:val="00591610"/>
    <w:rsid w:val="0059183C"/>
    <w:rsid w:val="00591D8E"/>
    <w:rsid w:val="0059271E"/>
    <w:rsid w:val="00593635"/>
    <w:rsid w:val="00594D65"/>
    <w:rsid w:val="00595048"/>
    <w:rsid w:val="00595194"/>
    <w:rsid w:val="00595B2E"/>
    <w:rsid w:val="00596148"/>
    <w:rsid w:val="00596DE5"/>
    <w:rsid w:val="00597772"/>
    <w:rsid w:val="00597B33"/>
    <w:rsid w:val="005A02F8"/>
    <w:rsid w:val="005A06A1"/>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0AB"/>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4BC"/>
    <w:rsid w:val="005D7B1D"/>
    <w:rsid w:val="005D7FAC"/>
    <w:rsid w:val="005E0A34"/>
    <w:rsid w:val="005E1BC2"/>
    <w:rsid w:val="005E2913"/>
    <w:rsid w:val="005E2DED"/>
    <w:rsid w:val="005E2EF6"/>
    <w:rsid w:val="005E331F"/>
    <w:rsid w:val="005E36B4"/>
    <w:rsid w:val="005E3DD7"/>
    <w:rsid w:val="005E409A"/>
    <w:rsid w:val="005E45C7"/>
    <w:rsid w:val="005E4AC1"/>
    <w:rsid w:val="005E551A"/>
    <w:rsid w:val="005E5CF7"/>
    <w:rsid w:val="005E7147"/>
    <w:rsid w:val="005E7552"/>
    <w:rsid w:val="005E7650"/>
    <w:rsid w:val="005F0A7B"/>
    <w:rsid w:val="005F0FBE"/>
    <w:rsid w:val="005F308C"/>
    <w:rsid w:val="005F353D"/>
    <w:rsid w:val="005F3D11"/>
    <w:rsid w:val="005F54F6"/>
    <w:rsid w:val="005F596F"/>
    <w:rsid w:val="005F5CAE"/>
    <w:rsid w:val="00600CD6"/>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1D4"/>
    <w:rsid w:val="00614471"/>
    <w:rsid w:val="0061449B"/>
    <w:rsid w:val="00614E82"/>
    <w:rsid w:val="0061599D"/>
    <w:rsid w:val="0061624C"/>
    <w:rsid w:val="00617BB0"/>
    <w:rsid w:val="006203DB"/>
    <w:rsid w:val="00620A0A"/>
    <w:rsid w:val="00620F21"/>
    <w:rsid w:val="006216D9"/>
    <w:rsid w:val="00621B04"/>
    <w:rsid w:val="00622E92"/>
    <w:rsid w:val="00622FB9"/>
    <w:rsid w:val="00624114"/>
    <w:rsid w:val="00626250"/>
    <w:rsid w:val="00626EB9"/>
    <w:rsid w:val="00626EDB"/>
    <w:rsid w:val="0062792C"/>
    <w:rsid w:val="00627FB9"/>
    <w:rsid w:val="006332F8"/>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323E"/>
    <w:rsid w:val="00654EAB"/>
    <w:rsid w:val="00655AB3"/>
    <w:rsid w:val="00655BAC"/>
    <w:rsid w:val="00657926"/>
    <w:rsid w:val="00657D87"/>
    <w:rsid w:val="00661DEA"/>
    <w:rsid w:val="0066280A"/>
    <w:rsid w:val="00662BA2"/>
    <w:rsid w:val="00663093"/>
    <w:rsid w:val="006636C9"/>
    <w:rsid w:val="006637A3"/>
    <w:rsid w:val="00664856"/>
    <w:rsid w:val="00664FAF"/>
    <w:rsid w:val="00665C4F"/>
    <w:rsid w:val="00666465"/>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54D6"/>
    <w:rsid w:val="006860F2"/>
    <w:rsid w:val="00686432"/>
    <w:rsid w:val="00687A5A"/>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349"/>
    <w:rsid w:val="006B2CB9"/>
    <w:rsid w:val="006B3044"/>
    <w:rsid w:val="006B3159"/>
    <w:rsid w:val="006B3388"/>
    <w:rsid w:val="006B4E4B"/>
    <w:rsid w:val="006B4F43"/>
    <w:rsid w:val="006B630B"/>
    <w:rsid w:val="006B66F5"/>
    <w:rsid w:val="006B6C18"/>
    <w:rsid w:val="006B6E56"/>
    <w:rsid w:val="006B71FA"/>
    <w:rsid w:val="006B72DC"/>
    <w:rsid w:val="006C009A"/>
    <w:rsid w:val="006C036D"/>
    <w:rsid w:val="006C11E0"/>
    <w:rsid w:val="006C1383"/>
    <w:rsid w:val="006C1D4E"/>
    <w:rsid w:val="006C3962"/>
    <w:rsid w:val="006C4894"/>
    <w:rsid w:val="006C4931"/>
    <w:rsid w:val="006C56BA"/>
    <w:rsid w:val="006C66D8"/>
    <w:rsid w:val="006C6BC7"/>
    <w:rsid w:val="006C720E"/>
    <w:rsid w:val="006C7FBA"/>
    <w:rsid w:val="006D016C"/>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063"/>
    <w:rsid w:val="006E1496"/>
    <w:rsid w:val="006E1D2D"/>
    <w:rsid w:val="006E20C7"/>
    <w:rsid w:val="006E23CD"/>
    <w:rsid w:val="006E251A"/>
    <w:rsid w:val="006E26B6"/>
    <w:rsid w:val="006E30D1"/>
    <w:rsid w:val="006E3F98"/>
    <w:rsid w:val="006E4F91"/>
    <w:rsid w:val="006E5CA1"/>
    <w:rsid w:val="006E5CBD"/>
    <w:rsid w:val="006E62DC"/>
    <w:rsid w:val="006E6785"/>
    <w:rsid w:val="006E6D0A"/>
    <w:rsid w:val="006E76C7"/>
    <w:rsid w:val="006E7B2F"/>
    <w:rsid w:val="006E7C82"/>
    <w:rsid w:val="006F03AC"/>
    <w:rsid w:val="006F0B17"/>
    <w:rsid w:val="006F0CD6"/>
    <w:rsid w:val="006F0EA6"/>
    <w:rsid w:val="006F1808"/>
    <w:rsid w:val="006F2A61"/>
    <w:rsid w:val="006F2B92"/>
    <w:rsid w:val="006F2BBE"/>
    <w:rsid w:val="006F3489"/>
    <w:rsid w:val="006F34EC"/>
    <w:rsid w:val="006F43F4"/>
    <w:rsid w:val="006F446F"/>
    <w:rsid w:val="006F45A7"/>
    <w:rsid w:val="006F4D85"/>
    <w:rsid w:val="006F4F8F"/>
    <w:rsid w:val="006F50EC"/>
    <w:rsid w:val="006F5AD9"/>
    <w:rsid w:val="006F5FA6"/>
    <w:rsid w:val="006F5FD9"/>
    <w:rsid w:val="006F6175"/>
    <w:rsid w:val="006F6210"/>
    <w:rsid w:val="006F657B"/>
    <w:rsid w:val="006F6731"/>
    <w:rsid w:val="006F6E11"/>
    <w:rsid w:val="006F7202"/>
    <w:rsid w:val="006F75FF"/>
    <w:rsid w:val="006F7A93"/>
    <w:rsid w:val="006F7F8B"/>
    <w:rsid w:val="00700157"/>
    <w:rsid w:val="00702B31"/>
    <w:rsid w:val="00703381"/>
    <w:rsid w:val="00703D84"/>
    <w:rsid w:val="007041DB"/>
    <w:rsid w:val="00704BA8"/>
    <w:rsid w:val="007051C1"/>
    <w:rsid w:val="0070552C"/>
    <w:rsid w:val="00705B0C"/>
    <w:rsid w:val="007065EE"/>
    <w:rsid w:val="0070670F"/>
    <w:rsid w:val="00706A96"/>
    <w:rsid w:val="00706BDA"/>
    <w:rsid w:val="0070786B"/>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2F61"/>
    <w:rsid w:val="0073502A"/>
    <w:rsid w:val="0073534F"/>
    <w:rsid w:val="00735B14"/>
    <w:rsid w:val="00736060"/>
    <w:rsid w:val="0073767C"/>
    <w:rsid w:val="00737AF4"/>
    <w:rsid w:val="00737DAE"/>
    <w:rsid w:val="00737F93"/>
    <w:rsid w:val="00740E47"/>
    <w:rsid w:val="00741CAD"/>
    <w:rsid w:val="00741FA4"/>
    <w:rsid w:val="00743038"/>
    <w:rsid w:val="0074405D"/>
    <w:rsid w:val="0074422C"/>
    <w:rsid w:val="00744A6C"/>
    <w:rsid w:val="0074505B"/>
    <w:rsid w:val="007451A3"/>
    <w:rsid w:val="00745249"/>
    <w:rsid w:val="00745C63"/>
    <w:rsid w:val="007468FB"/>
    <w:rsid w:val="00746ABE"/>
    <w:rsid w:val="0074757E"/>
    <w:rsid w:val="00747893"/>
    <w:rsid w:val="007500A3"/>
    <w:rsid w:val="007500EA"/>
    <w:rsid w:val="007509A3"/>
    <w:rsid w:val="007515FE"/>
    <w:rsid w:val="00751B79"/>
    <w:rsid w:val="00752E6D"/>
    <w:rsid w:val="007531B9"/>
    <w:rsid w:val="0075392C"/>
    <w:rsid w:val="007544F2"/>
    <w:rsid w:val="00754B7F"/>
    <w:rsid w:val="007552AA"/>
    <w:rsid w:val="007553EA"/>
    <w:rsid w:val="0075621D"/>
    <w:rsid w:val="00757042"/>
    <w:rsid w:val="007575DA"/>
    <w:rsid w:val="00757602"/>
    <w:rsid w:val="007577FD"/>
    <w:rsid w:val="00757982"/>
    <w:rsid w:val="00757B38"/>
    <w:rsid w:val="0076173F"/>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2F58"/>
    <w:rsid w:val="0077316D"/>
    <w:rsid w:val="00774CE4"/>
    <w:rsid w:val="007758EA"/>
    <w:rsid w:val="00775987"/>
    <w:rsid w:val="00775ACC"/>
    <w:rsid w:val="00776082"/>
    <w:rsid w:val="00776CA9"/>
    <w:rsid w:val="00776E36"/>
    <w:rsid w:val="007809C9"/>
    <w:rsid w:val="007817D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87E0E"/>
    <w:rsid w:val="00790235"/>
    <w:rsid w:val="007905A6"/>
    <w:rsid w:val="00790FD2"/>
    <w:rsid w:val="00791199"/>
    <w:rsid w:val="007913D8"/>
    <w:rsid w:val="007924A7"/>
    <w:rsid w:val="007932DE"/>
    <w:rsid w:val="00794250"/>
    <w:rsid w:val="007942B0"/>
    <w:rsid w:val="00794371"/>
    <w:rsid w:val="00794F7B"/>
    <w:rsid w:val="00795116"/>
    <w:rsid w:val="007964D9"/>
    <w:rsid w:val="0079670E"/>
    <w:rsid w:val="00796720"/>
    <w:rsid w:val="007A0359"/>
    <w:rsid w:val="007A0A08"/>
    <w:rsid w:val="007A121E"/>
    <w:rsid w:val="007A12FF"/>
    <w:rsid w:val="007A20A1"/>
    <w:rsid w:val="007A24BB"/>
    <w:rsid w:val="007A2626"/>
    <w:rsid w:val="007A2D8C"/>
    <w:rsid w:val="007A352A"/>
    <w:rsid w:val="007A3781"/>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04D"/>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241"/>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1F1"/>
    <w:rsid w:val="007F05CD"/>
    <w:rsid w:val="007F13C9"/>
    <w:rsid w:val="007F16FC"/>
    <w:rsid w:val="007F2036"/>
    <w:rsid w:val="007F205F"/>
    <w:rsid w:val="007F2922"/>
    <w:rsid w:val="007F3C7A"/>
    <w:rsid w:val="007F4FF8"/>
    <w:rsid w:val="007F5139"/>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38F6"/>
    <w:rsid w:val="008144CC"/>
    <w:rsid w:val="008144D7"/>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090E"/>
    <w:rsid w:val="008719B1"/>
    <w:rsid w:val="00871E3A"/>
    <w:rsid w:val="00872A31"/>
    <w:rsid w:val="00873C83"/>
    <w:rsid w:val="00874098"/>
    <w:rsid w:val="00874294"/>
    <w:rsid w:val="00874637"/>
    <w:rsid w:val="0087473A"/>
    <w:rsid w:val="00874D56"/>
    <w:rsid w:val="008757BC"/>
    <w:rsid w:val="008760B2"/>
    <w:rsid w:val="0087642A"/>
    <w:rsid w:val="00876669"/>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674"/>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697"/>
    <w:rsid w:val="008C1D39"/>
    <w:rsid w:val="008C26B3"/>
    <w:rsid w:val="008C31B5"/>
    <w:rsid w:val="008C3243"/>
    <w:rsid w:val="008C3D46"/>
    <w:rsid w:val="008C5E4B"/>
    <w:rsid w:val="008C6809"/>
    <w:rsid w:val="008C7212"/>
    <w:rsid w:val="008C72DD"/>
    <w:rsid w:val="008D0CB6"/>
    <w:rsid w:val="008D1000"/>
    <w:rsid w:val="008D1694"/>
    <w:rsid w:val="008D2081"/>
    <w:rsid w:val="008D2DA8"/>
    <w:rsid w:val="008D2E04"/>
    <w:rsid w:val="008D3501"/>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1BD0"/>
    <w:rsid w:val="008F2394"/>
    <w:rsid w:val="008F27B5"/>
    <w:rsid w:val="008F2B00"/>
    <w:rsid w:val="008F2B99"/>
    <w:rsid w:val="008F3B77"/>
    <w:rsid w:val="008F3B9E"/>
    <w:rsid w:val="008F41B2"/>
    <w:rsid w:val="008F42AE"/>
    <w:rsid w:val="008F474A"/>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1AFC"/>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33C"/>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1750"/>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67C64"/>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9D9"/>
    <w:rsid w:val="009819DE"/>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BFD"/>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6AFD"/>
    <w:rsid w:val="009B7795"/>
    <w:rsid w:val="009B7F2C"/>
    <w:rsid w:val="009C049F"/>
    <w:rsid w:val="009C1CD6"/>
    <w:rsid w:val="009C2DE2"/>
    <w:rsid w:val="009C367D"/>
    <w:rsid w:val="009C3FB2"/>
    <w:rsid w:val="009C4031"/>
    <w:rsid w:val="009C40CC"/>
    <w:rsid w:val="009C40CE"/>
    <w:rsid w:val="009C571B"/>
    <w:rsid w:val="009C580F"/>
    <w:rsid w:val="009C58BD"/>
    <w:rsid w:val="009C62B6"/>
    <w:rsid w:val="009C69EE"/>
    <w:rsid w:val="009C6C8D"/>
    <w:rsid w:val="009C7229"/>
    <w:rsid w:val="009C74E8"/>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9EB"/>
    <w:rsid w:val="00A23D00"/>
    <w:rsid w:val="00A244DE"/>
    <w:rsid w:val="00A2560B"/>
    <w:rsid w:val="00A25632"/>
    <w:rsid w:val="00A274F4"/>
    <w:rsid w:val="00A2750B"/>
    <w:rsid w:val="00A30E2D"/>
    <w:rsid w:val="00A30F74"/>
    <w:rsid w:val="00A310F1"/>
    <w:rsid w:val="00A31164"/>
    <w:rsid w:val="00A3122D"/>
    <w:rsid w:val="00A31496"/>
    <w:rsid w:val="00A319CD"/>
    <w:rsid w:val="00A31EC9"/>
    <w:rsid w:val="00A32A89"/>
    <w:rsid w:val="00A33346"/>
    <w:rsid w:val="00A337C7"/>
    <w:rsid w:val="00A338FF"/>
    <w:rsid w:val="00A3391E"/>
    <w:rsid w:val="00A34A7B"/>
    <w:rsid w:val="00A34FB0"/>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478D"/>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2FD"/>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4D4C"/>
    <w:rsid w:val="00A95E65"/>
    <w:rsid w:val="00A96806"/>
    <w:rsid w:val="00A971B6"/>
    <w:rsid w:val="00AA0020"/>
    <w:rsid w:val="00AA0423"/>
    <w:rsid w:val="00AA0B7F"/>
    <w:rsid w:val="00AA0E16"/>
    <w:rsid w:val="00AA17AF"/>
    <w:rsid w:val="00AA2FEC"/>
    <w:rsid w:val="00AA37C9"/>
    <w:rsid w:val="00AA37CE"/>
    <w:rsid w:val="00AA3F4F"/>
    <w:rsid w:val="00AA51AE"/>
    <w:rsid w:val="00AA5410"/>
    <w:rsid w:val="00AA5C35"/>
    <w:rsid w:val="00AA7559"/>
    <w:rsid w:val="00AA7614"/>
    <w:rsid w:val="00AB058B"/>
    <w:rsid w:val="00AB0ED8"/>
    <w:rsid w:val="00AB1517"/>
    <w:rsid w:val="00AB361C"/>
    <w:rsid w:val="00AB374F"/>
    <w:rsid w:val="00AB398F"/>
    <w:rsid w:val="00AB3DBC"/>
    <w:rsid w:val="00AB4130"/>
    <w:rsid w:val="00AB669F"/>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C7F5F"/>
    <w:rsid w:val="00AD03BC"/>
    <w:rsid w:val="00AD0C43"/>
    <w:rsid w:val="00AD0FC7"/>
    <w:rsid w:val="00AD13F8"/>
    <w:rsid w:val="00AD1539"/>
    <w:rsid w:val="00AD1641"/>
    <w:rsid w:val="00AD2072"/>
    <w:rsid w:val="00AD3976"/>
    <w:rsid w:val="00AD4C43"/>
    <w:rsid w:val="00AD5731"/>
    <w:rsid w:val="00AD600E"/>
    <w:rsid w:val="00AD69B2"/>
    <w:rsid w:val="00AD79AD"/>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7B0"/>
    <w:rsid w:val="00AE6E65"/>
    <w:rsid w:val="00AE7565"/>
    <w:rsid w:val="00AE7DA1"/>
    <w:rsid w:val="00AF02F5"/>
    <w:rsid w:val="00AF0939"/>
    <w:rsid w:val="00AF0DD6"/>
    <w:rsid w:val="00AF0DD9"/>
    <w:rsid w:val="00AF159B"/>
    <w:rsid w:val="00AF1BF9"/>
    <w:rsid w:val="00AF22A9"/>
    <w:rsid w:val="00AF2B11"/>
    <w:rsid w:val="00AF3A83"/>
    <w:rsid w:val="00AF47B7"/>
    <w:rsid w:val="00AF4AC9"/>
    <w:rsid w:val="00AF50A1"/>
    <w:rsid w:val="00AF7756"/>
    <w:rsid w:val="00AF798D"/>
    <w:rsid w:val="00B00516"/>
    <w:rsid w:val="00B007C3"/>
    <w:rsid w:val="00B00FCA"/>
    <w:rsid w:val="00B01B78"/>
    <w:rsid w:val="00B03BEA"/>
    <w:rsid w:val="00B0493B"/>
    <w:rsid w:val="00B053E0"/>
    <w:rsid w:val="00B06935"/>
    <w:rsid w:val="00B0705A"/>
    <w:rsid w:val="00B07F7C"/>
    <w:rsid w:val="00B10679"/>
    <w:rsid w:val="00B10E2C"/>
    <w:rsid w:val="00B11047"/>
    <w:rsid w:val="00B1116B"/>
    <w:rsid w:val="00B119D1"/>
    <w:rsid w:val="00B12632"/>
    <w:rsid w:val="00B126EE"/>
    <w:rsid w:val="00B12CFA"/>
    <w:rsid w:val="00B14426"/>
    <w:rsid w:val="00B14957"/>
    <w:rsid w:val="00B14D35"/>
    <w:rsid w:val="00B1593C"/>
    <w:rsid w:val="00B1669A"/>
    <w:rsid w:val="00B17ABD"/>
    <w:rsid w:val="00B203E9"/>
    <w:rsid w:val="00B20461"/>
    <w:rsid w:val="00B20627"/>
    <w:rsid w:val="00B2096C"/>
    <w:rsid w:val="00B20C7F"/>
    <w:rsid w:val="00B20EEC"/>
    <w:rsid w:val="00B21469"/>
    <w:rsid w:val="00B218CE"/>
    <w:rsid w:val="00B2241A"/>
    <w:rsid w:val="00B22B80"/>
    <w:rsid w:val="00B22F76"/>
    <w:rsid w:val="00B2300D"/>
    <w:rsid w:val="00B236B0"/>
    <w:rsid w:val="00B23C8F"/>
    <w:rsid w:val="00B2405F"/>
    <w:rsid w:val="00B24114"/>
    <w:rsid w:val="00B2414A"/>
    <w:rsid w:val="00B253AE"/>
    <w:rsid w:val="00B253C0"/>
    <w:rsid w:val="00B3054C"/>
    <w:rsid w:val="00B306FC"/>
    <w:rsid w:val="00B30811"/>
    <w:rsid w:val="00B30858"/>
    <w:rsid w:val="00B30D74"/>
    <w:rsid w:val="00B3205D"/>
    <w:rsid w:val="00B33046"/>
    <w:rsid w:val="00B33577"/>
    <w:rsid w:val="00B33939"/>
    <w:rsid w:val="00B3431B"/>
    <w:rsid w:val="00B35088"/>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304"/>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56DD9"/>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245B"/>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114D"/>
    <w:rsid w:val="00B9268D"/>
    <w:rsid w:val="00B93841"/>
    <w:rsid w:val="00B9414F"/>
    <w:rsid w:val="00B94B13"/>
    <w:rsid w:val="00B95559"/>
    <w:rsid w:val="00B95836"/>
    <w:rsid w:val="00B97911"/>
    <w:rsid w:val="00BA0322"/>
    <w:rsid w:val="00BA0FF0"/>
    <w:rsid w:val="00BA11A2"/>
    <w:rsid w:val="00BA1742"/>
    <w:rsid w:val="00BA2E89"/>
    <w:rsid w:val="00BA3B7D"/>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6"/>
    <w:rsid w:val="00BB4A6D"/>
    <w:rsid w:val="00BB5AB0"/>
    <w:rsid w:val="00BB5BEB"/>
    <w:rsid w:val="00BB637C"/>
    <w:rsid w:val="00BB73A9"/>
    <w:rsid w:val="00BB788A"/>
    <w:rsid w:val="00BC05D2"/>
    <w:rsid w:val="00BC07F3"/>
    <w:rsid w:val="00BC0E1C"/>
    <w:rsid w:val="00BC0F78"/>
    <w:rsid w:val="00BC1C09"/>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435"/>
    <w:rsid w:val="00BD3AD2"/>
    <w:rsid w:val="00BD4BC7"/>
    <w:rsid w:val="00BD54F6"/>
    <w:rsid w:val="00BD72E9"/>
    <w:rsid w:val="00BE004E"/>
    <w:rsid w:val="00BE0732"/>
    <w:rsid w:val="00BE13F4"/>
    <w:rsid w:val="00BE1A6F"/>
    <w:rsid w:val="00BE2700"/>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4FCF"/>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5C94"/>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3D88"/>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8F5"/>
    <w:rsid w:val="00C61CE9"/>
    <w:rsid w:val="00C629DE"/>
    <w:rsid w:val="00C62AF7"/>
    <w:rsid w:val="00C62F87"/>
    <w:rsid w:val="00C63E40"/>
    <w:rsid w:val="00C65BC9"/>
    <w:rsid w:val="00C66A4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7779D"/>
    <w:rsid w:val="00C8084D"/>
    <w:rsid w:val="00C81297"/>
    <w:rsid w:val="00C81784"/>
    <w:rsid w:val="00C81C5B"/>
    <w:rsid w:val="00C81D17"/>
    <w:rsid w:val="00C82E4E"/>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82E"/>
    <w:rsid w:val="00CA0C37"/>
    <w:rsid w:val="00CA0F5E"/>
    <w:rsid w:val="00CA16D6"/>
    <w:rsid w:val="00CA1A7E"/>
    <w:rsid w:val="00CA1AB8"/>
    <w:rsid w:val="00CA1B2D"/>
    <w:rsid w:val="00CA3A11"/>
    <w:rsid w:val="00CA3C97"/>
    <w:rsid w:val="00CA50DE"/>
    <w:rsid w:val="00CA5217"/>
    <w:rsid w:val="00CA5503"/>
    <w:rsid w:val="00CA6882"/>
    <w:rsid w:val="00CA77D4"/>
    <w:rsid w:val="00CA7990"/>
    <w:rsid w:val="00CB0957"/>
    <w:rsid w:val="00CB0C35"/>
    <w:rsid w:val="00CB223D"/>
    <w:rsid w:val="00CB2CCF"/>
    <w:rsid w:val="00CB2DF1"/>
    <w:rsid w:val="00CB2FB7"/>
    <w:rsid w:val="00CB348B"/>
    <w:rsid w:val="00CB3AD0"/>
    <w:rsid w:val="00CB3EBE"/>
    <w:rsid w:val="00CB3FC3"/>
    <w:rsid w:val="00CB4246"/>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3803"/>
    <w:rsid w:val="00CD4FC7"/>
    <w:rsid w:val="00CD5652"/>
    <w:rsid w:val="00CD56B3"/>
    <w:rsid w:val="00CD5C70"/>
    <w:rsid w:val="00CD5FED"/>
    <w:rsid w:val="00CD641F"/>
    <w:rsid w:val="00CD6473"/>
    <w:rsid w:val="00CD7158"/>
    <w:rsid w:val="00CD7BA9"/>
    <w:rsid w:val="00CE0342"/>
    <w:rsid w:val="00CE0E3E"/>
    <w:rsid w:val="00CE0EC4"/>
    <w:rsid w:val="00CE1212"/>
    <w:rsid w:val="00CE13C2"/>
    <w:rsid w:val="00CE1AB7"/>
    <w:rsid w:val="00CE1B8E"/>
    <w:rsid w:val="00CE2741"/>
    <w:rsid w:val="00CE2B5E"/>
    <w:rsid w:val="00CE2E04"/>
    <w:rsid w:val="00CE30A9"/>
    <w:rsid w:val="00CE4750"/>
    <w:rsid w:val="00CE57E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220B"/>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5BB4"/>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8E"/>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B6E"/>
    <w:rsid w:val="00D50F40"/>
    <w:rsid w:val="00D515EF"/>
    <w:rsid w:val="00D52BA9"/>
    <w:rsid w:val="00D5359D"/>
    <w:rsid w:val="00D5498C"/>
    <w:rsid w:val="00D54AEA"/>
    <w:rsid w:val="00D54D80"/>
    <w:rsid w:val="00D54F26"/>
    <w:rsid w:val="00D54F74"/>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0E7D"/>
    <w:rsid w:val="00D711C7"/>
    <w:rsid w:val="00D716D5"/>
    <w:rsid w:val="00D72558"/>
    <w:rsid w:val="00D72C58"/>
    <w:rsid w:val="00D731F9"/>
    <w:rsid w:val="00D73698"/>
    <w:rsid w:val="00D742C8"/>
    <w:rsid w:val="00D74776"/>
    <w:rsid w:val="00D76D2E"/>
    <w:rsid w:val="00D7710D"/>
    <w:rsid w:val="00D775C5"/>
    <w:rsid w:val="00D778C6"/>
    <w:rsid w:val="00D778D9"/>
    <w:rsid w:val="00D77FC0"/>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5EF8"/>
    <w:rsid w:val="00D961D1"/>
    <w:rsid w:val="00D96543"/>
    <w:rsid w:val="00D96DC7"/>
    <w:rsid w:val="00D97131"/>
    <w:rsid w:val="00D97367"/>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DCF"/>
    <w:rsid w:val="00DF7EAC"/>
    <w:rsid w:val="00E00365"/>
    <w:rsid w:val="00E008FC"/>
    <w:rsid w:val="00E00A02"/>
    <w:rsid w:val="00E01F6D"/>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2BAF"/>
    <w:rsid w:val="00E130FF"/>
    <w:rsid w:val="00E13C49"/>
    <w:rsid w:val="00E14723"/>
    <w:rsid w:val="00E14875"/>
    <w:rsid w:val="00E1492F"/>
    <w:rsid w:val="00E153D2"/>
    <w:rsid w:val="00E15D80"/>
    <w:rsid w:val="00E15DC7"/>
    <w:rsid w:val="00E16C58"/>
    <w:rsid w:val="00E17D2E"/>
    <w:rsid w:val="00E17F78"/>
    <w:rsid w:val="00E211C2"/>
    <w:rsid w:val="00E213C9"/>
    <w:rsid w:val="00E21D4F"/>
    <w:rsid w:val="00E2224B"/>
    <w:rsid w:val="00E22F11"/>
    <w:rsid w:val="00E239FB"/>
    <w:rsid w:val="00E23F24"/>
    <w:rsid w:val="00E24202"/>
    <w:rsid w:val="00E24705"/>
    <w:rsid w:val="00E2494C"/>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530C"/>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4F58"/>
    <w:rsid w:val="00E95531"/>
    <w:rsid w:val="00E955D0"/>
    <w:rsid w:val="00E956D4"/>
    <w:rsid w:val="00E9702B"/>
    <w:rsid w:val="00EA00DC"/>
    <w:rsid w:val="00EA0462"/>
    <w:rsid w:val="00EA067E"/>
    <w:rsid w:val="00EA0A97"/>
    <w:rsid w:val="00EA0B51"/>
    <w:rsid w:val="00EA1F22"/>
    <w:rsid w:val="00EA244A"/>
    <w:rsid w:val="00EA2464"/>
    <w:rsid w:val="00EA24AC"/>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4D48"/>
    <w:rsid w:val="00EC5263"/>
    <w:rsid w:val="00EC539B"/>
    <w:rsid w:val="00EC63D8"/>
    <w:rsid w:val="00EC669D"/>
    <w:rsid w:val="00EC7052"/>
    <w:rsid w:val="00EC7105"/>
    <w:rsid w:val="00EC7977"/>
    <w:rsid w:val="00EC7A62"/>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4F54"/>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A2D"/>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4202"/>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E20"/>
    <w:rsid w:val="00F54F16"/>
    <w:rsid w:val="00F5563E"/>
    <w:rsid w:val="00F55A2A"/>
    <w:rsid w:val="00F563A3"/>
    <w:rsid w:val="00F56BE1"/>
    <w:rsid w:val="00F56C6C"/>
    <w:rsid w:val="00F60467"/>
    <w:rsid w:val="00F618D2"/>
    <w:rsid w:val="00F618F1"/>
    <w:rsid w:val="00F623D0"/>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53FC"/>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5EE"/>
    <w:rsid w:val="00F86938"/>
    <w:rsid w:val="00F86D1F"/>
    <w:rsid w:val="00F919DD"/>
    <w:rsid w:val="00F92FD9"/>
    <w:rsid w:val="00F93A66"/>
    <w:rsid w:val="00F941FF"/>
    <w:rsid w:val="00F94728"/>
    <w:rsid w:val="00F95A51"/>
    <w:rsid w:val="00F971A2"/>
    <w:rsid w:val="00FA057C"/>
    <w:rsid w:val="00FA074D"/>
    <w:rsid w:val="00FA0BFB"/>
    <w:rsid w:val="00FA0F28"/>
    <w:rsid w:val="00FA1F77"/>
    <w:rsid w:val="00FA232E"/>
    <w:rsid w:val="00FA276C"/>
    <w:rsid w:val="00FA305B"/>
    <w:rsid w:val="00FA316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5D7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E7F3A"/>
    <w:rsid w:val="00FF04BB"/>
    <w:rsid w:val="00FF0DF9"/>
    <w:rsid w:val="00FF0ED2"/>
    <w:rsid w:val="00FF1039"/>
    <w:rsid w:val="00FF304C"/>
    <w:rsid w:val="00FF327D"/>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F61"/>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Cs w:val="28"/>
      <w:lang w:val="en-US" w:eastAsia="en-US"/>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 w:val="22"/>
      <w:szCs w:val="26"/>
      <w:u w:val="single"/>
      <w:lang w:val="en-US" w:eastAsia="en-US"/>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sz w:val="22"/>
      <w:lang w:val="en-US" w:eastAsia="en-US"/>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sz w:val="22"/>
      <w:lang w:val="de-CH" w:eastAsia="en-US"/>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sz w:val="22"/>
      <w:lang w:val="de-CH" w:eastAsia="en-US"/>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sz w:val="22"/>
      <w:lang w:val="de-CH" w:eastAsia="en-US"/>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sz w:val="22"/>
      <w:lang w:val="de-CH" w:eastAsia="en-US"/>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eastAsia="en-US"/>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eastAsiaTheme="minorEastAsia" w:hAnsi="Tahoma" w:cs="Tahoma"/>
      <w:sz w:val="16"/>
      <w:szCs w:val="16"/>
      <w:lang w:val="en-US" w:eastAsia="en-US"/>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rPr>
      <w:rFonts w:eastAsiaTheme="minorEastAsia" w:cstheme="minorBidi"/>
      <w:sz w:val="22"/>
      <w:lang w:val="en-US" w:eastAsia="en-US"/>
    </w:r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rFonts w:eastAsiaTheme="minorEastAsia" w:cstheme="minorBidi"/>
      <w:sz w:val="16"/>
      <w:lang w:val="en-US" w:eastAsia="en-US"/>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8"/>
      </w:numPr>
      <w:spacing w:after="0" w:line="280" w:lineRule="atLeast"/>
      <w:ind w:hanging="360"/>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rPr>
      <w:rFonts w:eastAsiaTheme="minorEastAsia" w:cstheme="minorBidi"/>
      <w:sz w:val="22"/>
      <w:lang w:val="en-US" w:eastAsia="en-US"/>
    </w:r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rPr>
      <w:rFonts w:eastAsiaTheme="minorEastAsia" w:cstheme="minorBidi"/>
      <w:sz w:val="22"/>
      <w:lang w:val="en-US" w:eastAsia="en-US"/>
    </w:r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rPr>
      <w:rFonts w:eastAsiaTheme="minorEastAsia" w:cstheme="minorBidi"/>
      <w:sz w:val="22"/>
      <w:lang w:val="en-US" w:eastAsia="en-US"/>
    </w:r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rPr>
      <w:rFonts w:eastAsiaTheme="minorEastAsia" w:cstheme="minorBidi"/>
      <w:sz w:val="22"/>
      <w:lang w:val="en-US" w:eastAsia="en-US"/>
    </w:r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eastAsia="en-US"/>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rPr>
      <w:rFonts w:eastAsiaTheme="minorEastAsia" w:cstheme="minorBidi"/>
      <w:sz w:val="22"/>
      <w:lang w:val="en-US" w:eastAsia="en-US"/>
    </w:rPr>
  </w:style>
  <w:style w:type="paragraph" w:styleId="FootnoteText">
    <w:name w:val="footnote text"/>
    <w:basedOn w:val="Normal"/>
    <w:link w:val="FootnoteTextChar"/>
    <w:uiPriority w:val="99"/>
    <w:semiHidden/>
    <w:unhideWhenUsed/>
    <w:rsid w:val="00952F27"/>
    <w:rPr>
      <w:rFonts w:eastAsiaTheme="minorEastAsia" w:cstheme="minorBidi"/>
      <w:sz w:val="16"/>
      <w:szCs w:val="20"/>
      <w:lang w:val="en-US" w:eastAsia="en-US"/>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rPr>
      <w:rFonts w:eastAsiaTheme="minorEastAsia" w:cstheme="minorBidi"/>
      <w:sz w:val="22"/>
      <w:lang w:val="en-US" w:eastAsia="en-US"/>
    </w:rPr>
  </w:style>
  <w:style w:type="paragraph" w:styleId="ListBullet2">
    <w:name w:val="List Bullet 2"/>
    <w:basedOn w:val="Normal"/>
    <w:uiPriority w:val="99"/>
    <w:rsid w:val="00DF7D0C"/>
    <w:pPr>
      <w:tabs>
        <w:tab w:val="left" w:pos="1134"/>
      </w:tabs>
      <w:contextualSpacing/>
    </w:pPr>
    <w:rPr>
      <w:rFonts w:eastAsiaTheme="minorEastAsia" w:cstheme="minorBidi"/>
      <w:sz w:val="22"/>
      <w:lang w:val="en-US" w:eastAsia="en-US"/>
    </w:rPr>
  </w:style>
  <w:style w:type="paragraph" w:styleId="ListBullet3">
    <w:name w:val="List Bullet 3"/>
    <w:basedOn w:val="Normal"/>
    <w:uiPriority w:val="99"/>
    <w:rsid w:val="00DF7D0C"/>
    <w:pPr>
      <w:contextualSpacing/>
    </w:pPr>
    <w:rPr>
      <w:rFonts w:eastAsiaTheme="minorEastAsia" w:cstheme="minorBidi"/>
      <w:sz w:val="22"/>
      <w:lang w:val="en-US" w:eastAsia="en-US"/>
    </w:r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lang w:val="de-CH" w:eastAsia="en-US"/>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rPr>
      <w:rFonts w:eastAsiaTheme="minorEastAsia" w:cstheme="minorBidi"/>
      <w:sz w:val="22"/>
      <w:lang w:val="en-US" w:eastAsia="en-US"/>
    </w:rPr>
  </w:style>
  <w:style w:type="paragraph" w:customStyle="1" w:styleId="Copyright">
    <w:name w:val="Copyright"/>
    <w:basedOn w:val="Normal"/>
    <w:rsid w:val="009E67A7"/>
    <w:pPr>
      <w:keepNext/>
    </w:pPr>
    <w:rPr>
      <w:sz w:val="16"/>
      <w:lang w:val="en-US"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rFonts w:eastAsiaTheme="minorEastAsia" w:cstheme="minorBidi"/>
      <w:noProof/>
      <w:sz w:val="22"/>
      <w:lang w:val="en-US" w:eastAsia="en-US"/>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rPr>
      <w:rFonts w:eastAsiaTheme="minorEastAsia" w:cstheme="minorBidi"/>
      <w:sz w:val="22"/>
      <w:lang w:val="en-US" w:eastAsia="en-US"/>
    </w:r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rPr>
      <w:rFonts w:eastAsiaTheme="minorEastAsia" w:cstheme="minorBidi"/>
      <w:sz w:val="22"/>
      <w:lang w:val="en-US" w:eastAsia="en-US"/>
    </w:r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rPr>
      <w:rFonts w:eastAsiaTheme="minorEastAsia" w:cstheme="minorBidi"/>
      <w:sz w:val="22"/>
      <w:lang w:val="en-US" w:eastAsia="en-US"/>
    </w:rPr>
  </w:style>
  <w:style w:type="paragraph" w:styleId="ListBullet5">
    <w:name w:val="List Bullet 5"/>
    <w:basedOn w:val="Normal"/>
    <w:uiPriority w:val="99"/>
    <w:semiHidden/>
    <w:unhideWhenUsed/>
    <w:rsid w:val="00DF7D0C"/>
    <w:pPr>
      <w:contextualSpacing/>
    </w:pPr>
    <w:rPr>
      <w:rFonts w:eastAsiaTheme="minorEastAsia" w:cstheme="minorBidi"/>
      <w:sz w:val="22"/>
      <w:lang w:val="en-US" w:eastAsia="en-US"/>
    </w:r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rFonts w:eastAsiaTheme="minorEastAsia" w:cstheme="minorBidi"/>
      <w:b/>
      <w:bCs/>
      <w:color w:val="4F81BD" w:themeColor="accent1"/>
      <w:sz w:val="18"/>
      <w:szCs w:val="18"/>
      <w:lang w:val="en-US" w:eastAsia="en-US"/>
    </w:rPr>
  </w:style>
  <w:style w:type="paragraph" w:styleId="TableofFigures">
    <w:name w:val="table of figures"/>
    <w:basedOn w:val="Normal"/>
    <w:next w:val="Normal"/>
    <w:uiPriority w:val="99"/>
    <w:unhideWhenUsed/>
    <w:rsid w:val="00595194"/>
    <w:pPr>
      <w:tabs>
        <w:tab w:val="right" w:pos="9356"/>
      </w:tabs>
    </w:pPr>
    <w:rPr>
      <w:rFonts w:eastAsiaTheme="minorEastAsia" w:cstheme="minorBidi"/>
      <w:sz w:val="22"/>
      <w:lang w:val="en-US" w:eastAsia="en-US"/>
    </w:r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eastAsiaTheme="minorEastAsia" w:hAnsiTheme="minorHAnsi" w:cstheme="minorBidi"/>
      <w:i/>
      <w:iCs/>
      <w:color w:val="000000" w:themeColor="text1"/>
      <w:sz w:val="22"/>
      <w:lang w:val="de-CH" w:eastAsia="en-US"/>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eastAsiaTheme="minorEastAsia" w:hAnsiTheme="minorHAnsi" w:cstheme="minorBidi"/>
      <w:b/>
      <w:bCs/>
      <w:i/>
      <w:iCs/>
      <w:color w:val="4F81BD" w:themeColor="accent1"/>
      <w:sz w:val="22"/>
      <w:lang w:val="de-CH" w:eastAsia="en-US"/>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unhideWhenUsed/>
    <w:rsid w:val="00342F78"/>
    <w:rPr>
      <w:sz w:val="16"/>
      <w:szCs w:val="16"/>
    </w:rPr>
  </w:style>
  <w:style w:type="paragraph" w:styleId="CommentText">
    <w:name w:val="annotation text"/>
    <w:basedOn w:val="Normal"/>
    <w:link w:val="CommentTextChar"/>
    <w:uiPriority w:val="99"/>
    <w:unhideWhenUsed/>
    <w:rsid w:val="00342F78"/>
    <w:rPr>
      <w:rFonts w:eastAsiaTheme="minorEastAsia" w:cstheme="minorBidi"/>
      <w:sz w:val="20"/>
      <w:szCs w:val="20"/>
      <w:lang w:val="en-US" w:eastAsia="en-US"/>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lang w:val="de-CH" w:eastAsia="de-CH"/>
    </w:rPr>
  </w:style>
  <w:style w:type="paragraph" w:customStyle="1" w:styleId="articlecategory">
    <w:name w:val="articlecategory"/>
    <w:basedOn w:val="Normal"/>
    <w:rsid w:val="00DC1BC3"/>
    <w:pPr>
      <w:spacing w:before="100" w:beforeAutospacing="1" w:after="100" w:afterAutospacing="1"/>
    </w:pPr>
    <w:rPr>
      <w:lang w:val="de-CH" w:eastAsia="de-CH"/>
    </w:rPr>
  </w:style>
  <w:style w:type="paragraph" w:customStyle="1" w:styleId="articledetails">
    <w:name w:val="articledetails"/>
    <w:basedOn w:val="Normal"/>
    <w:rsid w:val="00DC1BC3"/>
    <w:pPr>
      <w:spacing w:before="100" w:beforeAutospacing="1" w:after="100" w:afterAutospacing="1"/>
    </w:pPr>
    <w:rPr>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rPr>
      <w:rFonts w:eastAsiaTheme="minorEastAsia" w:cstheme="minorBidi"/>
      <w:sz w:val="22"/>
      <w:lang w:val="en-US" w:eastAsia="en-US"/>
    </w:r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lang w:val="en-US" w:eastAsia="en-US"/>
    </w:rPr>
  </w:style>
  <w:style w:type="paragraph" w:styleId="PlainText">
    <w:name w:val="Plain Text"/>
    <w:basedOn w:val="Normal"/>
    <w:link w:val="PlainTextChar"/>
    <w:uiPriority w:val="99"/>
    <w:rsid w:val="00D90823"/>
    <w:rPr>
      <w:rFonts w:ascii="Courier New" w:eastAsia="Times" w:hAnsi="Courier New"/>
      <w:sz w:val="20"/>
      <w:szCs w:val="20"/>
      <w:lang w:val="en-US" w:eastAsia="en-US"/>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apple-converted-space">
    <w:name w:val="apple-converted-space"/>
    <w:basedOn w:val="DefaultParagraphFont"/>
    <w:rsid w:val="00BB4A66"/>
  </w:style>
  <w:style w:type="character" w:customStyle="1" w:styleId="cf01">
    <w:name w:val="cf01"/>
    <w:basedOn w:val="DefaultParagraphFont"/>
    <w:rsid w:val="002E43F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1289936">
      <w:bodyDiv w:val="1"/>
      <w:marLeft w:val="0"/>
      <w:marRight w:val="0"/>
      <w:marTop w:val="0"/>
      <w:marBottom w:val="0"/>
      <w:divBdr>
        <w:top w:val="none" w:sz="0" w:space="0" w:color="auto"/>
        <w:left w:val="none" w:sz="0" w:space="0" w:color="auto"/>
        <w:bottom w:val="none" w:sz="0" w:space="0" w:color="auto"/>
        <w:right w:val="none" w:sz="0" w:space="0" w:color="auto"/>
      </w:divBdr>
      <w:divsChild>
        <w:div w:id="1617635387">
          <w:marLeft w:val="0"/>
          <w:marRight w:val="0"/>
          <w:marTop w:val="0"/>
          <w:marBottom w:val="0"/>
          <w:divBdr>
            <w:top w:val="none" w:sz="0" w:space="0" w:color="auto"/>
            <w:left w:val="none" w:sz="0" w:space="0" w:color="auto"/>
            <w:bottom w:val="none" w:sz="0" w:space="0" w:color="auto"/>
            <w:right w:val="none" w:sz="0" w:space="0" w:color="auto"/>
          </w:divBdr>
          <w:divsChild>
            <w:div w:id="5343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99494861">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49761430">
      <w:bodyDiv w:val="1"/>
      <w:marLeft w:val="0"/>
      <w:marRight w:val="0"/>
      <w:marTop w:val="0"/>
      <w:marBottom w:val="0"/>
      <w:divBdr>
        <w:top w:val="none" w:sz="0" w:space="0" w:color="auto"/>
        <w:left w:val="none" w:sz="0" w:space="0" w:color="auto"/>
        <w:bottom w:val="none" w:sz="0" w:space="0" w:color="auto"/>
        <w:right w:val="none" w:sz="0" w:space="0" w:color="auto"/>
      </w:divBdr>
      <w:divsChild>
        <w:div w:id="2054307961">
          <w:marLeft w:val="0"/>
          <w:marRight w:val="0"/>
          <w:marTop w:val="0"/>
          <w:marBottom w:val="0"/>
          <w:divBdr>
            <w:top w:val="none" w:sz="0" w:space="0" w:color="auto"/>
            <w:left w:val="none" w:sz="0" w:space="0" w:color="auto"/>
            <w:bottom w:val="none" w:sz="0" w:space="0" w:color="auto"/>
            <w:right w:val="none" w:sz="0" w:space="0" w:color="auto"/>
          </w:divBdr>
          <w:divsChild>
            <w:div w:id="14927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38178022">
      <w:bodyDiv w:val="1"/>
      <w:marLeft w:val="0"/>
      <w:marRight w:val="0"/>
      <w:marTop w:val="0"/>
      <w:marBottom w:val="0"/>
      <w:divBdr>
        <w:top w:val="none" w:sz="0" w:space="0" w:color="auto"/>
        <w:left w:val="none" w:sz="0" w:space="0" w:color="auto"/>
        <w:bottom w:val="none" w:sz="0" w:space="0" w:color="auto"/>
        <w:right w:val="none" w:sz="0" w:space="0" w:color="auto"/>
      </w:divBdr>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645033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34580468">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77393756">
      <w:bodyDiv w:val="1"/>
      <w:marLeft w:val="0"/>
      <w:marRight w:val="0"/>
      <w:marTop w:val="0"/>
      <w:marBottom w:val="0"/>
      <w:divBdr>
        <w:top w:val="none" w:sz="0" w:space="0" w:color="auto"/>
        <w:left w:val="none" w:sz="0" w:space="0" w:color="auto"/>
        <w:bottom w:val="none" w:sz="0" w:space="0" w:color="auto"/>
        <w:right w:val="none" w:sz="0" w:space="0" w:color="auto"/>
      </w:divBdr>
      <w:divsChild>
        <w:div w:id="790369256">
          <w:marLeft w:val="0"/>
          <w:marRight w:val="0"/>
          <w:marTop w:val="0"/>
          <w:marBottom w:val="0"/>
          <w:divBdr>
            <w:top w:val="none" w:sz="0" w:space="0" w:color="auto"/>
            <w:left w:val="none" w:sz="0" w:space="0" w:color="auto"/>
            <w:bottom w:val="none" w:sz="0" w:space="0" w:color="auto"/>
            <w:right w:val="none" w:sz="0" w:space="0" w:color="auto"/>
          </w:divBdr>
          <w:divsChild>
            <w:div w:id="694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43183366">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41966612">
      <w:bodyDiv w:val="1"/>
      <w:marLeft w:val="0"/>
      <w:marRight w:val="0"/>
      <w:marTop w:val="0"/>
      <w:marBottom w:val="0"/>
      <w:divBdr>
        <w:top w:val="none" w:sz="0" w:space="0" w:color="auto"/>
        <w:left w:val="none" w:sz="0" w:space="0" w:color="auto"/>
        <w:bottom w:val="none" w:sz="0" w:space="0" w:color="auto"/>
        <w:right w:val="none" w:sz="0" w:space="0" w:color="auto"/>
      </w:divBdr>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094671237">
      <w:bodyDiv w:val="1"/>
      <w:marLeft w:val="0"/>
      <w:marRight w:val="0"/>
      <w:marTop w:val="0"/>
      <w:marBottom w:val="0"/>
      <w:divBdr>
        <w:top w:val="none" w:sz="0" w:space="0" w:color="auto"/>
        <w:left w:val="none" w:sz="0" w:space="0" w:color="auto"/>
        <w:bottom w:val="none" w:sz="0" w:space="0" w:color="auto"/>
        <w:right w:val="none" w:sz="0" w:space="0" w:color="auto"/>
      </w:divBdr>
    </w:div>
    <w:div w:id="1097560361">
      <w:bodyDiv w:val="1"/>
      <w:marLeft w:val="0"/>
      <w:marRight w:val="0"/>
      <w:marTop w:val="0"/>
      <w:marBottom w:val="0"/>
      <w:divBdr>
        <w:top w:val="none" w:sz="0" w:space="0" w:color="auto"/>
        <w:left w:val="none" w:sz="0" w:space="0" w:color="auto"/>
        <w:bottom w:val="none" w:sz="0" w:space="0" w:color="auto"/>
        <w:right w:val="none" w:sz="0" w:space="0" w:color="auto"/>
      </w:divBdr>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185099963">
      <w:bodyDiv w:val="1"/>
      <w:marLeft w:val="0"/>
      <w:marRight w:val="0"/>
      <w:marTop w:val="0"/>
      <w:marBottom w:val="0"/>
      <w:divBdr>
        <w:top w:val="none" w:sz="0" w:space="0" w:color="auto"/>
        <w:left w:val="none" w:sz="0" w:space="0" w:color="auto"/>
        <w:bottom w:val="none" w:sz="0" w:space="0" w:color="auto"/>
        <w:right w:val="none" w:sz="0" w:space="0" w:color="auto"/>
      </w:divBdr>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1620057">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78639896">
      <w:bodyDiv w:val="1"/>
      <w:marLeft w:val="0"/>
      <w:marRight w:val="0"/>
      <w:marTop w:val="0"/>
      <w:marBottom w:val="0"/>
      <w:divBdr>
        <w:top w:val="none" w:sz="0" w:space="0" w:color="auto"/>
        <w:left w:val="none" w:sz="0" w:space="0" w:color="auto"/>
        <w:bottom w:val="none" w:sz="0" w:space="0" w:color="auto"/>
        <w:right w:val="none" w:sz="0" w:space="0" w:color="auto"/>
      </w:divBdr>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18338816">
      <w:bodyDiv w:val="1"/>
      <w:marLeft w:val="0"/>
      <w:marRight w:val="0"/>
      <w:marTop w:val="0"/>
      <w:marBottom w:val="0"/>
      <w:divBdr>
        <w:top w:val="none" w:sz="0" w:space="0" w:color="auto"/>
        <w:left w:val="none" w:sz="0" w:space="0" w:color="auto"/>
        <w:bottom w:val="none" w:sz="0" w:space="0" w:color="auto"/>
        <w:right w:val="none" w:sz="0" w:space="0" w:color="auto"/>
      </w:divBdr>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68821876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77946908">
      <w:bodyDiv w:val="1"/>
      <w:marLeft w:val="0"/>
      <w:marRight w:val="0"/>
      <w:marTop w:val="0"/>
      <w:marBottom w:val="0"/>
      <w:divBdr>
        <w:top w:val="none" w:sz="0" w:space="0" w:color="auto"/>
        <w:left w:val="none" w:sz="0" w:space="0" w:color="auto"/>
        <w:bottom w:val="none" w:sz="0" w:space="0" w:color="auto"/>
        <w:right w:val="none" w:sz="0" w:space="0" w:color="auto"/>
      </w:divBdr>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0568617">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0974927">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0896936">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65845950">
      <w:bodyDiv w:val="1"/>
      <w:marLeft w:val="0"/>
      <w:marRight w:val="0"/>
      <w:marTop w:val="0"/>
      <w:marBottom w:val="0"/>
      <w:divBdr>
        <w:top w:val="none" w:sz="0" w:space="0" w:color="auto"/>
        <w:left w:val="none" w:sz="0" w:space="0" w:color="auto"/>
        <w:bottom w:val="none" w:sz="0" w:space="0" w:color="auto"/>
        <w:right w:val="none" w:sz="0" w:space="0" w:color="auto"/>
      </w:divBdr>
    </w:div>
    <w:div w:id="1966278761">
      <w:bodyDiv w:val="1"/>
      <w:marLeft w:val="0"/>
      <w:marRight w:val="0"/>
      <w:marTop w:val="0"/>
      <w:marBottom w:val="0"/>
      <w:divBdr>
        <w:top w:val="none" w:sz="0" w:space="0" w:color="auto"/>
        <w:left w:val="none" w:sz="0" w:space="0" w:color="auto"/>
        <w:bottom w:val="none" w:sz="0" w:space="0" w:color="auto"/>
        <w:right w:val="none" w:sz="0" w:space="0" w:color="auto"/>
      </w:divBdr>
      <w:divsChild>
        <w:div w:id="2059435170">
          <w:marLeft w:val="0"/>
          <w:marRight w:val="0"/>
          <w:marTop w:val="0"/>
          <w:marBottom w:val="0"/>
          <w:divBdr>
            <w:top w:val="none" w:sz="0" w:space="0" w:color="auto"/>
            <w:left w:val="none" w:sz="0" w:space="0" w:color="auto"/>
            <w:bottom w:val="none" w:sz="0" w:space="0" w:color="auto"/>
            <w:right w:val="none" w:sz="0" w:space="0" w:color="auto"/>
          </w:divBdr>
          <w:divsChild>
            <w:div w:id="19120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48525270">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0260583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37989150">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hyperlink" Target="https://www.afrikanistik-aegyptologie-online.de/archiv/2015/4110/"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hyperlink" Target="https://www.clingendael.org/pub/2015/the_roots_of_malis_conflict/"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8</Pages>
  <Words>4304</Words>
  <Characters>24534</Characters>
  <Application>Microsoft Office Word</Application>
  <DocSecurity>0</DocSecurity>
  <Lines>204</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Ana Verdnik</dc:creator>
  <cp:lastModifiedBy>Micha Germann</cp:lastModifiedBy>
  <cp:revision>160</cp:revision>
  <dcterms:created xsi:type="dcterms:W3CDTF">2022-01-25T12:17:00Z</dcterms:created>
  <dcterms:modified xsi:type="dcterms:W3CDTF">2023-07-08T12:51:00Z</dcterms:modified>
</cp:coreProperties>
</file>