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BB3527F" w:rsidR="00453A9D" w:rsidRDefault="004726FE" w:rsidP="00453A9D">
      <w:pPr>
        <w:pStyle w:val="Heading1"/>
        <w:rPr>
          <w:rFonts w:cs="Times New Roman"/>
          <w:szCs w:val="22"/>
        </w:rPr>
      </w:pPr>
      <w:r>
        <w:rPr>
          <w:rFonts w:cs="Times New Roman"/>
          <w:szCs w:val="22"/>
        </w:rPr>
        <w:t>ROMANIA</w:t>
      </w:r>
    </w:p>
    <w:p w14:paraId="19E6285B" w14:textId="77777777" w:rsidR="00AB3DBC" w:rsidRDefault="00AB3DBC" w:rsidP="00AB3DBC"/>
    <w:p w14:paraId="2DA6E953" w14:textId="774E6E9C" w:rsidR="00453A9D" w:rsidRDefault="004726FE" w:rsidP="00453A9D">
      <w:pPr>
        <w:pStyle w:val="Heading2"/>
      </w:pPr>
      <w:r>
        <w:t>Hungarians</w:t>
      </w:r>
    </w:p>
    <w:p w14:paraId="7751ECD1" w14:textId="77777777" w:rsidR="00453A9D" w:rsidRDefault="00453A9D" w:rsidP="00453A9D"/>
    <w:p w14:paraId="4F6BF34D" w14:textId="5579C0E8" w:rsidR="004726FE" w:rsidRPr="008E1A62" w:rsidRDefault="00453A9D" w:rsidP="004726FE">
      <w:pPr>
        <w:rPr>
          <w:rFonts w:cs="Times New Roman"/>
          <w:szCs w:val="22"/>
        </w:rPr>
      </w:pPr>
      <w:r w:rsidRPr="00210011">
        <w:rPr>
          <w:rFonts w:cs="Times New Roman"/>
        </w:rPr>
        <w:t xml:space="preserve">Activity: </w:t>
      </w:r>
      <w:r w:rsidR="004726FE" w:rsidRPr="00210011">
        <w:rPr>
          <w:rFonts w:cs="Times New Roman"/>
          <w:szCs w:val="22"/>
        </w:rPr>
        <w:t>1990-20</w:t>
      </w:r>
      <w:r w:rsidR="0099333B" w:rsidRPr="00210011">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018F96A6" w14:textId="77777777" w:rsidR="004726FE" w:rsidRDefault="004726FE" w:rsidP="004726FE">
      <w:pPr>
        <w:rPr>
          <w:rFonts w:cs="Times New Roman"/>
          <w:szCs w:val="22"/>
        </w:rPr>
      </w:pPr>
      <w:r>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27D72D78" w14:textId="72342BF9" w:rsidR="00E17E6D" w:rsidRPr="00210011" w:rsidRDefault="007230A2" w:rsidP="00C11D5B">
      <w:pPr>
        <w:pStyle w:val="ListParagraph"/>
        <w:numPr>
          <w:ilvl w:val="0"/>
          <w:numId w:val="74"/>
        </w:numPr>
        <w:rPr>
          <w:rFonts w:cs="Times New Roman"/>
          <w:szCs w:val="22"/>
        </w:rPr>
      </w:pPr>
      <w:r w:rsidRPr="00210011">
        <w:rPr>
          <w:rFonts w:cs="Times New Roman"/>
          <w:szCs w:val="22"/>
        </w:rPr>
        <w:t xml:space="preserve">The Hungarians have organized rapidly and effectively since 1990 in various associations based on religion or culture, later melted under the aegis of the Democratic Union of Hungarians in Romania (DUHR), who has assumed the task of political representation of the community. We therefore peg the start date of the movement </w:t>
      </w:r>
      <w:proofErr w:type="gramStart"/>
      <w:r w:rsidRPr="00210011">
        <w:rPr>
          <w:rFonts w:cs="Times New Roman"/>
          <w:szCs w:val="22"/>
        </w:rPr>
        <w:t>at</w:t>
      </w:r>
      <w:proofErr w:type="gramEnd"/>
      <w:r w:rsidRPr="00210011">
        <w:rPr>
          <w:rFonts w:cs="Times New Roman"/>
          <w:szCs w:val="22"/>
        </w:rPr>
        <w:t xml:space="preserve"> 1990. In the general elections the DUHR has won seats in every legislature since 1990 and they have sent representatives to two consecutive cabinets. The DUHR remains active in politics as of 20</w:t>
      </w:r>
      <w:r w:rsidR="0099333B" w:rsidRPr="00210011">
        <w:rPr>
          <w:rFonts w:cs="Times New Roman"/>
          <w:szCs w:val="22"/>
        </w:rPr>
        <w:t>20</w:t>
      </w:r>
      <w:r w:rsidR="00C22071" w:rsidRPr="00210011">
        <w:rPr>
          <w:rFonts w:cs="Times New Roman"/>
          <w:szCs w:val="22"/>
        </w:rPr>
        <w:t xml:space="preserve">. The claim for autonomy </w:t>
      </w:r>
      <w:r w:rsidR="00210011" w:rsidRPr="00210011">
        <w:rPr>
          <w:rFonts w:cs="Times New Roman"/>
          <w:szCs w:val="22"/>
        </w:rPr>
        <w:t xml:space="preserve">has </w:t>
      </w:r>
      <w:r w:rsidR="00C22071" w:rsidRPr="00210011">
        <w:rPr>
          <w:rFonts w:cs="Times New Roman"/>
          <w:szCs w:val="22"/>
        </w:rPr>
        <w:t xml:space="preserve">always </w:t>
      </w:r>
      <w:r w:rsidR="00210011" w:rsidRPr="00210011">
        <w:rPr>
          <w:rFonts w:cs="Times New Roman"/>
          <w:szCs w:val="22"/>
        </w:rPr>
        <w:t xml:space="preserve">been part of DUHR’s election manifestoes, with the </w:t>
      </w:r>
      <w:proofErr w:type="spellStart"/>
      <w:r w:rsidR="00210011" w:rsidRPr="00210011">
        <w:rPr>
          <w:rFonts w:cs="Times New Roman"/>
          <w:szCs w:val="22"/>
        </w:rPr>
        <w:t>exceptin</w:t>
      </w:r>
      <w:proofErr w:type="spellEnd"/>
      <w:r w:rsidR="00210011" w:rsidRPr="00210011">
        <w:rPr>
          <w:rFonts w:cs="Times New Roman"/>
          <w:szCs w:val="22"/>
        </w:rPr>
        <w:t xml:space="preserve"> of 2000</w:t>
      </w:r>
      <w:r w:rsidR="00497495" w:rsidRPr="00210011">
        <w:rPr>
          <w:rFonts w:cs="Times New Roman"/>
          <w:szCs w:val="22"/>
        </w:rPr>
        <w:t xml:space="preserve"> (Kiss and </w:t>
      </w:r>
      <w:proofErr w:type="spellStart"/>
      <w:r w:rsidR="00497495" w:rsidRPr="00210011">
        <w:t>Szekely</w:t>
      </w:r>
      <w:proofErr w:type="spellEnd"/>
      <w:r w:rsidR="00497495" w:rsidRPr="00210011">
        <w:t xml:space="preserve"> 2016)</w:t>
      </w:r>
      <w:r w:rsidR="00C22071" w:rsidRPr="00210011">
        <w:rPr>
          <w:rFonts w:cs="Times New Roman"/>
          <w:szCs w:val="22"/>
        </w:rPr>
        <w:t>.</w:t>
      </w:r>
      <w:r w:rsidRPr="00210011">
        <w:rPr>
          <w:rFonts w:cs="Times New Roman"/>
          <w:szCs w:val="22"/>
        </w:rPr>
        <w:t xml:space="preserve"> The grievances of the Hungarian minority are focused on several issues: limited local autonomy in the regions where they form the majority; the right to use their language in the public administration and tribunals; the right to have instruction at all levels of education in their language; and restitution of church property confiscated by the communist regime (Hewitt &amp; Cheetham 2000; </w:t>
      </w:r>
      <w:proofErr w:type="spellStart"/>
      <w:r w:rsidRPr="00210011">
        <w:rPr>
          <w:rFonts w:cs="Times New Roman"/>
          <w:szCs w:val="22"/>
        </w:rPr>
        <w:t>Keesing</w:t>
      </w:r>
      <w:proofErr w:type="spellEnd"/>
      <w:r w:rsidRPr="00210011">
        <w:rPr>
          <w:rFonts w:cs="Times New Roman"/>
          <w:szCs w:val="22"/>
        </w:rPr>
        <w:t xml:space="preserve">; Marshall &amp; </w:t>
      </w:r>
      <w:proofErr w:type="spellStart"/>
      <w:r w:rsidRPr="00210011">
        <w:rPr>
          <w:rFonts w:cs="Times New Roman"/>
          <w:szCs w:val="22"/>
        </w:rPr>
        <w:t>Gurr</w:t>
      </w:r>
      <w:proofErr w:type="spellEnd"/>
      <w:r w:rsidRPr="00210011">
        <w:rPr>
          <w:rFonts w:cs="Times New Roman"/>
          <w:szCs w:val="22"/>
        </w:rPr>
        <w:t xml:space="preserve"> 2003; Minahan 1996, 2002; MAR; UDMR). [start date: 1990; end date: ongoing]</w:t>
      </w:r>
    </w:p>
    <w:p w14:paraId="25BB50A7" w14:textId="757138E0" w:rsidR="007230A2" w:rsidRDefault="007230A2" w:rsidP="007230A2">
      <w:pPr>
        <w:rPr>
          <w:rFonts w:cs="Times New Roman"/>
          <w:szCs w:val="22"/>
        </w:rPr>
      </w:pPr>
    </w:p>
    <w:p w14:paraId="636F5F86" w14:textId="77777777" w:rsidR="007D5534" w:rsidRDefault="007D5534" w:rsidP="007230A2">
      <w:pPr>
        <w:rPr>
          <w:rFonts w:cs="Times New Roman"/>
          <w:szCs w:val="22"/>
        </w:rPr>
      </w:pPr>
    </w:p>
    <w:p w14:paraId="754CED10" w14:textId="71A51733" w:rsidR="00533FCB" w:rsidRPr="00BE5168" w:rsidRDefault="00533FCB" w:rsidP="00533FCB">
      <w:pPr>
        <w:rPr>
          <w:rFonts w:cs="Times New Roman"/>
          <w:b/>
          <w:szCs w:val="22"/>
        </w:rPr>
      </w:pPr>
      <w:r>
        <w:rPr>
          <w:rFonts w:cs="Times New Roman"/>
          <w:b/>
          <w:szCs w:val="22"/>
        </w:rPr>
        <w:t>Dominant c</w:t>
      </w:r>
      <w:r w:rsidRPr="00BE5168">
        <w:rPr>
          <w:rFonts w:cs="Times New Roman"/>
          <w:b/>
          <w:szCs w:val="22"/>
        </w:rPr>
        <w:t>laim</w:t>
      </w:r>
    </w:p>
    <w:p w14:paraId="232F7E0B" w14:textId="77777777" w:rsidR="00533FCB" w:rsidRDefault="00533FCB" w:rsidP="00533FCB">
      <w:pPr>
        <w:rPr>
          <w:rFonts w:cs="Times New Roman"/>
          <w:bCs/>
          <w:szCs w:val="22"/>
        </w:rPr>
      </w:pPr>
    </w:p>
    <w:p w14:paraId="70032FF4" w14:textId="002D7AEB" w:rsidR="00533FCB" w:rsidRPr="00210011" w:rsidRDefault="00533FCB" w:rsidP="00533FCB">
      <w:pPr>
        <w:pStyle w:val="ListParagraph"/>
        <w:numPr>
          <w:ilvl w:val="0"/>
          <w:numId w:val="4"/>
        </w:numPr>
        <w:rPr>
          <w:rFonts w:eastAsia="Times New Roman" w:cs="Times New Roman"/>
          <w:szCs w:val="22"/>
        </w:rPr>
      </w:pPr>
      <w:r w:rsidRPr="00210011">
        <w:rPr>
          <w:rFonts w:eastAsia="Times New Roman"/>
        </w:rPr>
        <w:t xml:space="preserve">The Democratic Union of Hungarians in Romania (DUHR) is the primary representative of the Hungarian movement for self-determination in Romania. The organization </w:t>
      </w:r>
      <w:r w:rsidRPr="00210011">
        <w:rPr>
          <w:rFonts w:eastAsia="Times New Roman" w:cs="Times New Roman"/>
          <w:szCs w:val="22"/>
        </w:rPr>
        <w:t xml:space="preserve">has advocated </w:t>
      </w:r>
      <w:r w:rsidRPr="00210011">
        <w:t>cultural and territorial autonomy (DUHR 2022)</w:t>
      </w:r>
      <w:r w:rsidRPr="00210011">
        <w:rPr>
          <w:rFonts w:eastAsia="Times New Roman" w:cs="Times New Roman"/>
          <w:szCs w:val="22"/>
        </w:rPr>
        <w:t xml:space="preserve">. </w:t>
      </w:r>
      <w:proofErr w:type="spellStart"/>
      <w:r w:rsidRPr="00210011">
        <w:rPr>
          <w:rFonts w:eastAsia="Times New Roman" w:cs="Times New Roman"/>
          <w:szCs w:val="22"/>
        </w:rPr>
        <w:t>Bochsler</w:t>
      </w:r>
      <w:proofErr w:type="spellEnd"/>
      <w:r w:rsidRPr="00210011">
        <w:rPr>
          <w:rFonts w:eastAsia="Times New Roman" w:cs="Times New Roman"/>
          <w:szCs w:val="22"/>
        </w:rPr>
        <w:t xml:space="preserve"> and </w:t>
      </w:r>
      <w:proofErr w:type="spellStart"/>
      <w:r w:rsidRPr="00210011">
        <w:rPr>
          <w:rFonts w:eastAsia="Times New Roman" w:cs="Times New Roman"/>
          <w:lang w:eastAsia="de-CH"/>
        </w:rPr>
        <w:t>Szöcsik</w:t>
      </w:r>
      <w:proofErr w:type="spellEnd"/>
      <w:r w:rsidRPr="00210011">
        <w:rPr>
          <w:rFonts w:eastAsia="Times New Roman" w:cs="Times New Roman"/>
          <w:lang w:eastAsia="de-CH"/>
        </w:rPr>
        <w:t xml:space="preserve"> (2013), </w:t>
      </w:r>
      <w:proofErr w:type="spellStart"/>
      <w:r w:rsidRPr="00210011">
        <w:t>Deets</w:t>
      </w:r>
      <w:proofErr w:type="spellEnd"/>
      <w:r w:rsidRPr="00210011">
        <w:t xml:space="preserve"> and </w:t>
      </w:r>
      <w:proofErr w:type="spellStart"/>
      <w:r w:rsidRPr="00210011">
        <w:t>Stroschein</w:t>
      </w:r>
      <w:proofErr w:type="spellEnd"/>
      <w:r w:rsidRPr="00210011">
        <w:t xml:space="preserve"> (2005), the Minorities at Risk Project and the </w:t>
      </w:r>
      <w:r w:rsidRPr="00210011">
        <w:rPr>
          <w:rFonts w:eastAsia="Times New Roman" w:cs="Times New Roman"/>
          <w:szCs w:val="22"/>
        </w:rPr>
        <w:t>Minority Rights Group International provide further evidence, with the latter mentioning “</w:t>
      </w:r>
      <w:r w:rsidRPr="00210011">
        <w:t xml:space="preserve">demands for territorial autonomy” as the primary claim of the Hungarians in Romania. </w:t>
      </w:r>
      <w:r w:rsidRPr="00210011">
        <w:rPr>
          <w:rFonts w:eastAsia="Times New Roman" w:cs="Times New Roman"/>
          <w:szCs w:val="22"/>
        </w:rPr>
        <w:t xml:space="preserve">As of 2003, the moderate leadership of the DUHR was challenged by different, more radical Hungarian groups. </w:t>
      </w:r>
      <w:r w:rsidRPr="00210011">
        <w:t xml:space="preserve">However, most of these groups also advocate autonomy rather than independence and since </w:t>
      </w:r>
      <w:r w:rsidRPr="00210011">
        <w:rPr>
          <w:rFonts w:eastAsia="Times New Roman" w:cs="Times New Roman"/>
          <w:szCs w:val="22"/>
        </w:rPr>
        <w:t xml:space="preserve">the DUHR remains the dominant representative of the Hungarian minority anyway, we code an autonomy claim throughout. [1990-2020: autonomy claim] </w:t>
      </w:r>
    </w:p>
    <w:p w14:paraId="45539A2D" w14:textId="4869B2DC" w:rsidR="00533FCB" w:rsidRDefault="00533FCB" w:rsidP="00533FCB">
      <w:pPr>
        <w:rPr>
          <w:rFonts w:cs="Times New Roman"/>
          <w:bCs/>
          <w:szCs w:val="22"/>
        </w:rPr>
      </w:pPr>
    </w:p>
    <w:p w14:paraId="19FF8AC0" w14:textId="77777777" w:rsidR="00533FCB" w:rsidRPr="009C6C8D" w:rsidRDefault="00533FCB" w:rsidP="00533FCB">
      <w:pPr>
        <w:rPr>
          <w:rFonts w:cs="Times New Roman"/>
          <w:bCs/>
          <w:szCs w:val="22"/>
        </w:rPr>
      </w:pPr>
    </w:p>
    <w:p w14:paraId="670B1719" w14:textId="61FCC06B" w:rsidR="00533FCB" w:rsidRPr="00BE5168" w:rsidRDefault="00533FCB" w:rsidP="00533FCB">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2F820E13" w14:textId="77777777" w:rsidR="00533FCB" w:rsidRDefault="00533FCB" w:rsidP="00533FCB">
      <w:pPr>
        <w:rPr>
          <w:rFonts w:cs="Times New Roman"/>
          <w:bCs/>
          <w:szCs w:val="22"/>
        </w:rPr>
      </w:pPr>
    </w:p>
    <w:p w14:paraId="334E97F9" w14:textId="74A46C2E" w:rsidR="00533FCB" w:rsidRDefault="00533FCB" w:rsidP="00533FCB">
      <w:pPr>
        <w:rPr>
          <w:rFonts w:eastAsia="Times New Roman"/>
        </w:rPr>
      </w:pPr>
      <w:r>
        <w:rPr>
          <w:rFonts w:eastAsia="Times New Roman"/>
        </w:rPr>
        <w:t>NA</w:t>
      </w:r>
    </w:p>
    <w:p w14:paraId="64D4B5F9" w14:textId="62D70962" w:rsidR="00533FCB" w:rsidRDefault="00533FCB" w:rsidP="00533FCB">
      <w:pPr>
        <w:rPr>
          <w:rFonts w:eastAsia="Times New Roman"/>
        </w:rPr>
      </w:pPr>
    </w:p>
    <w:p w14:paraId="6E8FEB5C" w14:textId="77777777" w:rsidR="00533FCB" w:rsidRDefault="00533FCB" w:rsidP="00533FCB">
      <w:pPr>
        <w:rPr>
          <w:rFonts w:eastAsia="Times New Roman"/>
        </w:rPr>
      </w:pPr>
    </w:p>
    <w:p w14:paraId="7E0C087E" w14:textId="605B822E" w:rsidR="00533FCB" w:rsidRPr="00BE5168" w:rsidRDefault="00533FCB" w:rsidP="00533FCB">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2EAEBE5D" w14:textId="77777777" w:rsidR="00533FCB" w:rsidRDefault="00533FCB" w:rsidP="00533FCB">
      <w:pPr>
        <w:rPr>
          <w:rFonts w:cs="Times New Roman"/>
          <w:bCs/>
          <w:szCs w:val="22"/>
        </w:rPr>
      </w:pPr>
    </w:p>
    <w:p w14:paraId="6C8CE29C" w14:textId="0850E4ED" w:rsidR="00D24124" w:rsidRPr="00D24124" w:rsidRDefault="00D24124" w:rsidP="00533FCB">
      <w:pPr>
        <w:pStyle w:val="ListParagraph"/>
        <w:numPr>
          <w:ilvl w:val="0"/>
          <w:numId w:val="4"/>
        </w:numPr>
        <w:rPr>
          <w:rFonts w:eastAsia="Times New Roman"/>
        </w:rPr>
      </w:pPr>
      <w:r w:rsidRPr="00D24124">
        <w:rPr>
          <w:rFonts w:eastAsia="Times New Roman" w:cs="Times New Roman"/>
          <w:szCs w:val="22"/>
        </w:rPr>
        <w:t>Hewitt and Cheetham (2000: 248) suggest that Hungarians have called for the reunification of Transylvania with Hungary and, failing that, the restoration of an autonomous Hungarian region within Romania. Yet, we could not find corroborating evidence suggesting irredentist claims prior to 2000, the year Hewitt and Cheetham’s encyclopedia was published.</w:t>
      </w:r>
    </w:p>
    <w:p w14:paraId="0C60F213" w14:textId="77777777" w:rsidR="00D24124" w:rsidRPr="00D24124" w:rsidRDefault="00D24124" w:rsidP="00D24124">
      <w:pPr>
        <w:pStyle w:val="ListParagraph"/>
        <w:numPr>
          <w:ilvl w:val="0"/>
          <w:numId w:val="4"/>
        </w:numPr>
        <w:rPr>
          <w:rFonts w:eastAsia="Times New Roman"/>
        </w:rPr>
      </w:pPr>
      <w:r w:rsidRPr="00D24124">
        <w:rPr>
          <w:rFonts w:eastAsia="Times New Roman"/>
        </w:rPr>
        <w:lastRenderedPageBreak/>
        <w:t xml:space="preserve">In the context of the </w:t>
      </w:r>
      <w:r w:rsidR="00533FCB" w:rsidRPr="00D24124">
        <w:rPr>
          <w:rFonts w:eastAsia="Times New Roman"/>
        </w:rPr>
        <w:t>100</w:t>
      </w:r>
      <w:r w:rsidR="00533FCB" w:rsidRPr="00D24124">
        <w:rPr>
          <w:rFonts w:eastAsia="Times New Roman"/>
          <w:vertAlign w:val="superscript"/>
        </w:rPr>
        <w:t>th</w:t>
      </w:r>
      <w:r w:rsidR="00533FCB" w:rsidRPr="00D24124">
        <w:rPr>
          <w:rFonts w:eastAsia="Times New Roman"/>
        </w:rPr>
        <w:t xml:space="preserve"> anniversary of the </w:t>
      </w:r>
      <w:r w:rsidRPr="00D24124">
        <w:rPr>
          <w:rFonts w:eastAsia="Times New Roman"/>
        </w:rPr>
        <w:t xml:space="preserve">1918 </w:t>
      </w:r>
      <w:r w:rsidR="00533FCB" w:rsidRPr="00D24124">
        <w:rPr>
          <w:rFonts w:eastAsia="Times New Roman"/>
        </w:rPr>
        <w:t>Treaty of Trianon</w:t>
      </w:r>
      <w:r w:rsidRPr="00D24124">
        <w:rPr>
          <w:rFonts w:eastAsia="Times New Roman"/>
        </w:rPr>
        <w:t xml:space="preserve">, some groups suggested that the Treaty should be revised, which “arbitrarily” made Transylvania a part of </w:t>
      </w:r>
      <w:proofErr w:type="gramStart"/>
      <w:r w:rsidRPr="00D24124">
        <w:rPr>
          <w:rFonts w:eastAsia="Times New Roman"/>
        </w:rPr>
        <w:t>Romania, and</w:t>
      </w:r>
      <w:proofErr w:type="gramEnd"/>
      <w:r w:rsidRPr="00D24124">
        <w:rPr>
          <w:rFonts w:eastAsia="Times New Roman"/>
        </w:rPr>
        <w:t xml:space="preserve"> suggested that the territory </w:t>
      </w:r>
      <w:proofErr w:type="spellStart"/>
      <w:r w:rsidRPr="00D24124">
        <w:rPr>
          <w:rFonts w:eastAsia="Times New Roman"/>
        </w:rPr>
        <w:t>yis</w:t>
      </w:r>
      <w:proofErr w:type="spellEnd"/>
      <w:r w:rsidRPr="00D24124">
        <w:rPr>
          <w:rFonts w:eastAsia="Times New Roman"/>
        </w:rPr>
        <w:t xml:space="preserve"> under </w:t>
      </w:r>
      <w:r w:rsidR="00CC27F5" w:rsidRPr="00D24124">
        <w:rPr>
          <w:rFonts w:eastAsia="Times New Roman"/>
        </w:rPr>
        <w:t>“temporary occupation”</w:t>
      </w:r>
      <w:r w:rsidR="00E10431" w:rsidRPr="00D24124">
        <w:rPr>
          <w:rFonts w:eastAsia="Times New Roman"/>
        </w:rPr>
        <w:t xml:space="preserve"> (</w:t>
      </w:r>
      <w:proofErr w:type="spellStart"/>
      <w:r w:rsidR="00E10431" w:rsidRPr="00D24124">
        <w:rPr>
          <w:rFonts w:eastAsia="Times New Roman"/>
        </w:rPr>
        <w:t>Pilhál</w:t>
      </w:r>
      <w:proofErr w:type="spellEnd"/>
      <w:r w:rsidR="00E10431" w:rsidRPr="00D24124">
        <w:rPr>
          <w:rFonts w:eastAsia="Times New Roman"/>
        </w:rPr>
        <w:t xml:space="preserve"> 2019)</w:t>
      </w:r>
      <w:r w:rsidR="00CC27F5" w:rsidRPr="00D24124">
        <w:rPr>
          <w:rFonts w:eastAsia="Times New Roman"/>
        </w:rPr>
        <w:t xml:space="preserve">. </w:t>
      </w:r>
      <w:r w:rsidRPr="00D24124">
        <w:rPr>
          <w:rFonts w:eastAsia="Times New Roman"/>
        </w:rPr>
        <w:t xml:space="preserve">Yet, such claims are typically made not by Hungarians in Romania, but in Hungary. </w:t>
      </w:r>
      <w:proofErr w:type="spellStart"/>
      <w:r w:rsidR="00CC27F5" w:rsidRPr="00D24124">
        <w:rPr>
          <w:rFonts w:eastAsia="Times New Roman"/>
        </w:rPr>
        <w:t>Pilhál</w:t>
      </w:r>
      <w:proofErr w:type="spellEnd"/>
      <w:r w:rsidR="00CC27F5" w:rsidRPr="00D24124">
        <w:rPr>
          <w:rFonts w:eastAsia="Times New Roman"/>
        </w:rPr>
        <w:t xml:space="preserve"> is part of a group of far right journalists supported by Viktor Orbán which has been described by others as cause for concern, and potentially a first step towards the growth of “Hungarian irredentism” (Hungarian Spectrum 2019).</w:t>
      </w:r>
      <w:r w:rsidR="000F6419" w:rsidRPr="00D24124">
        <w:rPr>
          <w:rFonts w:eastAsia="Times New Roman"/>
        </w:rPr>
        <w:t xml:space="preserve"> </w:t>
      </w:r>
    </w:p>
    <w:p w14:paraId="50312ABA" w14:textId="77777777" w:rsidR="00D24124" w:rsidRPr="00D24124" w:rsidRDefault="000F6419" w:rsidP="00D24124">
      <w:pPr>
        <w:pStyle w:val="ListParagraph"/>
        <w:numPr>
          <w:ilvl w:val="0"/>
          <w:numId w:val="4"/>
        </w:numPr>
        <w:rPr>
          <w:rFonts w:eastAsia="Times New Roman"/>
        </w:rPr>
      </w:pPr>
      <w:r w:rsidRPr="00D24124">
        <w:rPr>
          <w:rFonts w:eastAsia="Times New Roman"/>
        </w:rPr>
        <w:t xml:space="preserve">The President of Romania Klaus Iohannis made comments claiming that there are forces within </w:t>
      </w:r>
      <w:r w:rsidR="00F9371D" w:rsidRPr="00D24124">
        <w:rPr>
          <w:rFonts w:eastAsia="Times New Roman"/>
        </w:rPr>
        <w:t xml:space="preserve">the </w:t>
      </w:r>
      <w:r w:rsidRPr="00D24124">
        <w:rPr>
          <w:rFonts w:eastAsia="Times New Roman"/>
        </w:rPr>
        <w:t>Romanian opposition</w:t>
      </w:r>
      <w:r w:rsidR="00F9371D" w:rsidRPr="00D24124">
        <w:rPr>
          <w:rFonts w:eastAsia="Times New Roman"/>
        </w:rPr>
        <w:t xml:space="preserve"> party (PSD)</w:t>
      </w:r>
      <w:r w:rsidRPr="00D24124">
        <w:rPr>
          <w:rFonts w:eastAsia="Times New Roman"/>
        </w:rPr>
        <w:t xml:space="preserve"> vying to “give </w:t>
      </w:r>
      <w:proofErr w:type="spellStart"/>
      <w:r w:rsidRPr="00D24124">
        <w:rPr>
          <w:rFonts w:eastAsia="Times New Roman"/>
        </w:rPr>
        <w:t>Translvania</w:t>
      </w:r>
      <w:proofErr w:type="spellEnd"/>
      <w:r w:rsidRPr="00D24124">
        <w:rPr>
          <w:rFonts w:eastAsia="Times New Roman"/>
        </w:rPr>
        <w:t xml:space="preserve"> to Hungarians”</w:t>
      </w:r>
      <w:r w:rsidR="00D24124" w:rsidRPr="00D24124">
        <w:rPr>
          <w:rFonts w:eastAsia="Times New Roman"/>
        </w:rPr>
        <w:t xml:space="preserve"> </w:t>
      </w:r>
      <w:r w:rsidR="00F9371D" w:rsidRPr="00D24124">
        <w:rPr>
          <w:rFonts w:eastAsia="Times New Roman"/>
        </w:rPr>
        <w:t>(due to the party’s support for increased autonomy granted to Hungarians)</w:t>
      </w:r>
      <w:r w:rsidR="00D24124" w:rsidRPr="00D24124">
        <w:rPr>
          <w:rFonts w:eastAsia="Times New Roman"/>
        </w:rPr>
        <w:t>. B</w:t>
      </w:r>
      <w:r w:rsidRPr="00D24124">
        <w:rPr>
          <w:rFonts w:eastAsia="Times New Roman"/>
        </w:rPr>
        <w:t xml:space="preserve">ut </w:t>
      </w:r>
      <w:r w:rsidR="00CD773D" w:rsidRPr="00D24124">
        <w:rPr>
          <w:rFonts w:eastAsia="Times New Roman"/>
        </w:rPr>
        <w:t xml:space="preserve">this </w:t>
      </w:r>
      <w:r w:rsidRPr="00D24124">
        <w:rPr>
          <w:rFonts w:eastAsia="Times New Roman"/>
        </w:rPr>
        <w:t xml:space="preserve">does not </w:t>
      </w:r>
      <w:r w:rsidR="00CD773D" w:rsidRPr="00D24124">
        <w:rPr>
          <w:rFonts w:eastAsia="Times New Roman"/>
        </w:rPr>
        <w:t xml:space="preserve">seem to </w:t>
      </w:r>
      <w:r w:rsidRPr="00D24124">
        <w:rPr>
          <w:rFonts w:eastAsia="Times New Roman"/>
        </w:rPr>
        <w:t>correspond to a verifiable irredentist claim, and must be instead understood in the context of domestic ‘politics’ (</w:t>
      </w:r>
      <w:proofErr w:type="spellStart"/>
      <w:r w:rsidRPr="00D24124">
        <w:rPr>
          <w:rFonts w:eastAsia="Times New Roman"/>
        </w:rPr>
        <w:t>Agerpes</w:t>
      </w:r>
      <w:proofErr w:type="spellEnd"/>
      <w:r w:rsidRPr="00D24124">
        <w:rPr>
          <w:rFonts w:eastAsia="Times New Roman"/>
        </w:rPr>
        <w:t xml:space="preserve"> 2020; </w:t>
      </w:r>
      <w:proofErr w:type="spellStart"/>
      <w:r w:rsidRPr="00D24124">
        <w:rPr>
          <w:rFonts w:eastAsia="Times New Roman"/>
        </w:rPr>
        <w:t>Barberá</w:t>
      </w:r>
      <w:proofErr w:type="spellEnd"/>
      <w:r w:rsidRPr="00D24124">
        <w:rPr>
          <w:rFonts w:eastAsia="Times New Roman"/>
        </w:rPr>
        <w:t xml:space="preserve"> 2020).</w:t>
      </w:r>
      <w:r w:rsidR="00CC27F5" w:rsidRPr="00D24124">
        <w:rPr>
          <w:rFonts w:eastAsia="Times New Roman"/>
        </w:rPr>
        <w:t xml:space="preserve"> </w:t>
      </w:r>
    </w:p>
    <w:p w14:paraId="319D63D7" w14:textId="0E11BF37" w:rsidR="00533FCB" w:rsidRPr="00D24124" w:rsidRDefault="00CC27F5" w:rsidP="00D24124">
      <w:pPr>
        <w:pStyle w:val="ListParagraph"/>
        <w:numPr>
          <w:ilvl w:val="0"/>
          <w:numId w:val="4"/>
        </w:numPr>
        <w:rPr>
          <w:rFonts w:eastAsia="Times New Roman"/>
        </w:rPr>
      </w:pPr>
      <w:r w:rsidRPr="00D24124">
        <w:rPr>
          <w:rFonts w:eastAsia="Times New Roman"/>
        </w:rPr>
        <w:t xml:space="preserve">While there may be some support for irredentism internally among Hungarians in Transylvania, we </w:t>
      </w:r>
      <w:r w:rsidR="00D24124" w:rsidRPr="00D24124">
        <w:rPr>
          <w:rFonts w:eastAsia="Times New Roman"/>
        </w:rPr>
        <w:t xml:space="preserve">could not find an organized </w:t>
      </w:r>
      <w:r w:rsidRPr="00D24124">
        <w:rPr>
          <w:rFonts w:eastAsia="Times New Roman"/>
        </w:rPr>
        <w:t xml:space="preserve">movement </w:t>
      </w:r>
      <w:r w:rsidR="00D24124" w:rsidRPr="00D24124">
        <w:rPr>
          <w:rFonts w:eastAsia="Times New Roman"/>
        </w:rPr>
        <w:t>operating in Romania</w:t>
      </w:r>
      <w:r w:rsidRPr="00D24124">
        <w:rPr>
          <w:rFonts w:eastAsia="Times New Roman"/>
        </w:rPr>
        <w:t>.</w:t>
      </w:r>
      <w:r w:rsidR="00D24124" w:rsidRPr="00D24124">
        <w:rPr>
          <w:rFonts w:eastAsia="Times New Roman"/>
        </w:rPr>
        <w:t xml:space="preserve"> </w:t>
      </w:r>
      <w:r w:rsidR="00116F63" w:rsidRPr="00D24124">
        <w:rPr>
          <w:rFonts w:eastAsia="Times New Roman"/>
        </w:rPr>
        <w:t>[no irredentist claims]</w:t>
      </w:r>
    </w:p>
    <w:p w14:paraId="7F3BEE0D" w14:textId="39286F12" w:rsidR="00533FCB" w:rsidRDefault="00533FCB" w:rsidP="00533FCB">
      <w:pPr>
        <w:rPr>
          <w:rFonts w:eastAsia="Times New Roman"/>
        </w:rPr>
      </w:pPr>
    </w:p>
    <w:p w14:paraId="5F39D33D" w14:textId="77777777" w:rsidR="00533FCB" w:rsidRPr="009C6C8D" w:rsidRDefault="00533FCB" w:rsidP="00533FCB">
      <w:pPr>
        <w:rPr>
          <w:rFonts w:cs="Times New Roman"/>
          <w:bCs/>
          <w:szCs w:val="22"/>
        </w:rPr>
      </w:pPr>
    </w:p>
    <w:p w14:paraId="69290D50" w14:textId="77777777" w:rsidR="00533FCB" w:rsidRDefault="00533FCB" w:rsidP="00533FCB">
      <w:pPr>
        <w:rPr>
          <w:rFonts w:cs="Times New Roman"/>
        </w:rPr>
      </w:pPr>
      <w:r>
        <w:rPr>
          <w:rFonts w:cs="Times New Roman"/>
          <w:b/>
        </w:rPr>
        <w:t xml:space="preserve">Claimed </w:t>
      </w:r>
      <w:proofErr w:type="gramStart"/>
      <w:r>
        <w:rPr>
          <w:rFonts w:cs="Times New Roman"/>
          <w:b/>
        </w:rPr>
        <w:t>territory</w:t>
      </w:r>
      <w:proofErr w:type="gramEnd"/>
    </w:p>
    <w:p w14:paraId="66F09871" w14:textId="77777777" w:rsidR="00533FCB" w:rsidRPr="00EF77A4" w:rsidRDefault="00533FCB" w:rsidP="00533FCB">
      <w:pPr>
        <w:rPr>
          <w:rFonts w:cs="Times New Roman"/>
        </w:rPr>
      </w:pPr>
    </w:p>
    <w:p w14:paraId="371513D9" w14:textId="77777777" w:rsidR="00533FCB" w:rsidRDefault="00533FCB" w:rsidP="00533FCB">
      <w:pPr>
        <w:pStyle w:val="ListParagraph"/>
        <w:numPr>
          <w:ilvl w:val="0"/>
          <w:numId w:val="4"/>
        </w:numPr>
        <w:rPr>
          <w:rFonts w:cs="Times New Roman"/>
          <w:bCs/>
          <w:szCs w:val="22"/>
        </w:rPr>
      </w:pPr>
      <w:r w:rsidRPr="004726FE">
        <w:rPr>
          <w:rFonts w:cs="Times New Roman"/>
          <w:bCs/>
          <w:szCs w:val="22"/>
        </w:rPr>
        <w:t xml:space="preserve">The Hungarians want more self-determination in the regions where they form the majority. This includes the counties of </w:t>
      </w:r>
      <w:proofErr w:type="spellStart"/>
      <w:r w:rsidRPr="004726FE">
        <w:rPr>
          <w:rFonts w:cs="Times New Roman"/>
          <w:bCs/>
          <w:szCs w:val="22"/>
        </w:rPr>
        <w:t>Harghite</w:t>
      </w:r>
      <w:proofErr w:type="spellEnd"/>
      <w:r w:rsidRPr="004726FE">
        <w:rPr>
          <w:rFonts w:cs="Times New Roman"/>
          <w:bCs/>
          <w:szCs w:val="22"/>
        </w:rPr>
        <w:t xml:space="preserve">, Covasna, and many smaller communities in the counties of Mures, Satu Mare, </w:t>
      </w:r>
      <w:proofErr w:type="spellStart"/>
      <w:r w:rsidRPr="004726FE">
        <w:rPr>
          <w:rFonts w:cs="Times New Roman"/>
          <w:bCs/>
          <w:szCs w:val="22"/>
        </w:rPr>
        <w:t>Salaj</w:t>
      </w:r>
      <w:proofErr w:type="spellEnd"/>
      <w:r w:rsidRPr="004726FE">
        <w:rPr>
          <w:rFonts w:cs="Times New Roman"/>
          <w:bCs/>
          <w:szCs w:val="22"/>
        </w:rPr>
        <w:t xml:space="preserve">, Cluj, Alba, and Bihor </w:t>
      </w:r>
      <w:r>
        <w:rPr>
          <w:rFonts w:cs="Times New Roman"/>
          <w:bCs/>
          <w:szCs w:val="22"/>
        </w:rPr>
        <w:t>(see below)</w:t>
      </w:r>
      <w:r w:rsidRPr="004726FE">
        <w:rPr>
          <w:rFonts w:cs="Times New Roman"/>
          <w:bCs/>
          <w:szCs w:val="22"/>
        </w:rPr>
        <w:t xml:space="preserve">. We used a 2011 census map </w:t>
      </w:r>
      <w:r>
        <w:rPr>
          <w:rFonts w:cs="Times New Roman"/>
          <w:bCs/>
          <w:szCs w:val="22"/>
        </w:rPr>
        <w:t xml:space="preserve">from Wikipedia </w:t>
      </w:r>
      <w:r w:rsidRPr="004726FE">
        <w:rPr>
          <w:rFonts w:cs="Times New Roman"/>
          <w:bCs/>
          <w:szCs w:val="22"/>
        </w:rPr>
        <w:t>to identify all Hungarian-majority counties and code th</w:t>
      </w:r>
      <w:r>
        <w:rPr>
          <w:rFonts w:cs="Times New Roman"/>
          <w:bCs/>
          <w:szCs w:val="22"/>
        </w:rPr>
        <w:t>at</w:t>
      </w:r>
      <w:r w:rsidRPr="004726FE">
        <w:rPr>
          <w:rFonts w:cs="Times New Roman"/>
          <w:bCs/>
          <w:szCs w:val="22"/>
        </w:rPr>
        <w:t xml:space="preserve"> territory using the Global Administrative Areas database.</w:t>
      </w:r>
    </w:p>
    <w:p w14:paraId="3EA73BC8" w14:textId="77777777" w:rsidR="00533FCB" w:rsidRDefault="00533FCB" w:rsidP="00533FCB">
      <w:pPr>
        <w:rPr>
          <w:rFonts w:cs="Times New Roman"/>
          <w:bCs/>
          <w:szCs w:val="22"/>
        </w:rPr>
      </w:pPr>
    </w:p>
    <w:p w14:paraId="30AD3A3A" w14:textId="77777777" w:rsidR="00533FCB" w:rsidRPr="00210011" w:rsidRDefault="00533FCB" w:rsidP="00533FCB">
      <w:pPr>
        <w:rPr>
          <w:rFonts w:cs="Times New Roman"/>
          <w:bCs/>
          <w:szCs w:val="22"/>
        </w:rPr>
      </w:pPr>
    </w:p>
    <w:p w14:paraId="009FA35B" w14:textId="77777777" w:rsidR="00533FCB" w:rsidRPr="00BE5168" w:rsidRDefault="00533FCB" w:rsidP="00533FCB">
      <w:pPr>
        <w:rPr>
          <w:rFonts w:cs="Times New Roman"/>
          <w:b/>
          <w:szCs w:val="22"/>
        </w:rPr>
      </w:pPr>
      <w:r w:rsidRPr="00BE5168">
        <w:rPr>
          <w:rFonts w:cs="Times New Roman"/>
          <w:b/>
          <w:szCs w:val="22"/>
        </w:rPr>
        <w:t>Sovereignty declarations</w:t>
      </w:r>
    </w:p>
    <w:p w14:paraId="074A9D33" w14:textId="77777777" w:rsidR="00533FCB" w:rsidRPr="006F657B" w:rsidRDefault="00533FCB" w:rsidP="00533FCB">
      <w:pPr>
        <w:rPr>
          <w:rFonts w:cs="Times New Roman"/>
          <w:szCs w:val="22"/>
        </w:rPr>
      </w:pPr>
    </w:p>
    <w:p w14:paraId="547D576A" w14:textId="77777777" w:rsidR="00533FCB" w:rsidRPr="006F657B" w:rsidRDefault="00533FCB" w:rsidP="00533FCB">
      <w:pPr>
        <w:rPr>
          <w:rFonts w:cs="Times New Roman"/>
          <w:szCs w:val="22"/>
        </w:rPr>
      </w:pPr>
      <w:r>
        <w:rPr>
          <w:rFonts w:cs="Times New Roman"/>
          <w:szCs w:val="22"/>
        </w:rPr>
        <w:t>NA</w:t>
      </w:r>
    </w:p>
    <w:p w14:paraId="5242FF1D" w14:textId="1616ABD6" w:rsidR="007230A2" w:rsidRDefault="007230A2" w:rsidP="007230A2">
      <w:pPr>
        <w:rPr>
          <w:rFonts w:cs="Times New Roman"/>
          <w:szCs w:val="22"/>
        </w:rPr>
      </w:pPr>
    </w:p>
    <w:p w14:paraId="7ECAFD17" w14:textId="77777777" w:rsidR="00D24124" w:rsidRPr="007230A2" w:rsidRDefault="00D24124" w:rsidP="007230A2">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19652138" w14:textId="3FD27051" w:rsidR="007230A2" w:rsidRPr="007230A2" w:rsidRDefault="007230A2" w:rsidP="007230A2">
      <w:pPr>
        <w:pStyle w:val="ListParagraph"/>
        <w:numPr>
          <w:ilvl w:val="0"/>
          <w:numId w:val="74"/>
        </w:numPr>
        <w:rPr>
          <w:rFonts w:cs="Times New Roman"/>
          <w:szCs w:val="22"/>
        </w:rPr>
      </w:pPr>
      <w:r w:rsidRPr="007230A2">
        <w:rPr>
          <w:rFonts w:cs="Times New Roman"/>
          <w:szCs w:val="22"/>
        </w:rPr>
        <w:t>We found no reports of separatist violence, hence a NVIOLSD classification.</w:t>
      </w:r>
      <w:r>
        <w:rPr>
          <w:rFonts w:cs="Times New Roman"/>
          <w:szCs w:val="22"/>
        </w:rPr>
        <w:t xml:space="preserve"> [NVIOLSD]</w:t>
      </w:r>
    </w:p>
    <w:p w14:paraId="310A823B" w14:textId="6CD06CEC" w:rsidR="007230A2" w:rsidRDefault="007230A2" w:rsidP="00E17E6D">
      <w:pPr>
        <w:rPr>
          <w:rFonts w:cs="Times New Roman"/>
          <w:szCs w:val="22"/>
        </w:rPr>
      </w:pPr>
    </w:p>
    <w:p w14:paraId="79806B90" w14:textId="77777777" w:rsidR="00403CC9" w:rsidRDefault="00403CC9" w:rsidP="00794F7B">
      <w:pPr>
        <w:rPr>
          <w:rFonts w:cs="Times New Roman"/>
          <w:b/>
          <w:szCs w:val="22"/>
        </w:rPr>
      </w:pPr>
    </w:p>
    <w:p w14:paraId="639A59D5" w14:textId="674C4625" w:rsidR="00794F7B" w:rsidRPr="00BE5168" w:rsidRDefault="002D73D5" w:rsidP="00794F7B">
      <w:pPr>
        <w:rPr>
          <w:rFonts w:cs="Times New Roman"/>
          <w:szCs w:val="22"/>
        </w:rPr>
      </w:pPr>
      <w:r>
        <w:rPr>
          <w:rFonts w:cs="Times New Roman"/>
          <w:b/>
          <w:szCs w:val="22"/>
        </w:rPr>
        <w:t xml:space="preserve">Historical </w:t>
      </w:r>
      <w:r w:rsidR="005735FF">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7D884CA" w14:textId="77777777" w:rsidR="004726FE" w:rsidRDefault="004726FE" w:rsidP="004726FE">
      <w:pPr>
        <w:pStyle w:val="ListParagraph"/>
        <w:numPr>
          <w:ilvl w:val="0"/>
          <w:numId w:val="4"/>
        </w:numPr>
      </w:pPr>
      <w:r>
        <w:t xml:space="preserve">Most </w:t>
      </w:r>
      <w:r w:rsidRPr="009167A5">
        <w:t>ethnic Hungarians</w:t>
      </w:r>
      <w:r>
        <w:t xml:space="preserve"> of </w:t>
      </w:r>
      <w:r w:rsidRPr="009167A5">
        <w:t>Romania</w:t>
      </w:r>
      <w:r>
        <w:t xml:space="preserve"> live in areas that had belonged to Hungary before the 1920 Treaty of Trianon and are known as Transylvania today. Transylvania, part of the Kingdom of Hungary from the eleventh century on, became an autonomous state under the Ottoman </w:t>
      </w:r>
      <w:r w:rsidRPr="00360D7E">
        <w:t>suzerainty</w:t>
      </w:r>
      <w:r>
        <w:t xml:space="preserve"> in 1571. After the Ottoman defeat in Vienna in 1683, the </w:t>
      </w:r>
      <w:r w:rsidRPr="00360D7E">
        <w:t>Habsburg Empire</w:t>
      </w:r>
      <w:r>
        <w:t xml:space="preserve"> gradually incorporated Transylvania and in 1711 the territory became part of the Habsburg Monarchy with a special status. The formerly autonomous princes of Transylvania were replaced with Habsburg-installed governors. The special status of Transylvania ended</w:t>
      </w:r>
      <w:r w:rsidRPr="00343C2D">
        <w:rPr>
          <w:rFonts w:cs="Times New Roman"/>
        </w:rPr>
        <w:t xml:space="preserve"> in 1867, when the </w:t>
      </w:r>
      <w:r w:rsidRPr="000F7104">
        <w:t>Austro-Hung</w:t>
      </w:r>
      <w:r>
        <w:t xml:space="preserve">arian Empire was established. </w:t>
      </w:r>
      <w:r w:rsidRPr="00343C2D">
        <w:rPr>
          <w:rFonts w:cs="Times New Roman"/>
        </w:rPr>
        <w:t xml:space="preserve">Transylvania was included in the Austro-Hungarian Empire, where it formed part of the Hungarian kingdom, which had considerable autonomy in the conduct of national defense, foreign affairs, and certain financial matters. Hungarian was declared </w:t>
      </w:r>
      <w:r>
        <w:rPr>
          <w:rFonts w:cs="Times New Roman"/>
        </w:rPr>
        <w:t xml:space="preserve">the </w:t>
      </w:r>
      <w:r w:rsidRPr="00343C2D">
        <w:rPr>
          <w:rFonts w:cs="Times New Roman"/>
        </w:rPr>
        <w:t xml:space="preserve">official language and a policy of Magyarization aimed at assimilating the ethnic minority groups of </w:t>
      </w:r>
      <w:r>
        <w:t>Transylvania (Minahan 2000; Minorities at Risk; Minority Rights Group International).</w:t>
      </w:r>
    </w:p>
    <w:p w14:paraId="086B04EA" w14:textId="77777777" w:rsidR="004726FE" w:rsidRPr="00343C2D" w:rsidRDefault="004726FE" w:rsidP="004726FE">
      <w:pPr>
        <w:pStyle w:val="ListParagraph"/>
        <w:numPr>
          <w:ilvl w:val="0"/>
          <w:numId w:val="4"/>
        </w:numPr>
      </w:pPr>
      <w:r w:rsidRPr="00343C2D">
        <w:rPr>
          <w:rFonts w:cs="Times New Roman"/>
        </w:rPr>
        <w:t>After the First World War, Romania acquired the ethn</w:t>
      </w:r>
      <w:r>
        <w:t xml:space="preserve">ically diverse territory of </w:t>
      </w:r>
      <w:proofErr w:type="gramStart"/>
      <w:r w:rsidRPr="00343C2D">
        <w:rPr>
          <w:rFonts w:cs="Times New Roman"/>
        </w:rPr>
        <w:t>Transylvania</w:t>
      </w:r>
      <w:proofErr w:type="gramEnd"/>
      <w:r w:rsidRPr="00343C2D">
        <w:rPr>
          <w:rFonts w:cs="Times New Roman"/>
        </w:rPr>
        <w:t xml:space="preserve"> and m</w:t>
      </w:r>
      <w:r>
        <w:t xml:space="preserve">ore than 1.5 million Hungarians suddenly became a minority within Romania. The Treaty of Trianon in 1920 finalized the incorporation </w:t>
      </w:r>
      <w:r w:rsidRPr="00343C2D">
        <w:rPr>
          <w:rFonts w:cs="Times New Roman"/>
        </w:rPr>
        <w:t xml:space="preserve">despite efforts by the Szeklers and Magyars to establish their own Republic in Transylvania (Minahan 2000: 312). Although </w:t>
      </w:r>
      <w:r>
        <w:t xml:space="preserve">self-government was promised for the minorities, among which the Hungarians, no such concessions were implemented. Instead, the Romanian government neglected minorities, </w:t>
      </w:r>
      <w:r w:rsidRPr="00343C2D">
        <w:rPr>
          <w:rFonts w:cs="Times New Roman"/>
        </w:rPr>
        <w:t xml:space="preserve">placed restrictions on </w:t>
      </w:r>
      <w:r w:rsidRPr="00343C2D">
        <w:rPr>
          <w:rFonts w:cs="Times New Roman"/>
        </w:rPr>
        <w:lastRenderedPageBreak/>
        <w:t xml:space="preserve">language and religious rights </w:t>
      </w:r>
      <w:r>
        <w:t xml:space="preserve">and </w:t>
      </w:r>
      <w:r w:rsidRPr="00343C2D">
        <w:rPr>
          <w:rFonts w:cs="Times New Roman"/>
        </w:rPr>
        <w:t xml:space="preserve">applied a policy of </w:t>
      </w:r>
      <w:proofErr w:type="spellStart"/>
      <w:r w:rsidRPr="00343C2D">
        <w:rPr>
          <w:rFonts w:cs="Times New Roman"/>
        </w:rPr>
        <w:t>Romanianization</w:t>
      </w:r>
      <w:proofErr w:type="spellEnd"/>
      <w:r w:rsidRPr="00343C2D">
        <w:rPr>
          <w:rFonts w:cs="Times New Roman"/>
        </w:rPr>
        <w:t xml:space="preserve"> (Minahan 2003: 1813; Minority Rights Group International). </w:t>
      </w:r>
    </w:p>
    <w:p w14:paraId="0CA83C15" w14:textId="77777777" w:rsidR="004726FE" w:rsidRPr="00343C2D" w:rsidRDefault="004726FE" w:rsidP="004726FE">
      <w:pPr>
        <w:pStyle w:val="ListParagraph"/>
        <w:numPr>
          <w:ilvl w:val="0"/>
          <w:numId w:val="4"/>
        </w:numPr>
      </w:pPr>
      <w:r w:rsidRPr="00343C2D">
        <w:rPr>
          <w:rFonts w:cs="Times New Roman"/>
        </w:rPr>
        <w:t xml:space="preserve">During the Second </w:t>
      </w:r>
      <w:r>
        <w:t>World War</w:t>
      </w:r>
      <w:r w:rsidRPr="00343C2D">
        <w:rPr>
          <w:rFonts w:cs="Times New Roman"/>
        </w:rPr>
        <w:t xml:space="preserve">, as an axis ally, </w:t>
      </w:r>
      <w:r>
        <w:t xml:space="preserve">fascist </w:t>
      </w:r>
      <w:r w:rsidRPr="00343C2D">
        <w:rPr>
          <w:rFonts w:cs="Times New Roman"/>
        </w:rPr>
        <w:t xml:space="preserve">Hungary was allowed to annex northern Transylvania into Hungary once more. However, </w:t>
      </w:r>
      <w:r>
        <w:t>Romanian control was re-established after the war</w:t>
      </w:r>
      <w:r w:rsidRPr="00343C2D">
        <w:rPr>
          <w:rFonts w:cs="Times New Roman"/>
        </w:rPr>
        <w:t xml:space="preserve"> and the pre-1937 borders were re-instated in 1946 (Minahan 2000: 313; Minority Rights Group International).</w:t>
      </w:r>
    </w:p>
    <w:p w14:paraId="337DAE56" w14:textId="053DDEFF" w:rsidR="00794F7B" w:rsidRPr="004726FE" w:rsidRDefault="004726FE" w:rsidP="004726FE">
      <w:pPr>
        <w:pStyle w:val="ListParagraph"/>
        <w:numPr>
          <w:ilvl w:val="0"/>
          <w:numId w:val="4"/>
        </w:numPr>
        <w:rPr>
          <w:rFonts w:cs="Times New Roman"/>
          <w:szCs w:val="22"/>
        </w:rPr>
      </w:pPr>
      <w:r>
        <w:t>In the early years of communist rule, the</w:t>
      </w:r>
      <w:r w:rsidRPr="00A817D2">
        <w:t xml:space="preserve"> </w:t>
      </w:r>
      <w:r>
        <w:t xml:space="preserve">Hungarians enjoyed some degree of territorial autonomy and cultural rights for a brief period. </w:t>
      </w:r>
      <w:r w:rsidRPr="000E3632">
        <w:t>The Constitution of 1952</w:t>
      </w:r>
      <w:r>
        <w:t xml:space="preserve"> established the </w:t>
      </w:r>
      <w:r w:rsidRPr="00A817D2">
        <w:t>Magyar Autonomous Region</w:t>
      </w:r>
      <w:r>
        <w:t xml:space="preserve"> (</w:t>
      </w:r>
      <w:proofErr w:type="spellStart"/>
      <w:r>
        <w:t>Deets</w:t>
      </w:r>
      <w:proofErr w:type="spellEnd"/>
      <w:r>
        <w:t xml:space="preserve"> and </w:t>
      </w:r>
      <w:proofErr w:type="spellStart"/>
      <w:r>
        <w:t>Stroschein</w:t>
      </w:r>
      <w:proofErr w:type="spellEnd"/>
      <w:r>
        <w:t xml:space="preserve"> 2005; Hewitt &amp; Cheetham 2000: 298). However, its “powers of self-rule were only nominal” (</w:t>
      </w:r>
      <w:r w:rsidRPr="004726FE">
        <w:rPr>
          <w:rFonts w:cs="Times New Roman"/>
        </w:rPr>
        <w:t xml:space="preserve">Minority Rights Group International) and </w:t>
      </w:r>
      <w:r>
        <w:t xml:space="preserve">only </w:t>
      </w:r>
      <w:r w:rsidRPr="00D07F79">
        <w:t>one-third of Romania’s Hu</w:t>
      </w:r>
      <w:r>
        <w:t>ngarians lived within its bound</w:t>
      </w:r>
      <w:r w:rsidRPr="00D07F79">
        <w:t>aries.</w:t>
      </w:r>
      <w:r>
        <w:t xml:space="preserve"> Nevertheless, there were some accommodative characteristics such as the permission to use the Hungarian language in administration and courts and the use of bilingual signs. The communist regime also made cultural concessions to its minority groups by providing a network of minority-language schools, </w:t>
      </w:r>
      <w:proofErr w:type="gramStart"/>
      <w:r>
        <w:t>publications</w:t>
      </w:r>
      <w:proofErr w:type="gramEnd"/>
      <w:r>
        <w:t xml:space="preserve"> and cultural organizations. </w:t>
      </w:r>
      <w:r w:rsidRPr="004726FE">
        <w:rPr>
          <w:rFonts w:cs="Times New Roman"/>
        </w:rPr>
        <w:t xml:space="preserve">The accommodative stance soon came to an end and the </w:t>
      </w:r>
      <w:r>
        <w:t xml:space="preserve">communist policy gradually moved towards assimilation. A 1960 </w:t>
      </w:r>
      <w:r w:rsidRPr="000E3632">
        <w:t>administrative reform</w:t>
      </w:r>
      <w:r>
        <w:t xml:space="preserve"> redrew the borders of the </w:t>
      </w:r>
      <w:r w:rsidRPr="00A817D2">
        <w:t>Magyar Autonomous Region</w:t>
      </w:r>
      <w:r>
        <w:t xml:space="preserve">, making the </w:t>
      </w:r>
      <w:r w:rsidRPr="000E3632">
        <w:t>proportion</w:t>
      </w:r>
      <w:r>
        <w:t xml:space="preserve"> of Hungarians decline (</w:t>
      </w:r>
      <w:proofErr w:type="spellStart"/>
      <w:r>
        <w:t>Culic</w:t>
      </w:r>
      <w:proofErr w:type="spellEnd"/>
      <w:r>
        <w:t xml:space="preserve"> 2006). The region was finally dissolved in 1968 (note: EPR codes an end to regional autonomy already in 1957) when</w:t>
      </w:r>
      <w:r w:rsidRPr="00DF19C5">
        <w:t xml:space="preserve"> </w:t>
      </w:r>
      <w:r>
        <w:t>a new administrative organization replaced regions with counties</w:t>
      </w:r>
      <w:r w:rsidRPr="00DF19C5">
        <w:t xml:space="preserve"> </w:t>
      </w:r>
      <w:r>
        <w:t xml:space="preserve">whose borders did not follow the settlements of any nationality. With </w:t>
      </w:r>
      <w:r w:rsidRPr="00DF19C5">
        <w:t xml:space="preserve">Nicolae </w:t>
      </w:r>
      <w:proofErr w:type="spellStart"/>
      <w:r w:rsidRPr="00DF19C5">
        <w:t>Ceauşescu</w:t>
      </w:r>
      <w:proofErr w:type="spellEnd"/>
      <w:r>
        <w:t xml:space="preserve"> taking power in 1965 the policy of </w:t>
      </w:r>
      <w:proofErr w:type="spellStart"/>
      <w:r w:rsidRPr="00DF19C5">
        <w:t>Romanianization</w:t>
      </w:r>
      <w:proofErr w:type="spellEnd"/>
      <w:r>
        <w:t xml:space="preserve"> was reinforced. </w:t>
      </w:r>
      <w:r w:rsidRPr="004726FE">
        <w:rPr>
          <w:rFonts w:cs="Times New Roman"/>
        </w:rPr>
        <w:t>Ceausescu harshly cut all language and minority rights in Romania. At the same time, ethnic Romanians received preferential treatment in terms of employment and benefits (Horvath 2002: 19).</w:t>
      </w:r>
    </w:p>
    <w:p w14:paraId="7795F613" w14:textId="16503917" w:rsidR="00794F7B" w:rsidRDefault="00794F7B" w:rsidP="00794F7B">
      <w:pPr>
        <w:rPr>
          <w:rFonts w:cs="Times New Roman"/>
          <w:szCs w:val="22"/>
        </w:rPr>
      </w:pPr>
    </w:p>
    <w:p w14:paraId="1EAAE1F4" w14:textId="77777777" w:rsidR="004726FE" w:rsidRPr="006F657B" w:rsidRDefault="004726FE"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659DB5B" w14:textId="77777777" w:rsidR="004726FE" w:rsidRPr="0054767C" w:rsidRDefault="004726FE" w:rsidP="004726FE">
      <w:pPr>
        <w:pStyle w:val="ListParagraph"/>
        <w:numPr>
          <w:ilvl w:val="0"/>
          <w:numId w:val="73"/>
        </w:numPr>
        <w:ind w:left="714" w:hanging="357"/>
        <w:rPr>
          <w:rFonts w:cs="Times New Roman"/>
        </w:rPr>
      </w:pPr>
      <w:r>
        <w:rPr>
          <w:rFonts w:cs="Times New Roman"/>
        </w:rPr>
        <w:t>A</w:t>
      </w:r>
      <w:r w:rsidRPr="00DE06CE">
        <w:rPr>
          <w:rFonts w:cs="Times New Roman"/>
        </w:rPr>
        <w:t xml:space="preserve"> new constitution was approved by referendum in December 1991. The </w:t>
      </w:r>
      <w:r>
        <w:rPr>
          <w:rFonts w:cs="Times New Roman"/>
        </w:rPr>
        <w:t xml:space="preserve">new </w:t>
      </w:r>
      <w:r w:rsidRPr="00DE06CE">
        <w:rPr>
          <w:rFonts w:cs="Times New Roman"/>
        </w:rPr>
        <w:t xml:space="preserve">constitution </w:t>
      </w:r>
      <w:r>
        <w:rPr>
          <w:rFonts w:cs="Times New Roman"/>
        </w:rPr>
        <w:t>p</w:t>
      </w:r>
      <w:r w:rsidRPr="00DE06CE">
        <w:rPr>
          <w:rFonts w:cs="Times New Roman"/>
        </w:rPr>
        <w:t>roclaimed that Romania was a “unitary and indivisible National State”</w:t>
      </w:r>
      <w:r>
        <w:rPr>
          <w:rFonts w:cs="Times New Roman"/>
        </w:rPr>
        <w:t>; a formulation that was opposed by the Hungarian minority</w:t>
      </w:r>
      <w:r w:rsidRPr="00DE06CE">
        <w:rPr>
          <w:rFonts w:cs="Times New Roman"/>
        </w:rPr>
        <w:t xml:space="preserve">. </w:t>
      </w:r>
      <w:r>
        <w:rPr>
          <w:rFonts w:cs="Times New Roman"/>
        </w:rPr>
        <w:t xml:space="preserve">The constitution (article 6) however also </w:t>
      </w:r>
      <w:r w:rsidRPr="00DE06CE">
        <w:rPr>
          <w:rFonts w:cs="Times New Roman"/>
        </w:rPr>
        <w:t xml:space="preserve">contained a broad provision that the state “guarantees the rights of persons belonging to national minorities, to the preservation, development, and expression of their ethnic, cultural, linguistic and religious identity” (Horvath 2002: 32). According to the Minority Rights Group International, this included </w:t>
      </w:r>
      <w:r>
        <w:t>education in the mother tongue (although article 13 declares Romanian the only official language) and the guarantee for national minorities to be represented in the parliament</w:t>
      </w:r>
      <w:r w:rsidRPr="00DE06CE">
        <w:rPr>
          <w:rFonts w:cs="Times New Roman"/>
        </w:rPr>
        <w:t xml:space="preserve">. While the latter concession concerns access to central state power (which we do not code here), the right to </w:t>
      </w:r>
      <w:r>
        <w:t>education in the mother tongue and the extension of minority-language television and radio broadcasts, as implemented in the following years, constitutes a cultural rights concession in line with the codebook. [1991: cultural rights concession]</w:t>
      </w:r>
    </w:p>
    <w:p w14:paraId="50410394" w14:textId="77777777" w:rsidR="004726FE" w:rsidRPr="0054767C" w:rsidRDefault="004726FE" w:rsidP="004726FE">
      <w:pPr>
        <w:pStyle w:val="ListParagraph"/>
        <w:numPr>
          <w:ilvl w:val="0"/>
          <w:numId w:val="73"/>
        </w:numPr>
        <w:ind w:left="714" w:hanging="357"/>
        <w:rPr>
          <w:rFonts w:cs="Times New Roman"/>
        </w:rPr>
      </w:pPr>
      <w:r w:rsidRPr="0054767C">
        <w:rPr>
          <w:rFonts w:cs="Times New Roman"/>
        </w:rPr>
        <w:t xml:space="preserve">In 1993, an agreement was signed between Hungarian minority leaders and the Romanian government, granting the right to have Hungarian street signs in towns with more than 30% Hungarians and allowing for </w:t>
      </w:r>
      <w:r>
        <w:rPr>
          <w:rFonts w:cs="Times New Roman"/>
        </w:rPr>
        <w:t xml:space="preserve">the </w:t>
      </w:r>
      <w:r w:rsidRPr="0054767C">
        <w:rPr>
          <w:rFonts w:cs="Times New Roman"/>
        </w:rPr>
        <w:t>training of Hungarian-language teachers (Horvath 2002: 37; Minorities at Risk Project). [1993: cultural rights concession]</w:t>
      </w:r>
    </w:p>
    <w:p w14:paraId="69333694" w14:textId="374FC029" w:rsidR="004726FE" w:rsidRPr="002321ED" w:rsidRDefault="004726FE" w:rsidP="004726FE">
      <w:pPr>
        <w:pStyle w:val="ListParagraph"/>
        <w:numPr>
          <w:ilvl w:val="0"/>
          <w:numId w:val="73"/>
        </w:numPr>
        <w:ind w:left="714" w:hanging="357"/>
        <w:rPr>
          <w:rFonts w:cs="Times New Roman"/>
        </w:rPr>
      </w:pPr>
      <w:r w:rsidRPr="002321ED">
        <w:rPr>
          <w:rFonts w:cs="Times New Roman"/>
        </w:rPr>
        <w:t>In 1995, the law on education (</w:t>
      </w:r>
      <w:r w:rsidR="004F3189">
        <w:rPr>
          <w:rFonts w:cs="Times New Roman"/>
        </w:rPr>
        <w:t>L</w:t>
      </w:r>
      <w:r w:rsidRPr="002321ED">
        <w:rPr>
          <w:rFonts w:cs="Times New Roman"/>
        </w:rPr>
        <w:t xml:space="preserve">aw 84/1995) was passed. It curtailed the use of Hungarian in the classroom (or at least cemented the dominant status of Romanian). The law omitted the right to instruction in the mother tongue at all levels of public education; the right to instruction in the mother tongue in vocational schools (a provision also allowed in the communist-era); and reinstatement of government financing of education in minority church schools. Overall, the law </w:t>
      </w:r>
      <w:r>
        <w:rPr>
          <w:rFonts w:cs="Times New Roman"/>
        </w:rPr>
        <w:t>can be considered a restriction of</w:t>
      </w:r>
      <w:r w:rsidRPr="002321ED">
        <w:rPr>
          <w:rFonts w:cs="Times New Roman"/>
        </w:rPr>
        <w:t xml:space="preserve"> minority-language education (USE Foundation).  [1995: cultural rights restriction]</w:t>
      </w:r>
    </w:p>
    <w:p w14:paraId="6CC1C898" w14:textId="77777777" w:rsidR="004726FE" w:rsidRPr="00086A96" w:rsidRDefault="004726FE" w:rsidP="004726FE">
      <w:pPr>
        <w:pStyle w:val="ListParagraph"/>
        <w:numPr>
          <w:ilvl w:val="0"/>
          <w:numId w:val="73"/>
        </w:numPr>
        <w:ind w:left="714" w:hanging="357"/>
        <w:rPr>
          <w:rFonts w:cs="Times New Roman"/>
        </w:rPr>
      </w:pPr>
      <w:r>
        <w:rPr>
          <w:rFonts w:cs="Times New Roman"/>
        </w:rPr>
        <w:t xml:space="preserve">In 1996, Hungary and Romania signed a treaty which committed Romania to improving language rights of its Hungarian population (Cunningham 2014: 221). Seemingly </w:t>
      </w:r>
      <w:proofErr w:type="gramStart"/>
      <w:r>
        <w:rPr>
          <w:rFonts w:cs="Times New Roman"/>
        </w:rPr>
        <w:t>as a result of</w:t>
      </w:r>
      <w:proofErr w:type="gramEnd"/>
      <w:r>
        <w:rPr>
          <w:rFonts w:cs="Times New Roman"/>
        </w:rPr>
        <w:t xml:space="preserve"> this, the </w:t>
      </w:r>
      <w:r w:rsidRPr="00086A96">
        <w:rPr>
          <w:rFonts w:cs="Times New Roman"/>
        </w:rPr>
        <w:t xml:space="preserve">restrictive law on education 84/1995 was amended by ordinance 36/1997 and approved by parliament with the passing of </w:t>
      </w:r>
      <w:proofErr w:type="gramStart"/>
      <w:r w:rsidRPr="00086A96">
        <w:rPr>
          <w:rFonts w:cs="Times New Roman"/>
        </w:rPr>
        <w:t>the Law</w:t>
      </w:r>
      <w:proofErr w:type="gramEnd"/>
      <w:r w:rsidRPr="00086A96">
        <w:rPr>
          <w:rFonts w:cs="Times New Roman"/>
        </w:rPr>
        <w:t xml:space="preserve"> 151/1999. T</w:t>
      </w:r>
      <w:r>
        <w:t>he anti-minority provisions were removed and a</w:t>
      </w:r>
      <w:r w:rsidRPr="00086A96">
        <w:rPr>
          <w:rFonts w:cs="Times New Roman"/>
        </w:rPr>
        <w:t xml:space="preserve">rticle 120 of the 1995 Language Law was revised to include provisions on both the education of national minorities and education in the mother tongue (USE Foundation). People belonging to </w:t>
      </w:r>
      <w:r w:rsidRPr="00086A96">
        <w:rPr>
          <w:rFonts w:cs="Times New Roman"/>
        </w:rPr>
        <w:lastRenderedPageBreak/>
        <w:t xml:space="preserve">national minorities </w:t>
      </w:r>
      <w:r>
        <w:rPr>
          <w:rFonts w:cs="Times New Roman"/>
        </w:rPr>
        <w:t xml:space="preserve">now had </w:t>
      </w:r>
      <w:r w:rsidRPr="00086A96">
        <w:rPr>
          <w:rFonts w:cs="Times New Roman"/>
        </w:rPr>
        <w:t>“the right to study and receive instruction in their mother tongue, at all levels and forms of education where there is an appropriate request” (Constantin 2004: 6). [199</w:t>
      </w:r>
      <w:r>
        <w:rPr>
          <w:rFonts w:cs="Times New Roman"/>
        </w:rPr>
        <w:t>7</w:t>
      </w:r>
      <w:r w:rsidRPr="00086A96">
        <w:rPr>
          <w:rFonts w:cs="Times New Roman"/>
        </w:rPr>
        <w:t>: cultural rights concession]</w:t>
      </w:r>
    </w:p>
    <w:p w14:paraId="61396095" w14:textId="77777777" w:rsidR="004726FE" w:rsidRDefault="004726FE" w:rsidP="004726FE">
      <w:pPr>
        <w:pStyle w:val="ListParagraph"/>
        <w:numPr>
          <w:ilvl w:val="0"/>
          <w:numId w:val="73"/>
        </w:numPr>
        <w:ind w:left="714" w:hanging="357"/>
        <w:rPr>
          <w:rFonts w:cs="Times New Roman"/>
        </w:rPr>
      </w:pPr>
      <w:r w:rsidRPr="002321ED">
        <w:rPr>
          <w:rFonts w:cs="Times New Roman"/>
        </w:rPr>
        <w:t xml:space="preserve">Public administration Law 215/2002 allows speakers of national minority languages to use their language in public administration in cities where at least twenty per cent of the local population declares the language their mother tongue (Constantin 2004; </w:t>
      </w:r>
      <w:proofErr w:type="spellStart"/>
      <w:r w:rsidRPr="002321ED">
        <w:rPr>
          <w:rFonts w:cs="Times New Roman"/>
        </w:rPr>
        <w:t>Deets</w:t>
      </w:r>
      <w:proofErr w:type="spellEnd"/>
      <w:r w:rsidRPr="002321ED">
        <w:rPr>
          <w:rFonts w:cs="Times New Roman"/>
        </w:rPr>
        <w:t xml:space="preserve"> and </w:t>
      </w:r>
      <w:proofErr w:type="spellStart"/>
      <w:r w:rsidRPr="002321ED">
        <w:rPr>
          <w:rFonts w:cs="Times New Roman"/>
        </w:rPr>
        <w:t>Stroschein</w:t>
      </w:r>
      <w:proofErr w:type="spellEnd"/>
      <w:r w:rsidRPr="002321ED">
        <w:rPr>
          <w:rFonts w:cs="Times New Roman"/>
        </w:rPr>
        <w:t xml:space="preserve"> 2005). The new law was also included in the 2003 amendment to the constitution of 1991. A new paragraph of article 120 provides a guarantee for minorities to use their native language when dealing with local administration and </w:t>
      </w:r>
      <w:r w:rsidRPr="0054767C">
        <w:rPr>
          <w:rFonts w:cs="Times New Roman"/>
        </w:rPr>
        <w:t>in judicial proceedings (</w:t>
      </w:r>
      <w:r w:rsidRPr="002321ED">
        <w:rPr>
          <w:rFonts w:cs="Times New Roman"/>
        </w:rPr>
        <w:t xml:space="preserve">Constantin 2004; </w:t>
      </w:r>
      <w:r w:rsidRPr="0054767C">
        <w:rPr>
          <w:rFonts w:cs="Times New Roman"/>
        </w:rPr>
        <w:t>Minority Rights Group International</w:t>
      </w:r>
      <w:r>
        <w:rPr>
          <w:rFonts w:cs="Times New Roman"/>
        </w:rPr>
        <w:t xml:space="preserve">). </w:t>
      </w:r>
      <w:r w:rsidRPr="0054767C">
        <w:rPr>
          <w:rFonts w:cs="Times New Roman"/>
        </w:rPr>
        <w:t>[200</w:t>
      </w:r>
      <w:r>
        <w:rPr>
          <w:rFonts w:cs="Times New Roman"/>
        </w:rPr>
        <w:t>2</w:t>
      </w:r>
      <w:r w:rsidRPr="0054767C">
        <w:rPr>
          <w:rFonts w:cs="Times New Roman"/>
        </w:rPr>
        <w:t>: cultural rights concession]</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5F00B225" w:rsidR="007D31AA" w:rsidRPr="006F657B" w:rsidRDefault="004726FE" w:rsidP="007D31AA">
      <w:pPr>
        <w:rPr>
          <w:rFonts w:cs="Times New Roman"/>
          <w:szCs w:val="22"/>
        </w:rPr>
      </w:pPr>
      <w:r>
        <w:rPr>
          <w:rFonts w:cs="Times New Roman"/>
          <w:szCs w:val="22"/>
        </w:rPr>
        <w:t>NA</w:t>
      </w:r>
    </w:p>
    <w:p w14:paraId="68E6D753" w14:textId="18C4E046" w:rsidR="007D31AA" w:rsidRDefault="007D31AA" w:rsidP="007D31AA">
      <w:pPr>
        <w:rPr>
          <w:rFonts w:cs="Times New Roman"/>
          <w:szCs w:val="22"/>
        </w:rPr>
      </w:pPr>
    </w:p>
    <w:p w14:paraId="53DC9D0B" w14:textId="77777777" w:rsidR="004726FE" w:rsidRPr="006F657B" w:rsidRDefault="004726FE"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51819100" w14:textId="77777777" w:rsidR="004726FE" w:rsidRPr="006F657B" w:rsidRDefault="004726FE" w:rsidP="004726FE">
      <w:pPr>
        <w:rPr>
          <w:rFonts w:cs="Times New Roman"/>
          <w:szCs w:val="22"/>
        </w:rPr>
      </w:pPr>
      <w:r>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2A49D51" w14:textId="77777777" w:rsidR="004726FE" w:rsidRPr="006F657B" w:rsidRDefault="004726FE" w:rsidP="004726FE">
      <w:pPr>
        <w:rPr>
          <w:rFonts w:cs="Times New Roman"/>
          <w:szCs w:val="22"/>
        </w:rPr>
      </w:pPr>
      <w:r>
        <w:rPr>
          <w:rFonts w:cs="Times New Roman"/>
          <w:szCs w:val="22"/>
        </w:rPr>
        <w:t>NA</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65271918" w14:textId="77777777" w:rsidR="00533FCB" w:rsidRPr="00D251DF" w:rsidRDefault="00533FCB" w:rsidP="00533FCB">
      <w:pPr>
        <w:ind w:left="709" w:hanging="709"/>
        <w:rPr>
          <w:rFonts w:cs="Times New Roman"/>
          <w:b/>
        </w:rPr>
      </w:pPr>
      <w:r w:rsidRPr="00D251DF">
        <w:rPr>
          <w:rFonts w:cs="Times New Roman"/>
          <w:b/>
        </w:rPr>
        <w:t>EPR2SDM</w:t>
      </w:r>
    </w:p>
    <w:p w14:paraId="27FAACF3" w14:textId="77777777" w:rsidR="00533FCB" w:rsidRPr="00D251DF" w:rsidRDefault="00533FCB" w:rsidP="00533FCB">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533FCB" w:rsidRPr="00D251DF" w14:paraId="3496EE93" w14:textId="77777777" w:rsidTr="007E62F8">
        <w:trPr>
          <w:trHeight w:val="284"/>
        </w:trPr>
        <w:tc>
          <w:tcPr>
            <w:tcW w:w="4787" w:type="dxa"/>
            <w:vAlign w:val="center"/>
          </w:tcPr>
          <w:p w14:paraId="56C9AA16" w14:textId="77777777" w:rsidR="00533FCB" w:rsidRPr="00D251DF" w:rsidRDefault="00533FCB" w:rsidP="007E62F8">
            <w:pPr>
              <w:rPr>
                <w:i/>
              </w:rPr>
            </w:pPr>
            <w:r w:rsidRPr="00D251DF">
              <w:rPr>
                <w:i/>
              </w:rPr>
              <w:t>Movement</w:t>
            </w:r>
          </w:p>
        </w:tc>
        <w:tc>
          <w:tcPr>
            <w:tcW w:w="4783" w:type="dxa"/>
            <w:vAlign w:val="center"/>
          </w:tcPr>
          <w:p w14:paraId="118EF698" w14:textId="77777777" w:rsidR="00533FCB" w:rsidRPr="00D251DF" w:rsidRDefault="00533FCB" w:rsidP="007E62F8">
            <w:r>
              <w:t>Hungarians</w:t>
            </w:r>
          </w:p>
        </w:tc>
      </w:tr>
      <w:tr w:rsidR="00533FCB" w:rsidRPr="00D251DF" w14:paraId="6C2C0248" w14:textId="77777777" w:rsidTr="007E62F8">
        <w:trPr>
          <w:trHeight w:val="284"/>
        </w:trPr>
        <w:tc>
          <w:tcPr>
            <w:tcW w:w="4787" w:type="dxa"/>
            <w:vAlign w:val="center"/>
          </w:tcPr>
          <w:p w14:paraId="1D4B5093" w14:textId="77777777" w:rsidR="00533FCB" w:rsidRPr="00D251DF" w:rsidRDefault="00533FCB" w:rsidP="007E62F8">
            <w:pPr>
              <w:rPr>
                <w:i/>
              </w:rPr>
            </w:pPr>
            <w:r w:rsidRPr="00D251DF">
              <w:rPr>
                <w:i/>
              </w:rPr>
              <w:t>Scenario</w:t>
            </w:r>
          </w:p>
        </w:tc>
        <w:tc>
          <w:tcPr>
            <w:tcW w:w="4783" w:type="dxa"/>
            <w:vAlign w:val="center"/>
          </w:tcPr>
          <w:p w14:paraId="6D5EE2B4" w14:textId="77777777" w:rsidR="00533FCB" w:rsidRPr="00D251DF" w:rsidRDefault="00533FCB" w:rsidP="007E62F8">
            <w:r>
              <w:rPr>
                <w:rFonts w:cs="Times New Roman"/>
                <w:szCs w:val="22"/>
                <w:lang w:val="en-GB"/>
              </w:rPr>
              <w:t>1:1</w:t>
            </w:r>
          </w:p>
        </w:tc>
      </w:tr>
      <w:tr w:rsidR="00533FCB" w:rsidRPr="00D251DF" w14:paraId="2EC6DEAD" w14:textId="77777777" w:rsidTr="007E62F8">
        <w:trPr>
          <w:trHeight w:val="284"/>
        </w:trPr>
        <w:tc>
          <w:tcPr>
            <w:tcW w:w="4787" w:type="dxa"/>
            <w:vAlign w:val="center"/>
          </w:tcPr>
          <w:p w14:paraId="6F607DC3" w14:textId="77777777" w:rsidR="00533FCB" w:rsidRPr="00D251DF" w:rsidRDefault="00533FCB" w:rsidP="007E62F8">
            <w:pPr>
              <w:rPr>
                <w:i/>
              </w:rPr>
            </w:pPr>
            <w:r w:rsidRPr="00D251DF">
              <w:rPr>
                <w:i/>
              </w:rPr>
              <w:t>EPR group(s)</w:t>
            </w:r>
          </w:p>
        </w:tc>
        <w:tc>
          <w:tcPr>
            <w:tcW w:w="4783" w:type="dxa"/>
            <w:vAlign w:val="center"/>
          </w:tcPr>
          <w:p w14:paraId="63C59A8C" w14:textId="77777777" w:rsidR="00533FCB" w:rsidRPr="00D251DF" w:rsidRDefault="00533FCB" w:rsidP="007E62F8">
            <w:r>
              <w:rPr>
                <w:rFonts w:eastAsiaTheme="minorHAnsi" w:cs="Times New Roman"/>
                <w:szCs w:val="22"/>
              </w:rPr>
              <w:t>Hungarians</w:t>
            </w:r>
          </w:p>
        </w:tc>
      </w:tr>
      <w:tr w:rsidR="00533FCB" w:rsidRPr="00D251DF" w14:paraId="543835FB" w14:textId="77777777" w:rsidTr="007E62F8">
        <w:trPr>
          <w:trHeight w:val="284"/>
        </w:trPr>
        <w:tc>
          <w:tcPr>
            <w:tcW w:w="4787" w:type="dxa"/>
            <w:vAlign w:val="center"/>
          </w:tcPr>
          <w:p w14:paraId="1E596951" w14:textId="77777777" w:rsidR="00533FCB" w:rsidRPr="00D251DF" w:rsidRDefault="00533FCB" w:rsidP="007E62F8">
            <w:pPr>
              <w:rPr>
                <w:i/>
              </w:rPr>
            </w:pPr>
            <w:proofErr w:type="spellStart"/>
            <w:r>
              <w:rPr>
                <w:i/>
              </w:rPr>
              <w:t>Gwgroupid</w:t>
            </w:r>
            <w:proofErr w:type="spellEnd"/>
            <w:r>
              <w:rPr>
                <w:i/>
              </w:rPr>
              <w:t>(s)</w:t>
            </w:r>
          </w:p>
        </w:tc>
        <w:tc>
          <w:tcPr>
            <w:tcW w:w="4783" w:type="dxa"/>
            <w:vAlign w:val="center"/>
          </w:tcPr>
          <w:p w14:paraId="672A136D" w14:textId="77777777" w:rsidR="00533FCB" w:rsidRPr="00457513" w:rsidRDefault="00533FCB" w:rsidP="007E62F8">
            <w:r w:rsidRPr="00291B56">
              <w:rPr>
                <w:rFonts w:eastAsiaTheme="minorHAnsi" w:cs="Times New Roman"/>
                <w:szCs w:val="22"/>
              </w:rPr>
              <w:t>36002000</w:t>
            </w:r>
          </w:p>
        </w:tc>
      </w:tr>
    </w:tbl>
    <w:p w14:paraId="0B7BC1EB" w14:textId="77777777" w:rsidR="00533FCB" w:rsidRDefault="00533FCB" w:rsidP="00533FCB">
      <w:pPr>
        <w:rPr>
          <w:rFonts w:cs="Times New Roman"/>
          <w:b/>
          <w:szCs w:val="22"/>
        </w:rPr>
      </w:pPr>
    </w:p>
    <w:p w14:paraId="42B31577" w14:textId="77777777" w:rsidR="00533FCB" w:rsidRPr="006F657B" w:rsidRDefault="00533FCB" w:rsidP="00367333">
      <w:pPr>
        <w:ind w:left="709" w:hanging="709"/>
        <w:rPr>
          <w:rFonts w:cs="Times New Roman"/>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1434592E" w:rsidR="00403CC9" w:rsidRPr="004726FE" w:rsidRDefault="004726FE" w:rsidP="004726FE">
      <w:pPr>
        <w:pStyle w:val="ListParagraph"/>
        <w:numPr>
          <w:ilvl w:val="0"/>
          <w:numId w:val="4"/>
        </w:numPr>
        <w:rPr>
          <w:rFonts w:cs="Times New Roman"/>
          <w:bCs/>
          <w:szCs w:val="22"/>
        </w:rPr>
      </w:pPr>
      <w:r>
        <w:rPr>
          <w:rFonts w:cs="Times New Roman"/>
          <w:bCs/>
          <w:szCs w:val="22"/>
        </w:rPr>
        <w:t>We follow EPR. [1990-1995: powerless; 1996-2008: junior partner; 2009: powerless; 2010-2012: junior partner; 2013-2020: powerless]</w:t>
      </w:r>
    </w:p>
    <w:p w14:paraId="03376C3F" w14:textId="4594229B" w:rsidR="00540127" w:rsidRDefault="00540127" w:rsidP="00367333">
      <w:pPr>
        <w:ind w:left="709" w:hanging="709"/>
        <w:rPr>
          <w:rFonts w:cs="Times New Roman"/>
          <w:bCs/>
          <w:szCs w:val="22"/>
        </w:rPr>
      </w:pPr>
    </w:p>
    <w:p w14:paraId="5F007484" w14:textId="77777777" w:rsidR="004726FE" w:rsidRPr="006F657B" w:rsidRDefault="004726FE"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48383F6A" w14:textId="6C36A19E" w:rsidR="004726FE" w:rsidRPr="004726FE" w:rsidRDefault="004726FE" w:rsidP="004726FE">
      <w:pPr>
        <w:pStyle w:val="ListParagraph"/>
        <w:numPr>
          <w:ilvl w:val="0"/>
          <w:numId w:val="4"/>
        </w:numPr>
        <w:rPr>
          <w:rFonts w:cs="Times New Roman"/>
          <w:bCs/>
          <w:szCs w:val="22"/>
        </w:rPr>
      </w:pPr>
      <w:r>
        <w:rPr>
          <w:rFonts w:cs="Times New Roman"/>
          <w:bCs/>
          <w:szCs w:val="22"/>
        </w:rPr>
        <w:t>We follow EPR. [1990-2012: 0.066; 2013-2020: 0.061]</w:t>
      </w:r>
    </w:p>
    <w:p w14:paraId="207C6C92" w14:textId="1677F6D0" w:rsidR="00C524D6" w:rsidRDefault="00C524D6" w:rsidP="00C524D6">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0BF4E11C" w14:textId="77777777" w:rsidR="004726FE" w:rsidRDefault="004726FE" w:rsidP="004726FE">
      <w:pPr>
        <w:pStyle w:val="ListParagraph"/>
        <w:widowControl w:val="0"/>
        <w:numPr>
          <w:ilvl w:val="0"/>
          <w:numId w:val="70"/>
        </w:numPr>
      </w:pPr>
      <w:r>
        <w:t>The Hungarians have a regional base in which they dominate, but the question is whether more than 50% of all Hungarians in Romania live there:</w:t>
      </w:r>
    </w:p>
    <w:p w14:paraId="4C6CA69E" w14:textId="77777777" w:rsidR="004726FE" w:rsidRDefault="004726FE" w:rsidP="004726FE">
      <w:pPr>
        <w:pStyle w:val="ListParagraph"/>
        <w:widowControl w:val="0"/>
        <w:numPr>
          <w:ilvl w:val="1"/>
          <w:numId w:val="70"/>
        </w:numPr>
      </w:pPr>
      <w:r>
        <w:t xml:space="preserve">Both </w:t>
      </w:r>
      <w:r w:rsidRPr="00C97AD2">
        <w:t>MAR V</w:t>
      </w:r>
      <w:r>
        <w:t xml:space="preserve"> and MAR I-IV code</w:t>
      </w:r>
      <w:r w:rsidRPr="00C97AD2">
        <w:t xml:space="preserve"> the Hungarians as “concentrated in one region”</w:t>
      </w:r>
      <w:r>
        <w:t>. According to MAR V less than 50% of the Hungarian population lives in the regional base (</w:t>
      </w:r>
      <w:proofErr w:type="spellStart"/>
      <w:r>
        <w:t>Transsylvania</w:t>
      </w:r>
      <w:proofErr w:type="spellEnd"/>
      <w:r>
        <w:t xml:space="preserve">), while according to MAR I-IV between 50% and 75% live in the regional base. </w:t>
      </w:r>
    </w:p>
    <w:p w14:paraId="7F40E51E" w14:textId="62618E83" w:rsidR="004726FE" w:rsidRDefault="004726FE" w:rsidP="004726FE">
      <w:pPr>
        <w:pStyle w:val="ListParagraph"/>
        <w:widowControl w:val="0"/>
        <w:numPr>
          <w:ilvl w:val="1"/>
          <w:numId w:val="70"/>
        </w:numPr>
      </w:pPr>
      <w:r w:rsidRPr="00210011">
        <w:t>We consulted county level data from the 2011 census</w:t>
      </w:r>
      <w:r w:rsidR="000D10B3" w:rsidRPr="00210011">
        <w:t xml:space="preserve">, which is the most up-to-date </w:t>
      </w:r>
      <w:r w:rsidR="000D10B3" w:rsidRPr="00210011">
        <w:lastRenderedPageBreak/>
        <w:t>census available</w:t>
      </w:r>
      <w:r w:rsidRPr="00210011">
        <w:t>. The problem is that while there is a concentration of Hungarians in central Romania, they</w:t>
      </w:r>
      <w:r>
        <w:t xml:space="preserve"> make up significant minorities in northwestern parts of Romania too (especially in Satu Mare county, where the Romanians make up 35% of the local population). Nevertheless, if we combine the three districts with the highest share of Hungarians (in two of them the Hungarians form an absolute majority), we come very close to the threshold for territorial concentration. </w:t>
      </w:r>
    </w:p>
    <w:p w14:paraId="77A2BB69" w14:textId="77777777" w:rsidR="004726FE" w:rsidRDefault="004726FE" w:rsidP="004726FE">
      <w:pPr>
        <w:pStyle w:val="ListParagraph"/>
        <w:widowControl w:val="0"/>
        <w:numPr>
          <w:ilvl w:val="2"/>
          <w:numId w:val="70"/>
        </w:numPr>
      </w:pPr>
      <w:r>
        <w:t xml:space="preserve">The Hungarians make up an absolute majority in two counties in central Romania: </w:t>
      </w:r>
      <w:proofErr w:type="spellStart"/>
      <w:r>
        <w:t>Harghita</w:t>
      </w:r>
      <w:proofErr w:type="spellEnd"/>
      <w:r>
        <w:t xml:space="preserve"> county (approx. 258,000 Hungarians, or 85% of local population) and in </w:t>
      </w:r>
      <w:proofErr w:type="gramStart"/>
      <w:r>
        <w:t>Covasna county</w:t>
      </w:r>
      <w:proofErr w:type="gramEnd"/>
      <w:r>
        <w:t xml:space="preserve"> (approx. 150,000, or 73% of the local population). Compared to the 1.228 million Hungarians across Romania, this suggests that 33% of the Hungarians resided in a county with a Hungarian absolute majority.</w:t>
      </w:r>
    </w:p>
    <w:p w14:paraId="38FCB3BD" w14:textId="77777777" w:rsidR="004726FE" w:rsidRDefault="004726FE" w:rsidP="004726FE">
      <w:pPr>
        <w:pStyle w:val="ListParagraph"/>
        <w:widowControl w:val="0"/>
        <w:numPr>
          <w:ilvl w:val="2"/>
          <w:numId w:val="70"/>
        </w:numPr>
      </w:pPr>
      <w:r>
        <w:t>Larger concentrations of Hungarians can also be found in the neighboring Mures (approx. 201,000, or 38% of local population). Combining the three counties, the Hungarians make up a majority of 57%, while 49.6% of all Hungarians live there.</w:t>
      </w:r>
    </w:p>
    <w:p w14:paraId="51883898" w14:textId="77777777" w:rsidR="004726FE" w:rsidRDefault="004726FE" w:rsidP="004726FE">
      <w:pPr>
        <w:pStyle w:val="ListParagraph"/>
        <w:widowControl w:val="0"/>
        <w:numPr>
          <w:ilvl w:val="2"/>
          <w:numId w:val="70"/>
        </w:numPr>
      </w:pPr>
      <w:r>
        <w:t xml:space="preserve">If we add another adjacent county, we drop below the absolute majority requirement. The adjacent county with the highest share of Hungarians is </w:t>
      </w:r>
      <w:proofErr w:type="gramStart"/>
      <w:r>
        <w:t>Cluj county</w:t>
      </w:r>
      <w:proofErr w:type="gramEnd"/>
      <w:r>
        <w:t xml:space="preserve"> (approx. 104,000 or 16% of local population); if this is added, the Hungarian share across counties falls to 41%.</w:t>
      </w:r>
    </w:p>
    <w:p w14:paraId="71EFFE60" w14:textId="77777777" w:rsidR="004726FE" w:rsidRDefault="004726FE" w:rsidP="004726FE">
      <w:pPr>
        <w:pStyle w:val="ListParagraph"/>
        <w:widowControl w:val="0"/>
        <w:numPr>
          <w:ilvl w:val="1"/>
          <w:numId w:val="70"/>
        </w:numPr>
      </w:pPr>
      <w:r>
        <w:t xml:space="preserve">Even if we are under the threshold based on county level data, we code the Hungarians as concentrated. Given that it is so close (only 5,000 more Hungarians are needed to cross the threshold), it is very likely that if some adjacent town(s) is/are added, the threshold is met. </w:t>
      </w:r>
      <w:r w:rsidRPr="00FB1045">
        <w:rPr>
          <w:szCs w:val="22"/>
        </w:rPr>
        <w:t xml:space="preserve">[concentrated] </w:t>
      </w:r>
    </w:p>
    <w:p w14:paraId="34B3D342" w14:textId="3F1C9551" w:rsidR="00B412DF" w:rsidRDefault="00B412DF" w:rsidP="00B412DF">
      <w:pPr>
        <w:rPr>
          <w:rFonts w:cs="Times New Roman"/>
        </w:rPr>
      </w:pPr>
    </w:p>
    <w:p w14:paraId="43D8F8E0" w14:textId="77777777" w:rsidR="00210011" w:rsidRDefault="00210011" w:rsidP="00B412DF">
      <w:pPr>
        <w:rPr>
          <w:rFonts w:cs="Times New Roman"/>
          <w:b/>
        </w:rPr>
      </w:pPr>
    </w:p>
    <w:p w14:paraId="71BC5A79" w14:textId="374DEF10"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3A0EE852" w14:textId="77777777" w:rsidR="004726FE" w:rsidRPr="00281EE5" w:rsidRDefault="004726FE" w:rsidP="004726FE">
      <w:pPr>
        <w:pStyle w:val="ListParagraph"/>
        <w:numPr>
          <w:ilvl w:val="0"/>
          <w:numId w:val="70"/>
        </w:numPr>
        <w:spacing w:after="60"/>
        <w:rPr>
          <w:lang w:val="en-GB"/>
        </w:rPr>
      </w:pPr>
      <w:r w:rsidRPr="00F87777">
        <w:t xml:space="preserve">EPR codes ethnic kin in </w:t>
      </w:r>
      <w:r>
        <w:t>various countries (Hungary, Czechoslovakia, Yugoslavia, Ukraine). MAR mentions the Hungarians in Hungary as the largest (and only) kin group. [kin in neighboring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3ACC479A" w14:textId="77777777" w:rsidR="004F3189" w:rsidRPr="00823AB4" w:rsidRDefault="004F3189" w:rsidP="007230A2">
      <w:pPr>
        <w:spacing w:after="60"/>
        <w:ind w:left="709" w:hanging="709"/>
        <w:rPr>
          <w:rFonts w:eastAsia="Times New Roman" w:cs="Times New Roman"/>
          <w:lang w:eastAsia="de-CH"/>
        </w:rPr>
      </w:pPr>
      <w:proofErr w:type="spellStart"/>
      <w:r>
        <w:rPr>
          <w:rFonts w:eastAsia="Times New Roman" w:cs="Times New Roman"/>
          <w:lang w:eastAsia="de-CH"/>
        </w:rPr>
        <w:t>Agerpes</w:t>
      </w:r>
      <w:proofErr w:type="spellEnd"/>
      <w:r>
        <w:rPr>
          <w:rFonts w:eastAsia="Times New Roman" w:cs="Times New Roman"/>
          <w:lang w:eastAsia="de-CH"/>
        </w:rPr>
        <w:t xml:space="preserve"> (2020). “President Iohannis Accuses PSD of Fighting to Give Transylvania to Hungarians”. </w:t>
      </w:r>
      <w:proofErr w:type="spellStart"/>
      <w:r>
        <w:rPr>
          <w:rFonts w:eastAsia="Times New Roman" w:cs="Times New Roman"/>
          <w:i/>
          <w:iCs/>
          <w:lang w:eastAsia="de-CH"/>
        </w:rPr>
        <w:t>Agerpes</w:t>
      </w:r>
      <w:proofErr w:type="spellEnd"/>
      <w:r>
        <w:rPr>
          <w:rFonts w:eastAsia="Times New Roman" w:cs="Times New Roman"/>
          <w:lang w:eastAsia="de-CH"/>
        </w:rPr>
        <w:t xml:space="preserve">. April 29. </w:t>
      </w:r>
      <w:hyperlink r:id="rId9" w:history="1">
        <w:r w:rsidRPr="00AE290E">
          <w:rPr>
            <w:rStyle w:val="Hyperlink"/>
            <w:rFonts w:eastAsia="Times New Roman" w:cs="Times New Roman"/>
            <w:lang w:eastAsia="de-CH"/>
          </w:rPr>
          <w:t>https://www.agerpres.ro/english/2020/04/29/president-iohannis-accuses-psd-of-fighting-to-give-transylvania-away-to-hungarians--495619</w:t>
        </w:r>
      </w:hyperlink>
      <w:r>
        <w:rPr>
          <w:rFonts w:eastAsia="Times New Roman" w:cs="Times New Roman"/>
          <w:lang w:eastAsia="de-CH"/>
        </w:rPr>
        <w:t xml:space="preserve"> [March 30, 2023].</w:t>
      </w:r>
    </w:p>
    <w:p w14:paraId="49E3AE25" w14:textId="77777777" w:rsidR="004F3189" w:rsidRPr="000F6419" w:rsidRDefault="004F3189" w:rsidP="007230A2">
      <w:pPr>
        <w:spacing w:after="60"/>
        <w:ind w:left="709" w:hanging="709"/>
        <w:rPr>
          <w:rFonts w:eastAsia="Times New Roman" w:cs="Times New Roman"/>
          <w:lang w:eastAsia="de-CH"/>
        </w:rPr>
      </w:pPr>
      <w:proofErr w:type="spellStart"/>
      <w:r w:rsidRPr="000F6419">
        <w:rPr>
          <w:rFonts w:eastAsia="Times New Roman" w:cs="Times New Roman"/>
          <w:lang w:eastAsia="de-CH"/>
        </w:rPr>
        <w:t>Barberá</w:t>
      </w:r>
      <w:proofErr w:type="spellEnd"/>
      <w:r>
        <w:rPr>
          <w:rFonts w:eastAsia="Times New Roman" w:cs="Times New Roman"/>
          <w:lang w:eastAsia="de-CH"/>
        </w:rPr>
        <w:t xml:space="preserve">, </w:t>
      </w:r>
      <w:r w:rsidRPr="000F6419">
        <w:rPr>
          <w:rFonts w:eastAsia="Times New Roman" w:cs="Times New Roman"/>
          <w:lang w:eastAsia="de-CH"/>
        </w:rPr>
        <w:t>Marcel Gascón</w:t>
      </w:r>
      <w:r>
        <w:rPr>
          <w:rFonts w:eastAsia="Times New Roman" w:cs="Times New Roman"/>
          <w:lang w:eastAsia="de-CH"/>
        </w:rPr>
        <w:t xml:space="preserve"> (2020). “Romanian Opposition ‘Giving Transylvania to Hungarians’, President Claims”. </w:t>
      </w:r>
      <w:r>
        <w:rPr>
          <w:rFonts w:eastAsia="Times New Roman" w:cs="Times New Roman"/>
          <w:i/>
          <w:iCs/>
          <w:lang w:eastAsia="de-CH"/>
        </w:rPr>
        <w:t>Balkan Insight</w:t>
      </w:r>
      <w:r>
        <w:rPr>
          <w:rFonts w:eastAsia="Times New Roman" w:cs="Times New Roman"/>
          <w:lang w:eastAsia="de-CH"/>
        </w:rPr>
        <w:t xml:space="preserve">. April 29. </w:t>
      </w:r>
      <w:hyperlink r:id="rId10" w:history="1">
        <w:r w:rsidRPr="00AE290E">
          <w:rPr>
            <w:rStyle w:val="Hyperlink"/>
            <w:rFonts w:eastAsia="Times New Roman" w:cs="Times New Roman"/>
            <w:lang w:eastAsia="de-CH"/>
          </w:rPr>
          <w:t>https://balkaninsight.com/2020/04/29/romanian-opposition-giving-transylvania-to-hungarians-president-claims/</w:t>
        </w:r>
      </w:hyperlink>
      <w:r>
        <w:rPr>
          <w:rFonts w:eastAsia="Times New Roman" w:cs="Times New Roman"/>
          <w:lang w:eastAsia="de-CH"/>
        </w:rPr>
        <w:t xml:space="preserve"> [March 30, 2023].</w:t>
      </w:r>
    </w:p>
    <w:p w14:paraId="3E9C9B0E" w14:textId="77777777" w:rsidR="004F3189" w:rsidRPr="009F3523" w:rsidRDefault="004F3189" w:rsidP="007230A2">
      <w:pPr>
        <w:spacing w:after="60"/>
        <w:ind w:left="709" w:hanging="709"/>
        <w:rPr>
          <w:color w:val="000000"/>
          <w:lang w:eastAsia="de-CH"/>
        </w:rPr>
      </w:pPr>
      <w:proofErr w:type="spellStart"/>
      <w:r w:rsidRPr="001A4FB0">
        <w:rPr>
          <w:rFonts w:eastAsia="Times New Roman" w:cs="Times New Roman"/>
          <w:lang w:eastAsia="de-CH"/>
        </w:rPr>
        <w:t>B</w:t>
      </w:r>
      <w:r>
        <w:rPr>
          <w:rFonts w:eastAsia="Times New Roman" w:cs="Times New Roman"/>
          <w:lang w:eastAsia="de-CH"/>
        </w:rPr>
        <w:t>ochsler</w:t>
      </w:r>
      <w:proofErr w:type="spellEnd"/>
      <w:r>
        <w:rPr>
          <w:rFonts w:eastAsia="Times New Roman" w:cs="Times New Roman"/>
          <w:lang w:eastAsia="de-CH"/>
        </w:rPr>
        <w:t xml:space="preserve">, </w:t>
      </w:r>
      <w:proofErr w:type="gramStart"/>
      <w:r>
        <w:rPr>
          <w:rFonts w:eastAsia="Times New Roman" w:cs="Times New Roman"/>
          <w:lang w:eastAsia="de-CH"/>
        </w:rPr>
        <w:t>Daniel</w:t>
      </w:r>
      <w:proofErr w:type="gramEnd"/>
      <w:r>
        <w:rPr>
          <w:rFonts w:eastAsia="Times New Roman" w:cs="Times New Roman"/>
          <w:lang w:eastAsia="de-CH"/>
        </w:rPr>
        <w:t xml:space="preserve"> and Edina </w:t>
      </w:r>
      <w:proofErr w:type="spellStart"/>
      <w:r w:rsidRPr="001A4FB0">
        <w:rPr>
          <w:rFonts w:eastAsia="Times New Roman" w:cs="Times New Roman"/>
          <w:lang w:eastAsia="de-CH"/>
        </w:rPr>
        <w:t>Szöcsik</w:t>
      </w:r>
      <w:proofErr w:type="spellEnd"/>
      <w:r w:rsidRPr="001A4FB0">
        <w:rPr>
          <w:rFonts w:eastAsia="Times New Roman" w:cs="Times New Roman"/>
          <w:lang w:eastAsia="de-CH"/>
        </w:rPr>
        <w:t xml:space="preserve"> (2013). </w:t>
      </w:r>
      <w:r>
        <w:rPr>
          <w:rFonts w:eastAsia="Times New Roman" w:cs="Times New Roman"/>
          <w:lang w:eastAsia="de-CH"/>
        </w:rPr>
        <w:t>“</w:t>
      </w:r>
      <w:r w:rsidRPr="00B311C6">
        <w:rPr>
          <w:rFonts w:eastAsia="Times New Roman" w:cs="Times New Roman"/>
          <w:lang w:eastAsia="de-CH"/>
        </w:rPr>
        <w:t>The Forbidden Fruit of Federalism: Evidence from Romania and Slovakia.</w:t>
      </w:r>
      <w:r>
        <w:rPr>
          <w:rFonts w:eastAsia="Times New Roman" w:cs="Times New Roman"/>
          <w:lang w:eastAsia="de-CH"/>
        </w:rPr>
        <w:t>”</w:t>
      </w:r>
      <w:r w:rsidRPr="00B311C6">
        <w:rPr>
          <w:rFonts w:eastAsia="Times New Roman" w:cs="Times New Roman"/>
          <w:lang w:eastAsia="de-CH"/>
        </w:rPr>
        <w:t xml:space="preserve"> </w:t>
      </w:r>
      <w:r w:rsidRPr="00B311C6">
        <w:rPr>
          <w:rFonts w:eastAsia="Times New Roman" w:cs="Times New Roman"/>
          <w:i/>
          <w:iCs/>
          <w:lang w:eastAsia="de-CH"/>
        </w:rPr>
        <w:t>West European Politic</w:t>
      </w:r>
      <w:r>
        <w:rPr>
          <w:rFonts w:eastAsia="Times New Roman" w:cs="Times New Roman"/>
          <w:i/>
          <w:iCs/>
          <w:lang w:eastAsia="de-CH"/>
        </w:rPr>
        <w:t>s</w:t>
      </w:r>
      <w:r w:rsidRPr="00B311C6">
        <w:rPr>
          <w:rFonts w:eastAsia="Times New Roman" w:cs="Times New Roman"/>
          <w:lang w:eastAsia="de-CH"/>
        </w:rPr>
        <w:t xml:space="preserve"> </w:t>
      </w:r>
      <w:r w:rsidRPr="009F3523">
        <w:rPr>
          <w:rFonts w:eastAsia="Times New Roman" w:cs="Times New Roman"/>
          <w:iCs/>
          <w:lang w:eastAsia="de-CH"/>
        </w:rPr>
        <w:t>36</w:t>
      </w:r>
      <w:r w:rsidRPr="009F3523">
        <w:rPr>
          <w:rFonts w:eastAsia="Times New Roman" w:cs="Times New Roman"/>
          <w:lang w:eastAsia="de-CH"/>
        </w:rPr>
        <w:t>(2)</w:t>
      </w:r>
      <w:r>
        <w:rPr>
          <w:rFonts w:eastAsia="Times New Roman" w:cs="Times New Roman"/>
          <w:lang w:eastAsia="de-CH"/>
        </w:rPr>
        <w:t>:</w:t>
      </w:r>
      <w:r w:rsidRPr="00B311C6">
        <w:rPr>
          <w:rFonts w:eastAsia="Times New Roman" w:cs="Times New Roman"/>
          <w:lang w:eastAsia="de-CH"/>
        </w:rPr>
        <w:t xml:space="preserve"> 426-446.</w:t>
      </w:r>
    </w:p>
    <w:p w14:paraId="18F54B38" w14:textId="77777777" w:rsidR="004F3189" w:rsidRDefault="004F3189" w:rsidP="007230A2">
      <w:pPr>
        <w:spacing w:after="60"/>
        <w:ind w:left="709" w:hanging="709"/>
        <w:rPr>
          <w:rFonts w:cs="Times New Roman"/>
          <w:b/>
          <w:szCs w:val="22"/>
        </w:rPr>
      </w:pPr>
      <w:proofErr w:type="spellStart"/>
      <w:r w:rsidRPr="008E1A62">
        <w:rPr>
          <w:rFonts w:cs="Times New Roman"/>
          <w:szCs w:val="22"/>
        </w:rPr>
        <w:t>Cederman</w:t>
      </w:r>
      <w:proofErr w:type="spellEnd"/>
      <w:r w:rsidRPr="008E1A62">
        <w:rPr>
          <w:rFonts w:cs="Times New Roman"/>
          <w:szCs w:val="22"/>
        </w:rPr>
        <w:t xml:space="preserve">, Lars-Erik, Andreas </w:t>
      </w:r>
      <w:proofErr w:type="spellStart"/>
      <w:r w:rsidRPr="008E1A62">
        <w:rPr>
          <w:rFonts w:cs="Times New Roman"/>
          <w:szCs w:val="22"/>
        </w:rPr>
        <w:t>Wimmer</w:t>
      </w:r>
      <w:proofErr w:type="spellEnd"/>
      <w:r w:rsidRPr="008E1A62">
        <w:rPr>
          <w:rFonts w:cs="Times New Roman"/>
          <w:szCs w:val="22"/>
        </w:rPr>
        <w:t xml:space="preserve">, and Brian Min (2010). “Why Do Ethnic Groups Rebel: New Data and Analysis.” </w:t>
      </w:r>
      <w:r w:rsidRPr="008E1A62">
        <w:rPr>
          <w:rFonts w:cs="Times New Roman"/>
          <w:i/>
          <w:iCs/>
          <w:szCs w:val="22"/>
        </w:rPr>
        <w:t>World Politics</w:t>
      </w:r>
      <w:r w:rsidRPr="008E1A62">
        <w:rPr>
          <w:rFonts w:cs="Times New Roman"/>
          <w:szCs w:val="22"/>
        </w:rPr>
        <w:t xml:space="preserve"> </w:t>
      </w:r>
      <w:r w:rsidRPr="008E1A62">
        <w:rPr>
          <w:rFonts w:cs="Times New Roman"/>
          <w:iCs/>
          <w:szCs w:val="22"/>
        </w:rPr>
        <w:t>62</w:t>
      </w:r>
      <w:r w:rsidRPr="008E1A62">
        <w:rPr>
          <w:rFonts w:cs="Times New Roman"/>
          <w:szCs w:val="22"/>
        </w:rPr>
        <w:t>(1): 87-119.</w:t>
      </w:r>
    </w:p>
    <w:p w14:paraId="155362BC" w14:textId="77777777" w:rsidR="004F3189" w:rsidRPr="00E60525" w:rsidRDefault="004F3189" w:rsidP="007230A2">
      <w:pPr>
        <w:spacing w:after="60"/>
        <w:ind w:left="709" w:hanging="709"/>
        <w:rPr>
          <w:color w:val="000000"/>
          <w:lang w:eastAsia="de-CH"/>
        </w:rPr>
      </w:pPr>
      <w:r w:rsidRPr="002321ED">
        <w:rPr>
          <w:rFonts w:cs="Times New Roman"/>
        </w:rPr>
        <w:t>Constantin</w:t>
      </w:r>
      <w:r>
        <w:rPr>
          <w:rFonts w:cs="Times New Roman"/>
        </w:rPr>
        <w:t>, Sergiu (</w:t>
      </w:r>
      <w:r w:rsidRPr="002321ED">
        <w:rPr>
          <w:rFonts w:cs="Times New Roman"/>
        </w:rPr>
        <w:t>2004</w:t>
      </w:r>
      <w:r>
        <w:rPr>
          <w:rFonts w:cs="Times New Roman"/>
        </w:rPr>
        <w:t>). “</w:t>
      </w:r>
      <w:r>
        <w:t xml:space="preserve">Linguistic policy and national minorities in </w:t>
      </w:r>
      <w:proofErr w:type="spellStart"/>
      <w:r>
        <w:t>Romania</w:t>
      </w:r>
      <w:proofErr w:type="gramStart"/>
      <w:r>
        <w:t>.”</w:t>
      </w:r>
      <w:r>
        <w:rPr>
          <w:i/>
          <w:iCs/>
        </w:rPr>
        <w:t>Noves</w:t>
      </w:r>
      <w:proofErr w:type="spellEnd"/>
      <w:proofErr w:type="gramEnd"/>
      <w:r>
        <w:rPr>
          <w:i/>
          <w:iCs/>
        </w:rPr>
        <w:t xml:space="preserve"> SL.: </w:t>
      </w:r>
      <w:proofErr w:type="spellStart"/>
      <w:r>
        <w:rPr>
          <w:i/>
          <w:iCs/>
        </w:rPr>
        <w:t>Revista</w:t>
      </w:r>
      <w:proofErr w:type="spellEnd"/>
      <w:r>
        <w:rPr>
          <w:i/>
          <w:iCs/>
        </w:rPr>
        <w:t xml:space="preserve"> de </w:t>
      </w:r>
      <w:proofErr w:type="spellStart"/>
      <w:r>
        <w:rPr>
          <w:i/>
          <w:iCs/>
        </w:rPr>
        <w:t>sociolingüística</w:t>
      </w:r>
      <w:proofErr w:type="spellEnd"/>
      <w:r>
        <w:t xml:space="preserve"> 5(3).</w:t>
      </w:r>
    </w:p>
    <w:p w14:paraId="3AFF9366" w14:textId="77777777" w:rsidR="004F3189" w:rsidRPr="00FE17FE" w:rsidRDefault="004F3189" w:rsidP="007230A2">
      <w:pPr>
        <w:spacing w:after="60"/>
        <w:ind w:left="709" w:hanging="709"/>
        <w:rPr>
          <w:rFonts w:cs="Times New Roman"/>
          <w:b/>
          <w:szCs w:val="22"/>
        </w:rPr>
      </w:pPr>
      <w:proofErr w:type="spellStart"/>
      <w:r>
        <w:t>Culic</w:t>
      </w:r>
      <w:proofErr w:type="spellEnd"/>
      <w:r>
        <w:t xml:space="preserve">, Irina (2006). “Dilemmas of belonging: Hungarians from Romania.” </w:t>
      </w:r>
      <w:r>
        <w:rPr>
          <w:i/>
          <w:iCs/>
        </w:rPr>
        <w:t>Nationalities Papers</w:t>
      </w:r>
      <w:r w:rsidRPr="005C6E06">
        <w:t xml:space="preserve"> </w:t>
      </w:r>
      <w:r w:rsidRPr="005C6E06">
        <w:rPr>
          <w:iCs/>
        </w:rPr>
        <w:t>34</w:t>
      </w:r>
      <w:r>
        <w:t>(2): 175-200.</w:t>
      </w:r>
    </w:p>
    <w:p w14:paraId="79C6865E" w14:textId="77777777" w:rsidR="004F3189" w:rsidRPr="00210011" w:rsidRDefault="004F3189" w:rsidP="007230A2">
      <w:pPr>
        <w:spacing w:after="60"/>
        <w:ind w:left="709" w:hanging="709"/>
        <w:rPr>
          <w:rFonts w:eastAsia="Times New Roman" w:cs="Times New Roman"/>
          <w:szCs w:val="22"/>
        </w:rPr>
      </w:pPr>
      <w:r>
        <w:rPr>
          <w:rFonts w:eastAsia="Times New Roman" w:cs="Times New Roman"/>
          <w:szCs w:val="22"/>
        </w:rPr>
        <w:t xml:space="preserve">Cunningham, Kathleen Gallagher (2014). </w:t>
      </w:r>
      <w:r>
        <w:rPr>
          <w:rFonts w:eastAsia="Times New Roman" w:cs="Times New Roman"/>
          <w:i/>
          <w:szCs w:val="22"/>
        </w:rPr>
        <w:t xml:space="preserve">Inside the Politics of Self-Determination. </w:t>
      </w:r>
      <w:r>
        <w:rPr>
          <w:rFonts w:eastAsia="Times New Roman" w:cs="Times New Roman"/>
          <w:szCs w:val="22"/>
        </w:rPr>
        <w:t xml:space="preserve">Oxford: Oxford </w:t>
      </w:r>
      <w:r w:rsidRPr="00210011">
        <w:rPr>
          <w:rFonts w:eastAsia="Times New Roman" w:cs="Times New Roman"/>
          <w:szCs w:val="22"/>
        </w:rPr>
        <w:t>University Press.</w:t>
      </w:r>
    </w:p>
    <w:p w14:paraId="501DCDF1" w14:textId="77777777" w:rsidR="004F3189" w:rsidRPr="00210011" w:rsidRDefault="004F3189" w:rsidP="007230A2">
      <w:pPr>
        <w:spacing w:after="60"/>
        <w:ind w:left="709" w:hanging="709"/>
      </w:pPr>
      <w:proofErr w:type="spellStart"/>
      <w:r w:rsidRPr="00210011">
        <w:t>Deets</w:t>
      </w:r>
      <w:proofErr w:type="spellEnd"/>
      <w:r w:rsidRPr="00210011">
        <w:t xml:space="preserve">, Stephen and Sherrill </w:t>
      </w:r>
      <w:proofErr w:type="spellStart"/>
      <w:r w:rsidRPr="00210011">
        <w:t>Stroschein</w:t>
      </w:r>
      <w:proofErr w:type="spellEnd"/>
      <w:r w:rsidRPr="00210011">
        <w:t xml:space="preserve"> (2005). “Dilemmas of autonomy and liberal pluralism: examples involving Hungarians in Central Europe.” </w:t>
      </w:r>
      <w:r w:rsidRPr="00210011">
        <w:rPr>
          <w:i/>
          <w:iCs/>
        </w:rPr>
        <w:t>Nations and Nationalism</w:t>
      </w:r>
      <w:r w:rsidRPr="00210011">
        <w:t xml:space="preserve"> </w:t>
      </w:r>
      <w:r w:rsidRPr="00210011">
        <w:rPr>
          <w:iCs/>
        </w:rPr>
        <w:t>11</w:t>
      </w:r>
      <w:r w:rsidRPr="00210011">
        <w:t>(2): 285-305.</w:t>
      </w:r>
    </w:p>
    <w:p w14:paraId="227271E4" w14:textId="77777777" w:rsidR="004F3189" w:rsidRPr="00210011" w:rsidRDefault="004F3189" w:rsidP="007230A2">
      <w:pPr>
        <w:spacing w:after="60"/>
        <w:ind w:left="709" w:hanging="709"/>
      </w:pPr>
      <w:r w:rsidRPr="00210011">
        <w:lastRenderedPageBreak/>
        <w:t xml:space="preserve">Democratic Alliance of Hungarians in Romania (DUHR). </w:t>
      </w:r>
      <w:hyperlink r:id="rId11" w:history="1">
        <w:r w:rsidRPr="00210011">
          <w:rPr>
            <w:rStyle w:val="Hyperlink"/>
          </w:rPr>
          <w:t>http://dahr.ro/page/about-us</w:t>
        </w:r>
      </w:hyperlink>
      <w:r w:rsidRPr="00210011">
        <w:t xml:space="preserve"> [July 22, 2022]</w:t>
      </w:r>
    </w:p>
    <w:p w14:paraId="1B87FB6A" w14:textId="77777777" w:rsidR="004F3189" w:rsidRPr="00210011" w:rsidRDefault="004F3189" w:rsidP="007230A2">
      <w:pPr>
        <w:pStyle w:val="NormalWeb"/>
        <w:spacing w:before="0" w:beforeAutospacing="0" w:after="120" w:afterAutospacing="0"/>
        <w:ind w:left="475" w:hanging="475"/>
        <w:rPr>
          <w:i/>
          <w:iCs/>
          <w:sz w:val="22"/>
          <w:lang w:val="en-US"/>
        </w:rPr>
      </w:pPr>
      <w:r w:rsidRPr="00210011">
        <w:rPr>
          <w:sz w:val="22"/>
          <w:lang w:val="fr-CH"/>
        </w:rPr>
        <w:t xml:space="preserve">GADM (2019). </w:t>
      </w:r>
      <w:r w:rsidRPr="00210011">
        <w:rPr>
          <w:sz w:val="22"/>
          <w:lang w:val="en-US"/>
        </w:rPr>
        <w:t xml:space="preserve">Database of Global Administrative Boundaries, Version 3.6. </w:t>
      </w:r>
      <w:r w:rsidR="00000000">
        <w:fldChar w:fldCharType="begin"/>
      </w:r>
      <w:r w:rsidR="00000000" w:rsidRPr="007D5534">
        <w:rPr>
          <w:lang w:val="en-US"/>
        </w:rPr>
        <w:instrText>HYPERLINK "https://gadm.org/"</w:instrText>
      </w:r>
      <w:r w:rsidR="00000000">
        <w:fldChar w:fldCharType="separate"/>
      </w:r>
      <w:r w:rsidRPr="00210011">
        <w:rPr>
          <w:rStyle w:val="Hyperlink"/>
          <w:sz w:val="22"/>
          <w:lang w:val="en-US"/>
        </w:rPr>
        <w:t>https://gadm.org/</w:t>
      </w:r>
      <w:r w:rsidR="00000000">
        <w:rPr>
          <w:rStyle w:val="Hyperlink"/>
          <w:sz w:val="22"/>
          <w:lang w:val="en-US"/>
        </w:rPr>
        <w:fldChar w:fldCharType="end"/>
      </w:r>
      <w:r w:rsidRPr="00210011">
        <w:rPr>
          <w:sz w:val="22"/>
          <w:lang w:val="en-US"/>
        </w:rPr>
        <w:t xml:space="preserve"> [November 19, 2021].</w:t>
      </w:r>
    </w:p>
    <w:p w14:paraId="4AC4E534" w14:textId="77777777" w:rsidR="004F3189" w:rsidRPr="00210011" w:rsidRDefault="004F3189" w:rsidP="007230A2">
      <w:pPr>
        <w:widowControl w:val="0"/>
        <w:spacing w:after="60"/>
        <w:ind w:left="709" w:hanging="709"/>
        <w:rPr>
          <w:color w:val="000000"/>
          <w:lang w:eastAsia="de-CH"/>
        </w:rPr>
      </w:pPr>
      <w:r w:rsidRPr="00210011">
        <w:rPr>
          <w:color w:val="000000"/>
          <w:lang w:eastAsia="de-CH"/>
        </w:rPr>
        <w:t xml:space="preserve">Hewitt, Christopher, and Tom Cheetham (2000). </w:t>
      </w:r>
      <w:r w:rsidRPr="00210011">
        <w:rPr>
          <w:i/>
          <w:iCs/>
          <w:color w:val="000000"/>
          <w:lang w:eastAsia="de-CH"/>
        </w:rPr>
        <w:t>Encyclopedia of Modern Separatist Movements</w:t>
      </w:r>
      <w:r w:rsidRPr="00210011">
        <w:rPr>
          <w:color w:val="000000"/>
          <w:lang w:eastAsia="de-CH"/>
        </w:rPr>
        <w:t>. Santa Barbara, CA: ABC-CLIO, pp. 124-125, 248-249, 298-299.</w:t>
      </w:r>
    </w:p>
    <w:p w14:paraId="7E99D19B" w14:textId="77777777" w:rsidR="004F3189" w:rsidRDefault="004F3189" w:rsidP="007230A2">
      <w:pPr>
        <w:spacing w:after="60"/>
        <w:ind w:left="709" w:hanging="709"/>
        <w:rPr>
          <w:color w:val="000000"/>
          <w:lang w:eastAsia="de-CH"/>
        </w:rPr>
      </w:pPr>
      <w:r w:rsidRPr="00210011">
        <w:rPr>
          <w:rFonts w:cs="Times New Roman"/>
        </w:rPr>
        <w:t xml:space="preserve">Horvath, Istvan </w:t>
      </w:r>
      <w:r>
        <w:rPr>
          <w:rFonts w:cs="Times New Roman"/>
        </w:rPr>
        <w:t>(</w:t>
      </w:r>
      <w:r w:rsidRPr="00210011">
        <w:rPr>
          <w:rFonts w:cs="Times New Roman"/>
        </w:rPr>
        <w:t>2003</w:t>
      </w:r>
      <w:r>
        <w:rPr>
          <w:rFonts w:cs="Times New Roman"/>
        </w:rPr>
        <w:t>)</w:t>
      </w:r>
      <w:r w:rsidRPr="00210011">
        <w:rPr>
          <w:rFonts w:cs="Times New Roman"/>
        </w:rPr>
        <w:t xml:space="preserve">. “Facilitating Conflict Transformation: Implementation of the Recommendations of the OSCE High Commissioner on National Minorities to Romania, 1993-2001.” </w:t>
      </w:r>
      <w:r w:rsidRPr="00210011">
        <w:rPr>
          <w:rFonts w:cs="Times New Roman"/>
          <w:i/>
          <w:iCs/>
        </w:rPr>
        <w:t>OSCE Centre for Research</w:t>
      </w:r>
      <w:r w:rsidRPr="00210011">
        <w:rPr>
          <w:rFonts w:cs="Times New Roman"/>
        </w:rPr>
        <w:t>. http://edoc.vifapol.de/opus/volltexte/2008/603/pdf/34_CORE_Working_Paper_8.pdf [</w:t>
      </w:r>
      <w:r w:rsidRPr="00210011">
        <w:rPr>
          <w:color w:val="000000"/>
          <w:lang w:eastAsia="de-CH"/>
        </w:rPr>
        <w:t>February 3, 2015].</w:t>
      </w:r>
    </w:p>
    <w:p w14:paraId="6E0B1FB7" w14:textId="77777777" w:rsidR="004F3189" w:rsidRPr="005735FF" w:rsidRDefault="004F3189" w:rsidP="007230A2">
      <w:pPr>
        <w:spacing w:after="60"/>
        <w:ind w:left="709" w:hanging="709"/>
        <w:rPr>
          <w:rFonts w:eastAsia="Times New Roman" w:cs="Times New Roman"/>
          <w:szCs w:val="22"/>
        </w:rPr>
      </w:pPr>
      <w:r>
        <w:rPr>
          <w:rFonts w:cs="Times New Roman"/>
        </w:rPr>
        <w:t xml:space="preserve">Hungarian Spectrum (2019). “The Rebirth of Irredentism with the Assistance of the </w:t>
      </w:r>
      <w:proofErr w:type="spellStart"/>
      <w:r>
        <w:rPr>
          <w:rFonts w:cs="Times New Roman"/>
        </w:rPr>
        <w:t>Orban</w:t>
      </w:r>
      <w:proofErr w:type="spellEnd"/>
      <w:r>
        <w:rPr>
          <w:rFonts w:cs="Times New Roman"/>
        </w:rPr>
        <w:t xml:space="preserve"> Government”. </w:t>
      </w:r>
      <w:r>
        <w:rPr>
          <w:rFonts w:cs="Times New Roman"/>
          <w:i/>
          <w:iCs/>
        </w:rPr>
        <w:t>Hungarian Spectrum</w:t>
      </w:r>
      <w:r>
        <w:rPr>
          <w:rFonts w:cs="Times New Roman"/>
        </w:rPr>
        <w:t xml:space="preserve">. December 2. </w:t>
      </w:r>
      <w:hyperlink r:id="rId12" w:history="1">
        <w:r w:rsidRPr="006F1D83">
          <w:rPr>
            <w:rStyle w:val="Hyperlink"/>
            <w:rFonts w:cs="Times New Roman"/>
          </w:rPr>
          <w:t>https://hungarianspectrum.org/2019/12/02/the-rebirth-of-irredentism-with-the-assistance-of-the-orban-government/</w:t>
        </w:r>
      </w:hyperlink>
      <w:r>
        <w:rPr>
          <w:rFonts w:cs="Times New Roman"/>
        </w:rPr>
        <w:t xml:space="preserve"> [March 30, 2023].</w:t>
      </w:r>
    </w:p>
    <w:p w14:paraId="3BCCABC9" w14:textId="77777777" w:rsidR="004F3189" w:rsidRPr="00210011" w:rsidRDefault="004F3189" w:rsidP="007230A2">
      <w:pPr>
        <w:widowControl w:val="0"/>
        <w:spacing w:after="60"/>
        <w:ind w:left="709" w:hanging="709"/>
      </w:pPr>
      <w:proofErr w:type="spellStart"/>
      <w:r w:rsidRPr="00210011">
        <w:t>Keesing’s</w:t>
      </w:r>
      <w:proofErr w:type="spellEnd"/>
      <w:r w:rsidRPr="00210011">
        <w:t xml:space="preserve"> Record of World Events. </w:t>
      </w:r>
      <w:hyperlink r:id="rId13" w:history="1">
        <w:r w:rsidRPr="00210011">
          <w:rPr>
            <w:rStyle w:val="Hyperlink"/>
          </w:rPr>
          <w:t>http://www.keesings.com</w:t>
        </w:r>
      </w:hyperlink>
      <w:r w:rsidRPr="00210011">
        <w:t xml:space="preserve"> [April 11, 2002].</w:t>
      </w:r>
    </w:p>
    <w:p w14:paraId="35E7250C" w14:textId="77777777" w:rsidR="004F3189" w:rsidRDefault="004F3189" w:rsidP="007230A2">
      <w:pPr>
        <w:widowControl w:val="0"/>
        <w:spacing w:after="60"/>
        <w:ind w:left="709" w:hanging="709"/>
      </w:pPr>
      <w:r w:rsidRPr="00210011">
        <w:t xml:space="preserve">Kiss, </w:t>
      </w:r>
      <w:proofErr w:type="spellStart"/>
      <w:r w:rsidRPr="00210011">
        <w:t>Tamás</w:t>
      </w:r>
      <w:proofErr w:type="spellEnd"/>
      <w:r w:rsidRPr="00210011">
        <w:t xml:space="preserve">, and </w:t>
      </w:r>
      <w:proofErr w:type="spellStart"/>
      <w:r w:rsidRPr="00210011">
        <w:t>Székely</w:t>
      </w:r>
      <w:proofErr w:type="spellEnd"/>
      <w:r w:rsidRPr="00210011">
        <w:t xml:space="preserve">, </w:t>
      </w:r>
      <w:proofErr w:type="spellStart"/>
      <w:r w:rsidRPr="00210011">
        <w:t>István</w:t>
      </w:r>
      <w:proofErr w:type="spellEnd"/>
      <w:r w:rsidRPr="00210011">
        <w:t xml:space="preserve"> </w:t>
      </w:r>
      <w:proofErr w:type="spellStart"/>
      <w:r w:rsidRPr="00210011">
        <w:t>Gergő</w:t>
      </w:r>
      <w:proofErr w:type="spellEnd"/>
      <w:r w:rsidRPr="00210011">
        <w:t xml:space="preserve"> (2016). “Shifting Linkages in Ethnic Mobilization: The Case of RMDSZ and the Hungarians in Transylvania.” </w:t>
      </w:r>
      <w:r w:rsidRPr="00210011">
        <w:rPr>
          <w:i/>
          <w:iCs/>
        </w:rPr>
        <w:t>Nationalities Papers</w:t>
      </w:r>
      <w:r w:rsidRPr="00210011">
        <w:t> 44(4): 591–610.</w:t>
      </w:r>
    </w:p>
    <w:p w14:paraId="7F850DD4" w14:textId="77777777" w:rsidR="004F3189" w:rsidRDefault="004F3189" w:rsidP="007230A2">
      <w:pPr>
        <w:widowControl w:val="0"/>
        <w:spacing w:after="60"/>
        <w:ind w:left="709" w:hanging="709"/>
      </w:pPr>
      <w:r w:rsidRPr="007230A2">
        <w:t xml:space="preserve">Marshall, Monty G., and Ted R. </w:t>
      </w:r>
      <w:proofErr w:type="spellStart"/>
      <w:r w:rsidRPr="007230A2">
        <w:t>Gurr</w:t>
      </w:r>
      <w:proofErr w:type="spellEnd"/>
      <w:r w:rsidRPr="007230A2">
        <w:t xml:space="preserve"> (2003). </w:t>
      </w:r>
      <w:r w:rsidRPr="007230A2">
        <w:rPr>
          <w:i/>
        </w:rPr>
        <w:t>Peace and Conflict 2003: A Global Survey of Armed Conflicts, Self-Determination Movements and Democracy.</w:t>
      </w:r>
      <w:r w:rsidRPr="007230A2">
        <w:t xml:space="preserve"> College Park, MD: Center for International Development and Conflict Management, p. 63.</w:t>
      </w:r>
    </w:p>
    <w:p w14:paraId="2E70815E" w14:textId="77777777" w:rsidR="004F3189" w:rsidRDefault="004F3189" w:rsidP="007230A2">
      <w:pPr>
        <w:widowControl w:val="0"/>
        <w:spacing w:after="60"/>
        <w:ind w:left="709" w:hanging="709"/>
      </w:pPr>
      <w:r w:rsidRPr="007230A2">
        <w:t xml:space="preserve">Minahan, James (1996). </w:t>
      </w:r>
      <w:r w:rsidRPr="007230A2">
        <w:rPr>
          <w:i/>
        </w:rPr>
        <w:t xml:space="preserve">Nations without States: A Historical Dictionary of Contemporary National Movements. </w:t>
      </w:r>
      <w:r w:rsidRPr="007230A2">
        <w:t>London: Greenwood Press, pp. 579-581.</w:t>
      </w:r>
    </w:p>
    <w:p w14:paraId="2D1FB6A9" w14:textId="77777777" w:rsidR="004F3189" w:rsidRPr="005C6E06" w:rsidRDefault="004F3189" w:rsidP="007230A2">
      <w:pPr>
        <w:spacing w:after="60"/>
        <w:ind w:left="709" w:hanging="709"/>
        <w:rPr>
          <w:rFonts w:eastAsia="Times New Roman" w:cs="Times New Roman"/>
          <w:szCs w:val="22"/>
        </w:rPr>
      </w:pPr>
      <w:r>
        <w:rPr>
          <w:rFonts w:cs="Times New Roman"/>
        </w:rPr>
        <w:t>M</w:t>
      </w:r>
      <w:r w:rsidRPr="00F14DAE">
        <w:rPr>
          <w:rFonts w:cs="Times New Roman"/>
        </w:rPr>
        <w:t>inahan, James</w:t>
      </w:r>
      <w:r>
        <w:rPr>
          <w:rFonts w:cs="Times New Roman"/>
        </w:rPr>
        <w:t xml:space="preserve"> (</w:t>
      </w:r>
      <w:r w:rsidRPr="00F14DAE">
        <w:rPr>
          <w:rFonts w:cs="Times New Roman"/>
        </w:rPr>
        <w:t>2000</w:t>
      </w:r>
      <w:r>
        <w:rPr>
          <w:rFonts w:cs="Times New Roman"/>
        </w:rPr>
        <w:t>)</w:t>
      </w:r>
      <w:r w:rsidRPr="00F14DAE">
        <w:rPr>
          <w:rFonts w:cs="Times New Roman"/>
        </w:rPr>
        <w:t xml:space="preserve">. </w:t>
      </w:r>
      <w:r w:rsidRPr="00F14DAE">
        <w:rPr>
          <w:rFonts w:cs="Times New Roman"/>
          <w:i/>
          <w:iCs/>
        </w:rPr>
        <w:t>One Europe, Many Nations: A Historical Dictionary of European National Groups</w:t>
      </w:r>
      <w:r w:rsidRPr="00F14DAE">
        <w:rPr>
          <w:rFonts w:cs="Times New Roman"/>
        </w:rPr>
        <w:t>. Greenwood Publishing Group.</w:t>
      </w:r>
    </w:p>
    <w:p w14:paraId="34AF3E1F" w14:textId="77777777" w:rsidR="004F3189" w:rsidRDefault="004F3189" w:rsidP="00B31A74">
      <w:pPr>
        <w:widowControl w:val="0"/>
        <w:spacing w:after="60"/>
        <w:ind w:left="709" w:hanging="709"/>
        <w:rPr>
          <w:rFonts w:eastAsia="Times"/>
          <w:szCs w:val="20"/>
        </w:rPr>
      </w:pPr>
      <w:r w:rsidRPr="007230A2">
        <w:rPr>
          <w:rFonts w:eastAsia="Times"/>
          <w:szCs w:val="20"/>
        </w:rPr>
        <w:t xml:space="preserve">Minahan, James (2002). </w:t>
      </w:r>
      <w:r w:rsidRPr="007230A2">
        <w:rPr>
          <w:rFonts w:eastAsia="Times"/>
          <w:i/>
          <w:szCs w:val="20"/>
        </w:rPr>
        <w:t xml:space="preserve">Encyclopedia of the Stateless Nations. </w:t>
      </w:r>
      <w:r w:rsidRPr="007230A2">
        <w:rPr>
          <w:rFonts w:eastAsia="Times"/>
          <w:szCs w:val="20"/>
        </w:rPr>
        <w:t>Westport, CT: Greenwood Press, pp. 1810-1815.</w:t>
      </w:r>
    </w:p>
    <w:p w14:paraId="41EF051A" w14:textId="77777777" w:rsidR="004F3189" w:rsidRDefault="004F3189" w:rsidP="007230A2">
      <w:pPr>
        <w:widowControl w:val="0"/>
        <w:spacing w:after="60"/>
        <w:ind w:left="709" w:hanging="709"/>
        <w:rPr>
          <w:rFonts w:eastAsia="Times"/>
          <w:szCs w:val="20"/>
        </w:rPr>
      </w:pPr>
      <w:r w:rsidRPr="007230A2">
        <w:rPr>
          <w:rFonts w:eastAsia="Times"/>
          <w:szCs w:val="20"/>
        </w:rPr>
        <w:t>Minorities at Risk Project (2009). College Park, MD: University of Maryland.</w:t>
      </w:r>
    </w:p>
    <w:p w14:paraId="09A3881F" w14:textId="77777777" w:rsidR="004F3189" w:rsidRDefault="004F3189" w:rsidP="007230A2">
      <w:pPr>
        <w:spacing w:after="60"/>
        <w:ind w:left="709" w:hanging="709"/>
        <w:rPr>
          <w:color w:val="000000"/>
          <w:lang w:eastAsia="de-CH"/>
        </w:rPr>
      </w:pPr>
      <w:r w:rsidRPr="009C32F1">
        <w:rPr>
          <w:rFonts w:eastAsia="Times New Roman" w:cs="Times New Roman"/>
          <w:szCs w:val="22"/>
        </w:rPr>
        <w:t>Minority Rights Group International</w:t>
      </w:r>
      <w:r w:rsidRPr="009C32F1">
        <w:rPr>
          <w:rFonts w:eastAsia="Times New Roman" w:cs="Times New Roman"/>
          <w:b/>
          <w:szCs w:val="22"/>
        </w:rPr>
        <w:t xml:space="preserve">. </w:t>
      </w:r>
      <w:r w:rsidRPr="009C32F1">
        <w:rPr>
          <w:rFonts w:eastAsia="Times New Roman" w:cs="Times New Roman"/>
          <w:i/>
          <w:szCs w:val="22"/>
        </w:rPr>
        <w:t>World Directory of Minorities and Indigenous Peoples.</w:t>
      </w:r>
      <w:r w:rsidRPr="00890A72">
        <w:t xml:space="preserve"> </w:t>
      </w:r>
      <w:r w:rsidRPr="00343C2D">
        <w:t xml:space="preserve">http://www.minorityrights.org/3521/romania/romania-overview.html </w:t>
      </w:r>
      <w:r w:rsidRPr="0059271E">
        <w:rPr>
          <w:color w:val="000000"/>
          <w:lang w:eastAsia="de-CH"/>
        </w:rPr>
        <w:t>[</w:t>
      </w:r>
      <w:r>
        <w:rPr>
          <w:color w:val="000000"/>
          <w:lang w:eastAsia="de-CH"/>
        </w:rPr>
        <w:t>February 3</w:t>
      </w:r>
      <w:r w:rsidRPr="0059271E">
        <w:rPr>
          <w:color w:val="000000"/>
          <w:lang w:eastAsia="de-CH"/>
        </w:rPr>
        <w:t>, 201</w:t>
      </w:r>
      <w:r>
        <w:rPr>
          <w:color w:val="000000"/>
          <w:lang w:eastAsia="de-CH"/>
        </w:rPr>
        <w:t>5</w:t>
      </w:r>
      <w:r w:rsidRPr="0059271E">
        <w:rPr>
          <w:color w:val="000000"/>
          <w:lang w:eastAsia="de-CH"/>
        </w:rPr>
        <w:t>].</w:t>
      </w:r>
    </w:p>
    <w:p w14:paraId="61A9C049" w14:textId="77777777" w:rsidR="004F3189" w:rsidRPr="00E10431" w:rsidRDefault="004F3189" w:rsidP="007230A2">
      <w:pPr>
        <w:spacing w:after="60"/>
        <w:ind w:left="709" w:hanging="709"/>
        <w:rPr>
          <w:i/>
          <w:iCs/>
          <w:color w:val="000000"/>
          <w:lang w:eastAsia="de-CH"/>
        </w:rPr>
      </w:pPr>
      <w:proofErr w:type="spellStart"/>
      <w:r>
        <w:rPr>
          <w:rFonts w:eastAsia="Times New Roman"/>
        </w:rPr>
        <w:t>Pilh</w:t>
      </w:r>
      <w:r w:rsidRPr="00E10431">
        <w:rPr>
          <w:rFonts w:eastAsia="Times New Roman"/>
        </w:rPr>
        <w:t>á</w:t>
      </w:r>
      <w:r>
        <w:rPr>
          <w:rFonts w:eastAsia="Times New Roman"/>
        </w:rPr>
        <w:t>l</w:t>
      </w:r>
      <w:proofErr w:type="spellEnd"/>
      <w:r>
        <w:rPr>
          <w:rFonts w:eastAsia="Times New Roman"/>
        </w:rPr>
        <w:t xml:space="preserve">, </w:t>
      </w:r>
      <w:proofErr w:type="spellStart"/>
      <w:r>
        <w:rPr>
          <w:rFonts w:eastAsia="Times New Roman"/>
        </w:rPr>
        <w:t>Tam</w:t>
      </w:r>
      <w:r w:rsidRPr="00E10431">
        <w:rPr>
          <w:rFonts w:eastAsia="Times New Roman"/>
        </w:rPr>
        <w:t>á</w:t>
      </w:r>
      <w:r>
        <w:rPr>
          <w:rFonts w:eastAsia="Times New Roman"/>
        </w:rPr>
        <w:t>s</w:t>
      </w:r>
      <w:proofErr w:type="spellEnd"/>
      <w:r>
        <w:rPr>
          <w:rFonts w:eastAsia="Times New Roman"/>
        </w:rPr>
        <w:t xml:space="preserve"> (2019). “</w:t>
      </w:r>
      <w:r w:rsidRPr="00E10431">
        <w:rPr>
          <w:rFonts w:eastAsia="Times New Roman"/>
        </w:rPr>
        <w:t xml:space="preserve">A message to the terrorists of Transylvania: the </w:t>
      </w:r>
      <w:proofErr w:type="spellStart"/>
      <w:r w:rsidRPr="00E10431">
        <w:rPr>
          <w:rFonts w:eastAsia="Times New Roman"/>
        </w:rPr>
        <w:t>Gyulafehérvár</w:t>
      </w:r>
      <w:proofErr w:type="spellEnd"/>
      <w:r w:rsidRPr="00E10431">
        <w:rPr>
          <w:rFonts w:eastAsia="Times New Roman"/>
        </w:rPr>
        <w:t xml:space="preserve"> method will also work in reverse!</w:t>
      </w:r>
      <w:r>
        <w:rPr>
          <w:rFonts w:eastAsia="Times New Roman"/>
        </w:rPr>
        <w:t>” [“</w:t>
      </w:r>
      <w:proofErr w:type="spellStart"/>
      <w:r w:rsidRPr="008F16FE">
        <w:rPr>
          <w:rFonts w:eastAsia="Times New Roman"/>
        </w:rPr>
        <w:t>Üzenet</w:t>
      </w:r>
      <w:proofErr w:type="spellEnd"/>
      <w:r w:rsidRPr="008F16FE">
        <w:rPr>
          <w:rFonts w:eastAsia="Times New Roman"/>
        </w:rPr>
        <w:t xml:space="preserve"> </w:t>
      </w:r>
      <w:proofErr w:type="spellStart"/>
      <w:r w:rsidRPr="008F16FE">
        <w:rPr>
          <w:rFonts w:eastAsia="Times New Roman"/>
        </w:rPr>
        <w:t>Erdély</w:t>
      </w:r>
      <w:proofErr w:type="spellEnd"/>
      <w:r w:rsidRPr="008F16FE">
        <w:rPr>
          <w:rFonts w:eastAsia="Times New Roman"/>
        </w:rPr>
        <w:t xml:space="preserve"> </w:t>
      </w:r>
      <w:proofErr w:type="spellStart"/>
      <w:r w:rsidRPr="008F16FE">
        <w:rPr>
          <w:rFonts w:eastAsia="Times New Roman"/>
        </w:rPr>
        <w:t>terrorista</w:t>
      </w:r>
      <w:proofErr w:type="spellEnd"/>
      <w:r w:rsidRPr="008F16FE">
        <w:rPr>
          <w:rFonts w:eastAsia="Times New Roman"/>
        </w:rPr>
        <w:t xml:space="preserve"> </w:t>
      </w:r>
      <w:proofErr w:type="spellStart"/>
      <w:r w:rsidRPr="008F16FE">
        <w:rPr>
          <w:rFonts w:eastAsia="Times New Roman"/>
        </w:rPr>
        <w:t>elcsatolóinak</w:t>
      </w:r>
      <w:proofErr w:type="spellEnd"/>
      <w:r w:rsidRPr="008F16FE">
        <w:rPr>
          <w:rFonts w:eastAsia="Times New Roman"/>
        </w:rPr>
        <w:t xml:space="preserve">: a </w:t>
      </w:r>
      <w:proofErr w:type="spellStart"/>
      <w:r w:rsidRPr="008F16FE">
        <w:rPr>
          <w:rFonts w:eastAsia="Times New Roman"/>
        </w:rPr>
        <w:t>gyulafehérvári</w:t>
      </w:r>
      <w:proofErr w:type="spellEnd"/>
      <w:r w:rsidRPr="008F16FE">
        <w:rPr>
          <w:rFonts w:eastAsia="Times New Roman"/>
        </w:rPr>
        <w:t xml:space="preserve"> </w:t>
      </w:r>
      <w:proofErr w:type="spellStart"/>
      <w:r w:rsidRPr="008F16FE">
        <w:rPr>
          <w:rFonts w:eastAsia="Times New Roman"/>
        </w:rPr>
        <w:t>módszer</w:t>
      </w:r>
      <w:proofErr w:type="spellEnd"/>
      <w:r w:rsidRPr="008F16FE">
        <w:rPr>
          <w:rFonts w:eastAsia="Times New Roman"/>
        </w:rPr>
        <w:t xml:space="preserve"> </w:t>
      </w:r>
      <w:proofErr w:type="spellStart"/>
      <w:r w:rsidRPr="008F16FE">
        <w:rPr>
          <w:rFonts w:eastAsia="Times New Roman"/>
        </w:rPr>
        <w:t>fordítva</w:t>
      </w:r>
      <w:proofErr w:type="spellEnd"/>
      <w:r w:rsidRPr="008F16FE">
        <w:rPr>
          <w:rFonts w:eastAsia="Times New Roman"/>
        </w:rPr>
        <w:t xml:space="preserve"> is </w:t>
      </w:r>
      <w:proofErr w:type="spellStart"/>
      <w:r w:rsidRPr="008F16FE">
        <w:rPr>
          <w:rFonts w:eastAsia="Times New Roman"/>
        </w:rPr>
        <w:t>működni</w:t>
      </w:r>
      <w:proofErr w:type="spellEnd"/>
      <w:r w:rsidRPr="008F16FE">
        <w:rPr>
          <w:rFonts w:eastAsia="Times New Roman"/>
        </w:rPr>
        <w:t xml:space="preserve"> fog!</w:t>
      </w:r>
      <w:r>
        <w:rPr>
          <w:rFonts w:eastAsia="Times New Roman"/>
        </w:rPr>
        <w:t xml:space="preserve">”]. </w:t>
      </w:r>
      <w:proofErr w:type="spellStart"/>
      <w:r w:rsidRPr="00E10431">
        <w:rPr>
          <w:rFonts w:eastAsia="Times New Roman"/>
          <w:i/>
          <w:iCs/>
        </w:rPr>
        <w:t>Pesti</w:t>
      </w:r>
      <w:proofErr w:type="spellEnd"/>
      <w:r w:rsidRPr="00E10431">
        <w:rPr>
          <w:rFonts w:eastAsia="Times New Roman"/>
          <w:i/>
          <w:iCs/>
        </w:rPr>
        <w:t xml:space="preserve"> </w:t>
      </w:r>
      <w:proofErr w:type="spellStart"/>
      <w:r w:rsidRPr="00E10431">
        <w:rPr>
          <w:rFonts w:eastAsia="Times New Roman"/>
          <w:i/>
          <w:iCs/>
        </w:rPr>
        <w:t>Srácok</w:t>
      </w:r>
      <w:proofErr w:type="spellEnd"/>
      <w:r w:rsidRPr="00E10431">
        <w:rPr>
          <w:rFonts w:eastAsia="Times New Roman"/>
        </w:rPr>
        <w:t>.</w:t>
      </w:r>
      <w:r>
        <w:rPr>
          <w:rFonts w:eastAsia="Times New Roman"/>
        </w:rPr>
        <w:t xml:space="preserve"> December 01. </w:t>
      </w:r>
      <w:hyperlink r:id="rId14" w:history="1">
        <w:r w:rsidRPr="006F1D83">
          <w:rPr>
            <w:rStyle w:val="Hyperlink"/>
            <w:rFonts w:eastAsia="Times New Roman"/>
          </w:rPr>
          <w:t>https://pestisracok.hu/uzenet-erdely-terrorista-elcsatoloinak-a-gyulafehervari-modszer-forditva-is-mukodni-fog/</w:t>
        </w:r>
      </w:hyperlink>
      <w:r>
        <w:rPr>
          <w:rFonts w:eastAsia="Times New Roman"/>
        </w:rPr>
        <w:t xml:space="preserve"> [March 30, 2023].</w:t>
      </w:r>
    </w:p>
    <w:p w14:paraId="4842A51C" w14:textId="77777777" w:rsidR="004F3189" w:rsidRPr="007230A2" w:rsidRDefault="004F3189" w:rsidP="007230A2">
      <w:pPr>
        <w:widowControl w:val="0"/>
        <w:spacing w:after="60"/>
        <w:ind w:left="709" w:hanging="709"/>
        <w:rPr>
          <w:rFonts w:cs="Times New Roman"/>
        </w:rPr>
      </w:pPr>
      <w:proofErr w:type="spellStart"/>
      <w:r w:rsidRPr="007230A2">
        <w:t>Uniunea</w:t>
      </w:r>
      <w:proofErr w:type="spellEnd"/>
      <w:r w:rsidRPr="007230A2">
        <w:t xml:space="preserve"> </w:t>
      </w:r>
      <w:proofErr w:type="spellStart"/>
      <w:r w:rsidRPr="007230A2">
        <w:t>Democrată</w:t>
      </w:r>
      <w:proofErr w:type="spellEnd"/>
      <w:r w:rsidRPr="007230A2">
        <w:t xml:space="preserve"> </w:t>
      </w:r>
      <w:proofErr w:type="spellStart"/>
      <w:r w:rsidRPr="007230A2">
        <w:t>Maghiară</w:t>
      </w:r>
      <w:proofErr w:type="spellEnd"/>
      <w:r w:rsidRPr="007230A2">
        <w:t xml:space="preserve"> Din </w:t>
      </w:r>
      <w:proofErr w:type="spellStart"/>
      <w:r w:rsidRPr="007230A2">
        <w:t>România</w:t>
      </w:r>
      <w:proofErr w:type="spellEnd"/>
      <w:r w:rsidRPr="007230A2">
        <w:t xml:space="preserve"> (UDMR). </w:t>
      </w:r>
      <w:hyperlink r:id="rId15" w:history="1">
        <w:r w:rsidRPr="007230A2">
          <w:rPr>
            <w:rStyle w:val="Hyperlink"/>
          </w:rPr>
          <w:t>http://www.udmr.ro/</w:t>
        </w:r>
      </w:hyperlink>
      <w:r w:rsidRPr="007230A2">
        <w:t xml:space="preserve"> [December 12, 2013].</w:t>
      </w:r>
    </w:p>
    <w:p w14:paraId="3FC4EEED" w14:textId="77777777" w:rsidR="004F3189" w:rsidRDefault="004F3189" w:rsidP="007230A2">
      <w:pPr>
        <w:spacing w:after="60"/>
        <w:ind w:left="709" w:hanging="709"/>
        <w:rPr>
          <w:color w:val="000000"/>
          <w:lang w:eastAsia="de-CH"/>
        </w:rPr>
      </w:pPr>
      <w:r w:rsidRPr="00F14DAE">
        <w:rPr>
          <w:rFonts w:cs="Times New Roman"/>
        </w:rPr>
        <w:t>US English Foundation Research</w:t>
      </w:r>
      <w:r>
        <w:rPr>
          <w:rFonts w:cs="Times New Roman"/>
        </w:rPr>
        <w:t>. “</w:t>
      </w:r>
      <w:r w:rsidRPr="00F14DAE">
        <w:rPr>
          <w:rFonts w:cs="Times New Roman"/>
        </w:rPr>
        <w:t xml:space="preserve">Romania </w:t>
      </w:r>
      <w:r>
        <w:rPr>
          <w:rFonts w:cs="Times New Roman"/>
        </w:rPr>
        <w:t>–</w:t>
      </w:r>
      <w:r w:rsidRPr="00F14DAE">
        <w:rPr>
          <w:rFonts w:cs="Times New Roman"/>
        </w:rPr>
        <w:t xml:space="preserve"> Language</w:t>
      </w:r>
      <w:r>
        <w:rPr>
          <w:rFonts w:cs="Times New Roman"/>
        </w:rPr>
        <w:t xml:space="preserve"> Research</w:t>
      </w:r>
      <w:r w:rsidRPr="00F14DAE">
        <w:rPr>
          <w:rFonts w:cs="Times New Roman"/>
        </w:rPr>
        <w:t xml:space="preserve">.”  </w:t>
      </w:r>
      <w:r w:rsidRPr="00E60525">
        <w:rPr>
          <w:rFonts w:cs="Times New Roman"/>
        </w:rPr>
        <w:t>http://usefoundation.org/view/498</w:t>
      </w:r>
      <w:r w:rsidRPr="00F14DAE">
        <w:rPr>
          <w:rFonts w:cs="Times New Roman"/>
        </w:rPr>
        <w:t xml:space="preserve"> </w:t>
      </w:r>
      <w:r w:rsidRPr="0059271E">
        <w:rPr>
          <w:color w:val="000000"/>
          <w:lang w:eastAsia="de-CH"/>
        </w:rPr>
        <w:t>[</w:t>
      </w:r>
      <w:r>
        <w:rPr>
          <w:color w:val="000000"/>
          <w:lang w:eastAsia="de-CH"/>
        </w:rPr>
        <w:t>February 3</w:t>
      </w:r>
      <w:r w:rsidRPr="0059271E">
        <w:rPr>
          <w:color w:val="000000"/>
          <w:lang w:eastAsia="de-CH"/>
        </w:rPr>
        <w:t>, 201</w:t>
      </w:r>
      <w:r>
        <w:rPr>
          <w:color w:val="000000"/>
          <w:lang w:eastAsia="de-CH"/>
        </w:rPr>
        <w:t>5</w:t>
      </w:r>
      <w:r w:rsidRPr="0059271E">
        <w:rPr>
          <w:color w:val="000000"/>
          <w:lang w:eastAsia="de-CH"/>
        </w:rPr>
        <w:t>].</w:t>
      </w:r>
    </w:p>
    <w:p w14:paraId="010EC614" w14:textId="77777777" w:rsidR="004F3189" w:rsidRDefault="004F3189" w:rsidP="007230A2">
      <w:pPr>
        <w:widowControl w:val="0"/>
        <w:spacing w:after="60"/>
        <w:ind w:left="709" w:hanging="709"/>
      </w:pPr>
      <w:r>
        <w:t xml:space="preserve">Vogt, Manuel, Nils-Christian Bormann, </w:t>
      </w:r>
      <w:proofErr w:type="spellStart"/>
      <w:r>
        <w:t>Seraina</w:t>
      </w:r>
      <w:proofErr w:type="spellEnd"/>
      <w:r>
        <w:t xml:space="preserve"> </w:t>
      </w:r>
      <w:proofErr w:type="spellStart"/>
      <w:r>
        <w:t>Rüegger</w:t>
      </w:r>
      <w:proofErr w:type="spellEnd"/>
      <w:r>
        <w:t xml:space="preserve">, Lars-Erik </w:t>
      </w:r>
      <w:proofErr w:type="spellStart"/>
      <w:r>
        <w:t>Cederman</w:t>
      </w:r>
      <w:proofErr w:type="spellEnd"/>
      <w:r>
        <w:t xml:space="preserve">, Philipp </w:t>
      </w:r>
      <w:proofErr w:type="spellStart"/>
      <w:r>
        <w:t>Hunziker</w:t>
      </w:r>
      <w:proofErr w:type="spellEnd"/>
      <w:r>
        <w:t xml:space="preserve">, and Luc Girardin (2015). “Integrating Data on Ethnicity, Geography, and Conflict: The Ethnic Power Relations Data Set Family.” </w:t>
      </w:r>
      <w:r>
        <w:rPr>
          <w:i/>
          <w:iCs/>
        </w:rPr>
        <w:t>Journal of Conflict Resolution</w:t>
      </w:r>
      <w:r>
        <w:t xml:space="preserve"> 59(7): 1327-1342.</w:t>
      </w:r>
    </w:p>
    <w:p w14:paraId="309B585B" w14:textId="095BE0E3" w:rsidR="004C3762" w:rsidRPr="00E17E6D" w:rsidRDefault="004C3762" w:rsidP="00E17E6D">
      <w:pPr>
        <w:spacing w:after="200" w:line="276" w:lineRule="auto"/>
      </w:pPr>
    </w:p>
    <w:sectPr w:rsidR="004C3762" w:rsidRPr="00E17E6D" w:rsidSect="00377142">
      <w:footerReference w:type="default" r:id="rId16"/>
      <w:headerReference w:type="first" r:id="rId1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C5FD" w14:textId="77777777" w:rsidR="000D78D2" w:rsidRDefault="000D78D2" w:rsidP="00A76598">
      <w:r>
        <w:separator/>
      </w:r>
    </w:p>
  </w:endnote>
  <w:endnote w:type="continuationSeparator" w:id="0">
    <w:p w14:paraId="65E3E988" w14:textId="77777777" w:rsidR="000D78D2" w:rsidRDefault="000D78D2"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F0838" w14:textId="77777777" w:rsidR="000D78D2" w:rsidRPr="00ED0D02" w:rsidRDefault="000D78D2" w:rsidP="00ED0D02">
      <w:pPr>
        <w:pStyle w:val="Footer"/>
      </w:pPr>
      <w:r>
        <w:separator/>
      </w:r>
    </w:p>
  </w:footnote>
  <w:footnote w:type="continuationSeparator" w:id="0">
    <w:p w14:paraId="56B89E54" w14:textId="77777777" w:rsidR="000D78D2" w:rsidRDefault="000D78D2"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BA04223"/>
    <w:multiLevelType w:val="hybridMultilevel"/>
    <w:tmpl w:val="D798740C"/>
    <w:lvl w:ilvl="0" w:tplc="4EAA53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036CB1"/>
    <w:multiLevelType w:val="hybridMultilevel"/>
    <w:tmpl w:val="BB88D028"/>
    <w:lvl w:ilvl="0" w:tplc="FAD451F6">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8"/>
  </w:num>
  <w:num w:numId="2" w16cid:durableId="1701928402">
    <w:abstractNumId w:val="64"/>
  </w:num>
  <w:num w:numId="3" w16cid:durableId="1641693105">
    <w:abstractNumId w:val="32"/>
  </w:num>
  <w:num w:numId="4" w16cid:durableId="1934776525">
    <w:abstractNumId w:val="51"/>
  </w:num>
  <w:num w:numId="5" w16cid:durableId="697391099">
    <w:abstractNumId w:val="23"/>
  </w:num>
  <w:num w:numId="6" w16cid:durableId="270475222">
    <w:abstractNumId w:val="20"/>
  </w:num>
  <w:num w:numId="7" w16cid:durableId="1577320752">
    <w:abstractNumId w:val="49"/>
  </w:num>
  <w:num w:numId="8" w16cid:durableId="39673101">
    <w:abstractNumId w:val="56"/>
  </w:num>
  <w:num w:numId="9" w16cid:durableId="2119520166">
    <w:abstractNumId w:val="55"/>
  </w:num>
  <w:num w:numId="10" w16cid:durableId="17511972">
    <w:abstractNumId w:val="52"/>
  </w:num>
  <w:num w:numId="11" w16cid:durableId="1420367559">
    <w:abstractNumId w:val="46"/>
  </w:num>
  <w:num w:numId="12" w16cid:durableId="1590579449">
    <w:abstractNumId w:val="4"/>
  </w:num>
  <w:num w:numId="13" w16cid:durableId="751242860">
    <w:abstractNumId w:val="43"/>
  </w:num>
  <w:num w:numId="14" w16cid:durableId="166986079">
    <w:abstractNumId w:val="35"/>
  </w:num>
  <w:num w:numId="15" w16cid:durableId="2139374168">
    <w:abstractNumId w:val="40"/>
  </w:num>
  <w:num w:numId="16" w16cid:durableId="878661577">
    <w:abstractNumId w:val="42"/>
  </w:num>
  <w:num w:numId="17" w16cid:durableId="609825262">
    <w:abstractNumId w:val="68"/>
  </w:num>
  <w:num w:numId="18" w16cid:durableId="738476677">
    <w:abstractNumId w:val="36"/>
  </w:num>
  <w:num w:numId="19" w16cid:durableId="924076475">
    <w:abstractNumId w:val="17"/>
  </w:num>
  <w:num w:numId="20" w16cid:durableId="893470769">
    <w:abstractNumId w:val="10"/>
  </w:num>
  <w:num w:numId="21" w16cid:durableId="1561941509">
    <w:abstractNumId w:val="69"/>
  </w:num>
  <w:num w:numId="22" w16cid:durableId="1384716161">
    <w:abstractNumId w:val="26"/>
  </w:num>
  <w:num w:numId="23" w16cid:durableId="446123387">
    <w:abstractNumId w:val="38"/>
  </w:num>
  <w:num w:numId="24" w16cid:durableId="1250653581">
    <w:abstractNumId w:val="14"/>
  </w:num>
  <w:num w:numId="25" w16cid:durableId="123474687">
    <w:abstractNumId w:val="6"/>
  </w:num>
  <w:num w:numId="26" w16cid:durableId="1779717484">
    <w:abstractNumId w:val="65"/>
  </w:num>
  <w:num w:numId="27" w16cid:durableId="1305889754">
    <w:abstractNumId w:val="12"/>
  </w:num>
  <w:num w:numId="28" w16cid:durableId="113328256">
    <w:abstractNumId w:val="24"/>
  </w:num>
  <w:num w:numId="29" w16cid:durableId="1989238119">
    <w:abstractNumId w:val="18"/>
  </w:num>
  <w:num w:numId="30" w16cid:durableId="231089119">
    <w:abstractNumId w:val="45"/>
  </w:num>
  <w:num w:numId="31" w16cid:durableId="733895082">
    <w:abstractNumId w:val="66"/>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0"/>
  </w:num>
  <w:num w:numId="38" w16cid:durableId="568467062">
    <w:abstractNumId w:val="8"/>
  </w:num>
  <w:num w:numId="39" w16cid:durableId="802504033">
    <w:abstractNumId w:val="47"/>
  </w:num>
  <w:num w:numId="40" w16cid:durableId="841512763">
    <w:abstractNumId w:val="37"/>
  </w:num>
  <w:num w:numId="41" w16cid:durableId="1290697922">
    <w:abstractNumId w:val="15"/>
  </w:num>
  <w:num w:numId="42" w16cid:durableId="496306367">
    <w:abstractNumId w:val="22"/>
  </w:num>
  <w:num w:numId="43" w16cid:durableId="1828201997">
    <w:abstractNumId w:val="16"/>
  </w:num>
  <w:num w:numId="44" w16cid:durableId="556668622">
    <w:abstractNumId w:val="61"/>
  </w:num>
  <w:num w:numId="45" w16cid:durableId="614363461">
    <w:abstractNumId w:val="25"/>
  </w:num>
  <w:num w:numId="46" w16cid:durableId="296110166">
    <w:abstractNumId w:val="7"/>
  </w:num>
  <w:num w:numId="47" w16cid:durableId="1073090130">
    <w:abstractNumId w:val="53"/>
  </w:num>
  <w:num w:numId="48" w16cid:durableId="1398742901">
    <w:abstractNumId w:val="27"/>
  </w:num>
  <w:num w:numId="49" w16cid:durableId="306714354">
    <w:abstractNumId w:val="34"/>
  </w:num>
  <w:num w:numId="50" w16cid:durableId="1580290642">
    <w:abstractNumId w:val="59"/>
  </w:num>
  <w:num w:numId="51" w16cid:durableId="615716206">
    <w:abstractNumId w:val="53"/>
  </w:num>
  <w:num w:numId="52" w16cid:durableId="2033873946">
    <w:abstractNumId w:val="62"/>
  </w:num>
  <w:num w:numId="53" w16cid:durableId="1247575419">
    <w:abstractNumId w:val="54"/>
  </w:num>
  <w:num w:numId="54" w16cid:durableId="1499689557">
    <w:abstractNumId w:val="67"/>
  </w:num>
  <w:num w:numId="55" w16cid:durableId="1662612399">
    <w:abstractNumId w:val="2"/>
  </w:num>
  <w:num w:numId="56" w16cid:durableId="1230072174">
    <w:abstractNumId w:val="31"/>
  </w:num>
  <w:num w:numId="57" w16cid:durableId="215705333">
    <w:abstractNumId w:val="50"/>
  </w:num>
  <w:num w:numId="58" w16cid:durableId="702244018">
    <w:abstractNumId w:val="29"/>
  </w:num>
  <w:num w:numId="59" w16cid:durableId="1905142791">
    <w:abstractNumId w:val="44"/>
  </w:num>
  <w:num w:numId="60" w16cid:durableId="1274943966">
    <w:abstractNumId w:val="41"/>
  </w:num>
  <w:num w:numId="61" w16cid:durableId="1846245732">
    <w:abstractNumId w:val="63"/>
  </w:num>
  <w:num w:numId="62" w16cid:durableId="733282385">
    <w:abstractNumId w:val="30"/>
  </w:num>
  <w:num w:numId="63" w16cid:durableId="840849935">
    <w:abstractNumId w:val="71"/>
  </w:num>
  <w:num w:numId="64" w16cid:durableId="969431821">
    <w:abstractNumId w:val="5"/>
  </w:num>
  <w:num w:numId="65" w16cid:durableId="810441126">
    <w:abstractNumId w:val="1"/>
  </w:num>
  <w:num w:numId="66" w16cid:durableId="1130131691">
    <w:abstractNumId w:val="28"/>
  </w:num>
  <w:num w:numId="67" w16cid:durableId="551775456">
    <w:abstractNumId w:val="58"/>
  </w:num>
  <w:num w:numId="68" w16cid:durableId="1511945261">
    <w:abstractNumId w:val="33"/>
  </w:num>
  <w:num w:numId="69" w16cid:durableId="1598557851">
    <w:abstractNumId w:val="4"/>
  </w:num>
  <w:num w:numId="70" w16cid:durableId="944072145">
    <w:abstractNumId w:val="57"/>
  </w:num>
  <w:num w:numId="71" w16cid:durableId="539558267">
    <w:abstractNumId w:val="13"/>
  </w:num>
  <w:num w:numId="72" w16cid:durableId="1145469517">
    <w:abstractNumId w:val="70"/>
  </w:num>
  <w:num w:numId="73" w16cid:durableId="121969744">
    <w:abstractNumId w:val="39"/>
  </w:num>
  <w:num w:numId="74" w16cid:durableId="523593598">
    <w:abstractNumId w:val="2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10B3"/>
    <w:rsid w:val="000D224D"/>
    <w:rsid w:val="000D2990"/>
    <w:rsid w:val="000D350D"/>
    <w:rsid w:val="000D3FD1"/>
    <w:rsid w:val="000D4B6C"/>
    <w:rsid w:val="000D5351"/>
    <w:rsid w:val="000D56A2"/>
    <w:rsid w:val="000D66C5"/>
    <w:rsid w:val="000D6A67"/>
    <w:rsid w:val="000D6BEC"/>
    <w:rsid w:val="000D7120"/>
    <w:rsid w:val="000D782B"/>
    <w:rsid w:val="000D78D2"/>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19"/>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6F63"/>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011"/>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26FE"/>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495"/>
    <w:rsid w:val="004976A3"/>
    <w:rsid w:val="00497E75"/>
    <w:rsid w:val="004A08C2"/>
    <w:rsid w:val="004A2912"/>
    <w:rsid w:val="004A463F"/>
    <w:rsid w:val="004A609C"/>
    <w:rsid w:val="004A62A5"/>
    <w:rsid w:val="004A6B84"/>
    <w:rsid w:val="004A6DCA"/>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189"/>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3FCB"/>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5FF"/>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5620"/>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0A2"/>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3FC"/>
    <w:rsid w:val="007515FE"/>
    <w:rsid w:val="00751B79"/>
    <w:rsid w:val="00752E6D"/>
    <w:rsid w:val="007531B9"/>
    <w:rsid w:val="00753425"/>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D3E"/>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534"/>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3AB4"/>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3AC"/>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6FE"/>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33B"/>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5BAE"/>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1A74"/>
    <w:rsid w:val="00B3205D"/>
    <w:rsid w:val="00B33046"/>
    <w:rsid w:val="00B33577"/>
    <w:rsid w:val="00B33939"/>
    <w:rsid w:val="00B34080"/>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071"/>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7F5"/>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73D"/>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06F9"/>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24"/>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0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431"/>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7A4"/>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87474"/>
    <w:rsid w:val="00F919DD"/>
    <w:rsid w:val="00F9371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79047203">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63569397">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keesings.gvpi.net/keesings/lpext.dll?f=templates&amp;fn=main-h.htm&amp;2.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ungarianspectrum.org/2019/12/02/the-rebirth-of-irredentism-with-the-assistance-of-the-orban-governmen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hr.ro/page/about-us" TargetMode="External"/><Relationship Id="rId5" Type="http://schemas.openxmlformats.org/officeDocument/2006/relationships/settings" Target="settings.xml"/><Relationship Id="rId15" Type="http://schemas.openxmlformats.org/officeDocument/2006/relationships/hyperlink" Target="http://www.udmr.ro/" TargetMode="External"/><Relationship Id="rId10" Type="http://schemas.openxmlformats.org/officeDocument/2006/relationships/hyperlink" Target="https://balkaninsight.com/2020/04/29/romanian-opposition-giving-transylvania-to-hungarians-president-claim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agerpres.ro/english/2020/04/29/president-iohannis-accuses-psd-of-fighting-to-give-transylvania-away-to-hungarians--495619" TargetMode="External"/><Relationship Id="rId14" Type="http://schemas.openxmlformats.org/officeDocument/2006/relationships/hyperlink" Target="https://pestisracok.hu/uzenet-erdely-terrorista-elcsatoloinak-a-gyulafehervari-modszer-forditva-is-mukodni-fo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2850</Words>
  <Characters>16249</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16</cp:revision>
  <dcterms:created xsi:type="dcterms:W3CDTF">2022-07-22T16:41:00Z</dcterms:created>
  <dcterms:modified xsi:type="dcterms:W3CDTF">2023-04-12T18:06:00Z</dcterms:modified>
</cp:coreProperties>
</file>