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4C998B2D" w:rsidR="00453A9D" w:rsidRDefault="008B1598" w:rsidP="0019299C">
      <w:pPr>
        <w:pStyle w:val="Heading1"/>
        <w:rPr>
          <w:rFonts w:cs="Times New Roman"/>
          <w:szCs w:val="22"/>
        </w:rPr>
      </w:pPr>
      <w:r>
        <w:rPr>
          <w:rFonts w:cs="Times New Roman"/>
          <w:szCs w:val="22"/>
        </w:rPr>
        <w:t>YEMEN</w:t>
      </w:r>
    </w:p>
    <w:p w14:paraId="19E6285B" w14:textId="77777777" w:rsidR="00AB3DBC" w:rsidRDefault="00AB3DBC" w:rsidP="0019299C"/>
    <w:p w14:paraId="3AA61020" w14:textId="671EE933" w:rsidR="00A059ED" w:rsidRDefault="00A059ED" w:rsidP="00A059ED">
      <w:pPr>
        <w:pStyle w:val="Heading2"/>
      </w:pPr>
      <w:proofErr w:type="spellStart"/>
      <w:r>
        <w:t>Hadhramis</w:t>
      </w:r>
      <w:proofErr w:type="spellEnd"/>
    </w:p>
    <w:p w14:paraId="0FC57C23" w14:textId="77777777" w:rsidR="00A059ED" w:rsidRDefault="00A059ED" w:rsidP="00A059ED"/>
    <w:p w14:paraId="2637FC65" w14:textId="636B9DE7" w:rsidR="00A059ED" w:rsidRPr="00F83BF0" w:rsidRDefault="00A059ED" w:rsidP="00A059ED">
      <w:pPr>
        <w:rPr>
          <w:rFonts w:cs="Times New Roman"/>
        </w:rPr>
      </w:pPr>
      <w:r>
        <w:rPr>
          <w:rFonts w:cs="Times New Roman"/>
        </w:rPr>
        <w:t>Activity: 2017-2020</w:t>
      </w:r>
    </w:p>
    <w:p w14:paraId="4CDA7293" w14:textId="77777777" w:rsidR="00A059ED" w:rsidRPr="00E62790" w:rsidRDefault="00A059ED" w:rsidP="00A059ED">
      <w:pPr>
        <w:rPr>
          <w:rFonts w:cs="Times New Roman"/>
        </w:rPr>
      </w:pPr>
    </w:p>
    <w:p w14:paraId="736A60F8" w14:textId="77777777" w:rsidR="00A059ED" w:rsidRDefault="00A059ED" w:rsidP="00A059ED">
      <w:pPr>
        <w:rPr>
          <w:rFonts w:cs="Times New Roman"/>
          <w:b/>
          <w:szCs w:val="22"/>
        </w:rPr>
      </w:pPr>
    </w:p>
    <w:p w14:paraId="5316F5B1" w14:textId="77777777" w:rsidR="00A059ED" w:rsidRDefault="00A059ED" w:rsidP="00A059ED">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32DC5AD9" w14:textId="77777777" w:rsidR="00A059ED" w:rsidRPr="006F657B" w:rsidRDefault="00A059ED" w:rsidP="00A059ED">
      <w:pPr>
        <w:rPr>
          <w:rFonts w:cs="Times New Roman"/>
          <w:bCs/>
          <w:szCs w:val="22"/>
        </w:rPr>
      </w:pPr>
    </w:p>
    <w:p w14:paraId="51624E4F" w14:textId="77777777" w:rsidR="006F206B" w:rsidRDefault="006F206B" w:rsidP="006F206B">
      <w:pPr>
        <w:pStyle w:val="ListParagraph"/>
        <w:numPr>
          <w:ilvl w:val="0"/>
          <w:numId w:val="11"/>
        </w:numPr>
        <w:rPr>
          <w:rFonts w:cs="Times New Roman"/>
          <w:szCs w:val="22"/>
        </w:rPr>
      </w:pPr>
      <w:proofErr w:type="spellStart"/>
      <w:r>
        <w:rPr>
          <w:rFonts w:cs="Times New Roman"/>
          <w:szCs w:val="22"/>
        </w:rPr>
        <w:t>Hadhramawt</w:t>
      </w:r>
      <w:proofErr w:type="spellEnd"/>
      <w:r>
        <w:rPr>
          <w:rFonts w:cs="Times New Roman"/>
          <w:szCs w:val="22"/>
        </w:rPr>
        <w:t xml:space="preserve"> is Yemen’s largest governorate, and part of a larger, pre-modern </w:t>
      </w:r>
      <w:proofErr w:type="spellStart"/>
      <w:r>
        <w:rPr>
          <w:rFonts w:cs="Times New Roman"/>
          <w:szCs w:val="22"/>
        </w:rPr>
        <w:t>Hadhramawt</w:t>
      </w:r>
      <w:proofErr w:type="spellEnd"/>
      <w:r>
        <w:rPr>
          <w:rFonts w:cs="Times New Roman"/>
          <w:szCs w:val="22"/>
        </w:rPr>
        <w:t xml:space="preserve"> region which stretched into present-day Oman (Baron and </w:t>
      </w:r>
      <w:proofErr w:type="spellStart"/>
      <w:r>
        <w:rPr>
          <w:rFonts w:cs="Times New Roman"/>
          <w:szCs w:val="22"/>
        </w:rPr>
        <w:t>Basalma</w:t>
      </w:r>
      <w:proofErr w:type="spellEnd"/>
      <w:r>
        <w:rPr>
          <w:rFonts w:cs="Times New Roman"/>
          <w:szCs w:val="22"/>
        </w:rPr>
        <w:t xml:space="preserve">, 2021). Currently, the governorate has 28 districts and covers 74,000 square miles in the south-east of Yemen, reaching from the border with Saudi Arabia in the north to the Gulf of Aden in the south. The city of Mukalla is the capital of </w:t>
      </w:r>
      <w:proofErr w:type="spellStart"/>
      <w:r>
        <w:rPr>
          <w:rFonts w:cs="Times New Roman"/>
          <w:szCs w:val="22"/>
        </w:rPr>
        <w:t>Hadhramawt</w:t>
      </w:r>
      <w:proofErr w:type="spellEnd"/>
      <w:r>
        <w:rPr>
          <w:rFonts w:cs="Times New Roman"/>
          <w:szCs w:val="22"/>
        </w:rPr>
        <w:t xml:space="preserve">, and the governorate produces 100,000 barrels of oil per day (about half of Yemen’s oil wealth) (Baron and </w:t>
      </w:r>
      <w:proofErr w:type="spellStart"/>
      <w:r>
        <w:rPr>
          <w:rFonts w:cs="Times New Roman"/>
          <w:szCs w:val="22"/>
        </w:rPr>
        <w:t>Basalma</w:t>
      </w:r>
      <w:proofErr w:type="spellEnd"/>
      <w:r>
        <w:rPr>
          <w:rFonts w:cs="Times New Roman"/>
          <w:szCs w:val="22"/>
        </w:rPr>
        <w:t xml:space="preserve">, 2021). 1.4 million live in </w:t>
      </w:r>
      <w:proofErr w:type="spellStart"/>
      <w:r>
        <w:rPr>
          <w:rFonts w:cs="Times New Roman"/>
          <w:szCs w:val="22"/>
        </w:rPr>
        <w:t>Hadhramawt</w:t>
      </w:r>
      <w:proofErr w:type="spellEnd"/>
      <w:r>
        <w:rPr>
          <w:rFonts w:cs="Times New Roman"/>
          <w:szCs w:val="22"/>
        </w:rPr>
        <w:t xml:space="preserve"> and there are a further 14 million </w:t>
      </w:r>
      <w:proofErr w:type="gramStart"/>
      <w:r>
        <w:rPr>
          <w:rFonts w:cs="Times New Roman"/>
          <w:szCs w:val="22"/>
        </w:rPr>
        <w:t>ethnic</w:t>
      </w:r>
      <w:proofErr w:type="gramEnd"/>
      <w:r>
        <w:rPr>
          <w:rFonts w:cs="Times New Roman"/>
          <w:szCs w:val="22"/>
        </w:rPr>
        <w:t xml:space="preserve"> </w:t>
      </w:r>
      <w:proofErr w:type="spellStart"/>
      <w:r>
        <w:rPr>
          <w:rFonts w:cs="Times New Roman"/>
          <w:szCs w:val="22"/>
        </w:rPr>
        <w:t>Hadhramis</w:t>
      </w:r>
      <w:proofErr w:type="spellEnd"/>
      <w:r>
        <w:rPr>
          <w:rFonts w:cs="Times New Roman"/>
          <w:szCs w:val="22"/>
        </w:rPr>
        <w:t xml:space="preserve"> in the diaspora (Baron and </w:t>
      </w:r>
      <w:proofErr w:type="spellStart"/>
      <w:r>
        <w:rPr>
          <w:rFonts w:cs="Times New Roman"/>
          <w:szCs w:val="22"/>
        </w:rPr>
        <w:t>Basalma</w:t>
      </w:r>
      <w:proofErr w:type="spellEnd"/>
      <w:r>
        <w:rPr>
          <w:rFonts w:cs="Times New Roman"/>
          <w:szCs w:val="22"/>
        </w:rPr>
        <w:t xml:space="preserve">, 2021). Many of those in the diaspora do not have Yemeni </w:t>
      </w:r>
      <w:proofErr w:type="gramStart"/>
      <w:r>
        <w:rPr>
          <w:rFonts w:cs="Times New Roman"/>
          <w:szCs w:val="22"/>
        </w:rPr>
        <w:t>passports, and</w:t>
      </w:r>
      <w:proofErr w:type="gramEnd"/>
      <w:r>
        <w:rPr>
          <w:rFonts w:cs="Times New Roman"/>
          <w:szCs w:val="22"/>
        </w:rPr>
        <w:t xml:space="preserve"> refer to themselves as </w:t>
      </w:r>
      <w:proofErr w:type="spellStart"/>
      <w:r>
        <w:rPr>
          <w:rFonts w:cs="Times New Roman"/>
          <w:szCs w:val="22"/>
        </w:rPr>
        <w:t>Hadhramis</w:t>
      </w:r>
      <w:proofErr w:type="spellEnd"/>
      <w:r>
        <w:rPr>
          <w:rFonts w:cs="Times New Roman"/>
          <w:szCs w:val="22"/>
        </w:rPr>
        <w:t xml:space="preserve"> as opposed to Yemenis, and this community often takes an interest, and participates in, ‘the humanitarian and economic affairs of the governorate’ (Baron and </w:t>
      </w:r>
      <w:proofErr w:type="spellStart"/>
      <w:r>
        <w:rPr>
          <w:rFonts w:cs="Times New Roman"/>
          <w:szCs w:val="22"/>
        </w:rPr>
        <w:t>Basalma</w:t>
      </w:r>
      <w:proofErr w:type="spellEnd"/>
      <w:r>
        <w:rPr>
          <w:rFonts w:cs="Times New Roman"/>
          <w:szCs w:val="22"/>
        </w:rPr>
        <w:t xml:space="preserve">, 2021). </w:t>
      </w:r>
    </w:p>
    <w:p w14:paraId="099BE430" w14:textId="77777777" w:rsidR="006F206B" w:rsidRDefault="006F206B" w:rsidP="006F206B">
      <w:pPr>
        <w:pStyle w:val="ListParagraph"/>
        <w:numPr>
          <w:ilvl w:val="0"/>
          <w:numId w:val="11"/>
        </w:numPr>
        <w:rPr>
          <w:rFonts w:cs="Times New Roman"/>
          <w:szCs w:val="22"/>
        </w:rPr>
      </w:pPr>
      <w:proofErr w:type="spellStart"/>
      <w:r>
        <w:rPr>
          <w:rFonts w:cs="Times New Roman"/>
          <w:szCs w:val="22"/>
        </w:rPr>
        <w:t>Hadhramis</w:t>
      </w:r>
      <w:proofErr w:type="spellEnd"/>
      <w:r>
        <w:rPr>
          <w:rFonts w:cs="Times New Roman"/>
          <w:szCs w:val="22"/>
        </w:rPr>
        <w:t xml:space="preserve"> have emigrated since the 13</w:t>
      </w:r>
      <w:r w:rsidRPr="00875EF5">
        <w:rPr>
          <w:rFonts w:cs="Times New Roman"/>
          <w:szCs w:val="22"/>
          <w:vertAlign w:val="superscript"/>
        </w:rPr>
        <w:t>th</w:t>
      </w:r>
      <w:r>
        <w:rPr>
          <w:rFonts w:cs="Times New Roman"/>
          <w:szCs w:val="22"/>
        </w:rPr>
        <w:t xml:space="preserve"> century as the region’s agriculture has been unable to support the region’s populace (Horton, 2010). Horton (2010) argues that ‘the emigrant experience and idea of return to the homeland have been responsible for developing much of the Hadrami identity’. </w:t>
      </w:r>
    </w:p>
    <w:p w14:paraId="7755A752" w14:textId="77777777" w:rsidR="00A059ED" w:rsidRPr="006F657B" w:rsidRDefault="00A059ED" w:rsidP="00A059ED">
      <w:pPr>
        <w:rPr>
          <w:rFonts w:cs="Times New Roman"/>
          <w:bCs/>
          <w:szCs w:val="22"/>
        </w:rPr>
      </w:pPr>
    </w:p>
    <w:p w14:paraId="2C00F046" w14:textId="77777777" w:rsidR="00A059ED" w:rsidRPr="006F657B" w:rsidRDefault="00A059ED" w:rsidP="00A059ED">
      <w:pPr>
        <w:rPr>
          <w:rFonts w:cs="Times New Roman"/>
          <w:bCs/>
          <w:szCs w:val="22"/>
        </w:rPr>
      </w:pPr>
    </w:p>
    <w:p w14:paraId="3B0E6E18" w14:textId="77777777" w:rsidR="00A059ED" w:rsidRDefault="00A059ED" w:rsidP="00A059ED">
      <w:pPr>
        <w:rPr>
          <w:rFonts w:cs="Times New Roman"/>
          <w:bCs/>
          <w:szCs w:val="22"/>
        </w:rPr>
      </w:pPr>
      <w:r>
        <w:rPr>
          <w:rFonts w:cs="Times New Roman"/>
          <w:b/>
          <w:szCs w:val="22"/>
        </w:rPr>
        <w:t>Movement start and end dates</w:t>
      </w:r>
    </w:p>
    <w:p w14:paraId="33A25F31" w14:textId="77777777" w:rsidR="00A059ED" w:rsidRPr="006F657B" w:rsidRDefault="00A059ED" w:rsidP="00A059ED">
      <w:pPr>
        <w:rPr>
          <w:rFonts w:cs="Times New Roman"/>
          <w:szCs w:val="22"/>
        </w:rPr>
      </w:pPr>
    </w:p>
    <w:p w14:paraId="529F42DE" w14:textId="77777777" w:rsidR="006F206B" w:rsidRDefault="00A059ED" w:rsidP="00A059ED">
      <w:pPr>
        <w:pStyle w:val="ListParagraph"/>
        <w:numPr>
          <w:ilvl w:val="0"/>
          <w:numId w:val="11"/>
        </w:numPr>
        <w:rPr>
          <w:rFonts w:cs="Times New Roman"/>
        </w:rPr>
      </w:pPr>
      <w:r w:rsidRPr="00BC1A8C">
        <w:rPr>
          <w:rFonts w:cs="Times New Roman"/>
        </w:rPr>
        <w:t xml:space="preserve">Minahan (2016:168) </w:t>
      </w:r>
      <w:r w:rsidR="006F206B">
        <w:rPr>
          <w:rFonts w:cs="Times New Roman"/>
        </w:rPr>
        <w:t>reports</w:t>
      </w:r>
      <w:r w:rsidRPr="00BC1A8C">
        <w:rPr>
          <w:rFonts w:cs="Times New Roman"/>
        </w:rPr>
        <w:t xml:space="preserve"> that, sin</w:t>
      </w:r>
      <w:r>
        <w:rPr>
          <w:rFonts w:cs="Times New Roman"/>
        </w:rPr>
        <w:t>c</w:t>
      </w:r>
      <w:r w:rsidRPr="00BC1A8C">
        <w:rPr>
          <w:rFonts w:cs="Times New Roman"/>
        </w:rPr>
        <w:t xml:space="preserve">e the early 2000s, </w:t>
      </w:r>
      <w:proofErr w:type="spellStart"/>
      <w:r w:rsidRPr="00BC1A8C">
        <w:rPr>
          <w:rFonts w:cs="Times New Roman"/>
        </w:rPr>
        <w:t>Hadhramis</w:t>
      </w:r>
      <w:proofErr w:type="spellEnd"/>
      <w:r w:rsidRPr="00BC1A8C">
        <w:rPr>
          <w:rFonts w:cs="Times New Roman"/>
        </w:rPr>
        <w:t xml:space="preserve"> have rejected Southern separatism ‘while a movement for the separation and independence of Hadhramaut has gained support’. </w:t>
      </w:r>
      <w:r>
        <w:rPr>
          <w:rFonts w:cs="Times New Roman"/>
        </w:rPr>
        <w:t xml:space="preserve">Other sources suggest that Southern separatism does enjoy support in </w:t>
      </w:r>
      <w:proofErr w:type="spellStart"/>
      <w:r>
        <w:rPr>
          <w:rFonts w:cs="Times New Roman"/>
        </w:rPr>
        <w:t>Hadrahmawat</w:t>
      </w:r>
      <w:proofErr w:type="spellEnd"/>
      <w:r w:rsidR="006F206B">
        <w:rPr>
          <w:rFonts w:cs="Times New Roman"/>
        </w:rPr>
        <w:t>, but at the same time</w:t>
      </w:r>
      <w:r>
        <w:rPr>
          <w:rFonts w:cs="Times New Roman"/>
        </w:rPr>
        <w:t xml:space="preserve"> confirm that there is also a movement for greater autonomy for the </w:t>
      </w:r>
      <w:proofErr w:type="spellStart"/>
      <w:r>
        <w:rPr>
          <w:rFonts w:cs="Times New Roman"/>
        </w:rPr>
        <w:t>Hadrahamawt</w:t>
      </w:r>
      <w:proofErr w:type="spellEnd"/>
      <w:r>
        <w:rPr>
          <w:rFonts w:cs="Times New Roman"/>
        </w:rPr>
        <w:t xml:space="preserve"> governate. </w:t>
      </w:r>
    </w:p>
    <w:p w14:paraId="2F57BA44" w14:textId="360AAD18" w:rsidR="00A059ED" w:rsidRDefault="00A059ED" w:rsidP="00A059ED">
      <w:pPr>
        <w:pStyle w:val="ListParagraph"/>
        <w:numPr>
          <w:ilvl w:val="0"/>
          <w:numId w:val="11"/>
        </w:numPr>
        <w:rPr>
          <w:rFonts w:cs="Times New Roman"/>
        </w:rPr>
      </w:pPr>
      <w:r>
        <w:rPr>
          <w:rFonts w:cs="Times New Roman"/>
        </w:rPr>
        <w:t xml:space="preserve">The first clear evidence for separatist mobilization we have found is in 2017, when </w:t>
      </w:r>
      <w:r w:rsidRPr="00BC1A8C">
        <w:rPr>
          <w:rFonts w:cs="Times New Roman"/>
        </w:rPr>
        <w:t>local authorities and local communities came together to organize the ‘</w:t>
      </w:r>
      <w:proofErr w:type="spellStart"/>
      <w:r w:rsidRPr="00BC1A8C">
        <w:rPr>
          <w:rFonts w:cs="Times New Roman"/>
        </w:rPr>
        <w:t>Hadhramawt</w:t>
      </w:r>
      <w:proofErr w:type="spellEnd"/>
      <w:r w:rsidRPr="00BC1A8C">
        <w:rPr>
          <w:rFonts w:cs="Times New Roman"/>
        </w:rPr>
        <w:t xml:space="preserve"> Inclusive Conference’ in a bi</w:t>
      </w:r>
      <w:r>
        <w:rPr>
          <w:rFonts w:cs="Times New Roman"/>
        </w:rPr>
        <w:t>d</w:t>
      </w:r>
      <w:r w:rsidRPr="00BC1A8C">
        <w:rPr>
          <w:rFonts w:cs="Times New Roman"/>
        </w:rPr>
        <w:t xml:space="preserve"> to ‘unify the political vision’ of </w:t>
      </w:r>
      <w:proofErr w:type="spellStart"/>
      <w:r w:rsidRPr="00BC1A8C">
        <w:rPr>
          <w:rFonts w:cs="Times New Roman"/>
        </w:rPr>
        <w:t>Hadhramawt</w:t>
      </w:r>
      <w:proofErr w:type="spellEnd"/>
      <w:r w:rsidRPr="00BC1A8C">
        <w:rPr>
          <w:rFonts w:cs="Times New Roman"/>
        </w:rPr>
        <w:t xml:space="preserve"> (Baron and </w:t>
      </w:r>
      <w:proofErr w:type="spellStart"/>
      <w:r w:rsidRPr="00BC1A8C">
        <w:rPr>
          <w:rFonts w:cs="Times New Roman"/>
        </w:rPr>
        <w:t>Basalma</w:t>
      </w:r>
      <w:proofErr w:type="spellEnd"/>
      <w:r w:rsidRPr="00BC1A8C">
        <w:rPr>
          <w:rFonts w:cs="Times New Roman"/>
        </w:rPr>
        <w:t xml:space="preserve"> 2021</w:t>
      </w:r>
      <w:r>
        <w:rPr>
          <w:rFonts w:cs="Times New Roman"/>
        </w:rPr>
        <w:t>; Al-Hamdani and Lackner, 2020</w:t>
      </w:r>
      <w:r w:rsidRPr="00BC1A8C">
        <w:rPr>
          <w:rFonts w:cs="Times New Roman"/>
        </w:rPr>
        <w:t xml:space="preserve">). The conference generated a ‘consensus on revenue sharing and autonomy that has nudged the governorate toward greater local control over economic resources and security’ (Baron and </w:t>
      </w:r>
      <w:proofErr w:type="spellStart"/>
      <w:r w:rsidRPr="00BC1A8C">
        <w:rPr>
          <w:rFonts w:cs="Times New Roman"/>
        </w:rPr>
        <w:t>Basalma</w:t>
      </w:r>
      <w:proofErr w:type="spellEnd"/>
      <w:r w:rsidRPr="00BC1A8C">
        <w:rPr>
          <w:rFonts w:cs="Times New Roman"/>
        </w:rPr>
        <w:t xml:space="preserve"> 2021). The conference resulted in several outcomes including calls for greater autonomy, representation, and greater devolution o</w:t>
      </w:r>
      <w:r>
        <w:rPr>
          <w:rFonts w:cs="Times New Roman"/>
        </w:rPr>
        <w:t>f</w:t>
      </w:r>
      <w:r w:rsidRPr="00BC1A8C">
        <w:rPr>
          <w:rFonts w:cs="Times New Roman"/>
        </w:rPr>
        <w:t xml:space="preserve"> power over the security sector and, since the first meeting, the conference ‘has evolved into a permanent organization’ (Baron and </w:t>
      </w:r>
      <w:proofErr w:type="spellStart"/>
      <w:r w:rsidRPr="00BC1A8C">
        <w:rPr>
          <w:rFonts w:cs="Times New Roman"/>
        </w:rPr>
        <w:t>Basalma</w:t>
      </w:r>
      <w:proofErr w:type="spellEnd"/>
      <w:r w:rsidRPr="00BC1A8C">
        <w:rPr>
          <w:rFonts w:cs="Times New Roman"/>
        </w:rPr>
        <w:t xml:space="preserve"> 2021).</w:t>
      </w:r>
      <w:r>
        <w:rPr>
          <w:rFonts w:cs="Times New Roman"/>
        </w:rPr>
        <w:t xml:space="preserve"> </w:t>
      </w:r>
    </w:p>
    <w:p w14:paraId="772AB7C9" w14:textId="1245255A" w:rsidR="00A059ED" w:rsidRPr="00E56E3E" w:rsidRDefault="00A059ED" w:rsidP="002F63C8">
      <w:pPr>
        <w:pStyle w:val="ListParagraph"/>
        <w:numPr>
          <w:ilvl w:val="0"/>
          <w:numId w:val="11"/>
        </w:numPr>
        <w:rPr>
          <w:rFonts w:cs="Times New Roman"/>
        </w:rPr>
      </w:pPr>
      <w:r w:rsidRPr="00E56E3E">
        <w:rPr>
          <w:rFonts w:cs="Times New Roman"/>
        </w:rPr>
        <w:t xml:space="preserve">We found indications for separatist sentiment before 2017, but no clear-cut evidence for significant political mobilization. Specifically, Horton (2010) suggests that, in 2010, members of the governorate’s merchant class ‘often referenced the idea of a return to an independent </w:t>
      </w:r>
      <w:proofErr w:type="spellStart"/>
      <w:r w:rsidRPr="00E56E3E">
        <w:rPr>
          <w:rFonts w:cs="Times New Roman"/>
        </w:rPr>
        <w:t>Mahdhramawt</w:t>
      </w:r>
      <w:proofErr w:type="spellEnd"/>
      <w:r w:rsidRPr="00E56E3E">
        <w:rPr>
          <w:rFonts w:cs="Times New Roman"/>
        </w:rPr>
        <w:t xml:space="preserve">’. In 2011, political, religious and academic figures from </w:t>
      </w:r>
      <w:proofErr w:type="spellStart"/>
      <w:r w:rsidRPr="00E56E3E">
        <w:rPr>
          <w:rFonts w:cs="Times New Roman"/>
        </w:rPr>
        <w:t>Hadhramawt</w:t>
      </w:r>
      <w:proofErr w:type="spellEnd"/>
      <w:r w:rsidRPr="00E56E3E">
        <w:rPr>
          <w:rFonts w:cs="Times New Roman"/>
        </w:rPr>
        <w:t xml:space="preserve"> drafted a document called ‘Hadhramaut: The Vision and the Way’, which included proposals for federalism and revenue-devolution (Baron and </w:t>
      </w:r>
      <w:proofErr w:type="spellStart"/>
      <w:r w:rsidRPr="00E56E3E">
        <w:rPr>
          <w:rFonts w:cs="Times New Roman"/>
        </w:rPr>
        <w:t>Basalma</w:t>
      </w:r>
      <w:proofErr w:type="spellEnd"/>
      <w:r w:rsidRPr="00E56E3E">
        <w:rPr>
          <w:rFonts w:cs="Times New Roman"/>
        </w:rPr>
        <w:t xml:space="preserve">, 2021). Finally, Minahan (2016:168) claims that, in 2011, the </w:t>
      </w:r>
      <w:proofErr w:type="spellStart"/>
      <w:r w:rsidRPr="00E56E3E">
        <w:rPr>
          <w:rFonts w:cs="Times New Roman"/>
        </w:rPr>
        <w:t>Hadhramawt</w:t>
      </w:r>
      <w:proofErr w:type="spellEnd"/>
      <w:r w:rsidRPr="00E56E3E">
        <w:rPr>
          <w:rFonts w:cs="Times New Roman"/>
        </w:rPr>
        <w:t xml:space="preserve"> Tribes Confederacy declared autonomy; however, we could not find confirming evidence. </w:t>
      </w:r>
      <w:r w:rsidR="00136356" w:rsidRPr="00E56E3E">
        <w:rPr>
          <w:rFonts w:cs="Times New Roman"/>
        </w:rPr>
        <w:t xml:space="preserve">Instead, we found that an organization called the Tribal Alliance, which later was renamed the </w:t>
      </w:r>
      <w:proofErr w:type="spellStart"/>
      <w:r w:rsidR="00136356" w:rsidRPr="00E56E3E">
        <w:rPr>
          <w:rFonts w:cs="Times New Roman"/>
          <w:szCs w:val="22"/>
        </w:rPr>
        <w:t>Hadhramawt</w:t>
      </w:r>
      <w:proofErr w:type="spellEnd"/>
      <w:r w:rsidR="00136356" w:rsidRPr="00E56E3E">
        <w:rPr>
          <w:rFonts w:cs="Times New Roman"/>
          <w:szCs w:val="22"/>
        </w:rPr>
        <w:t xml:space="preserve"> Tribal Alliance (HTA), </w:t>
      </w:r>
      <w:r w:rsidR="00E56E3E" w:rsidRPr="00E56E3E">
        <w:rPr>
          <w:rFonts w:cs="Times New Roman"/>
          <w:szCs w:val="22"/>
        </w:rPr>
        <w:t xml:space="preserve">was formed in 2013 </w:t>
      </w:r>
      <w:r w:rsidR="00136356" w:rsidRPr="00E56E3E">
        <w:rPr>
          <w:rFonts w:cs="Times New Roman"/>
          <w:szCs w:val="22"/>
        </w:rPr>
        <w:t>and attempted to place pressure on the central government by organizing demonstrations</w:t>
      </w:r>
      <w:r w:rsidR="00E56E3E" w:rsidRPr="00E56E3E">
        <w:rPr>
          <w:rFonts w:cs="Times New Roman"/>
          <w:szCs w:val="22"/>
        </w:rPr>
        <w:t xml:space="preserve">. </w:t>
      </w:r>
      <w:r w:rsidR="00136356" w:rsidRPr="00E56E3E">
        <w:rPr>
          <w:rFonts w:cs="Times New Roman"/>
          <w:szCs w:val="22"/>
        </w:rPr>
        <w:t xml:space="preserve">The movement appeared focused on protesting the death of </w:t>
      </w:r>
      <w:r w:rsidR="00E56E3E" w:rsidRPr="00E56E3E">
        <w:rPr>
          <w:rFonts w:cs="Times New Roman"/>
          <w:szCs w:val="22"/>
        </w:rPr>
        <w:t xml:space="preserve">a </w:t>
      </w:r>
      <w:r w:rsidR="00136356" w:rsidRPr="00E56E3E">
        <w:rPr>
          <w:rFonts w:cs="Times New Roman"/>
          <w:szCs w:val="22"/>
        </w:rPr>
        <w:t xml:space="preserve">tribal leader </w:t>
      </w:r>
      <w:r w:rsidR="00E56E3E" w:rsidRPr="00E56E3E">
        <w:rPr>
          <w:rFonts w:cs="Times New Roman"/>
          <w:szCs w:val="22"/>
        </w:rPr>
        <w:t xml:space="preserve">and we found no evidence for claims for increased self-determination as defined here (Baron and </w:t>
      </w:r>
      <w:proofErr w:type="spellStart"/>
      <w:r w:rsidR="00E56E3E" w:rsidRPr="00E56E3E">
        <w:rPr>
          <w:rFonts w:cs="Times New Roman"/>
          <w:szCs w:val="22"/>
        </w:rPr>
        <w:t>Basalma</w:t>
      </w:r>
      <w:proofErr w:type="spellEnd"/>
      <w:r w:rsidR="00E56E3E" w:rsidRPr="00E56E3E">
        <w:rPr>
          <w:rFonts w:cs="Times New Roman"/>
          <w:szCs w:val="22"/>
        </w:rPr>
        <w:t xml:space="preserve">, 2021). </w:t>
      </w:r>
      <w:r w:rsidRPr="00E56E3E">
        <w:rPr>
          <w:rFonts w:eastAsia="Times New Roman"/>
          <w:color w:val="000000"/>
        </w:rPr>
        <w:t>[start date: 2017; end date: ongoing]</w:t>
      </w:r>
      <w:r w:rsidRPr="007F66C9">
        <w:t xml:space="preserve"> </w:t>
      </w:r>
    </w:p>
    <w:p w14:paraId="357A5818" w14:textId="26341636" w:rsidR="00BB5A30" w:rsidRPr="00BE5168" w:rsidRDefault="00BB5A30" w:rsidP="00BB5A30">
      <w:pPr>
        <w:rPr>
          <w:rFonts w:cs="Times New Roman"/>
          <w:b/>
          <w:szCs w:val="22"/>
        </w:rPr>
      </w:pPr>
      <w:r>
        <w:rPr>
          <w:rFonts w:cs="Times New Roman"/>
          <w:b/>
          <w:szCs w:val="22"/>
        </w:rPr>
        <w:lastRenderedPageBreak/>
        <w:t>Dominant claim</w:t>
      </w:r>
    </w:p>
    <w:p w14:paraId="31925D12" w14:textId="77777777" w:rsidR="00BB5A30" w:rsidRDefault="00BB5A30" w:rsidP="00BB5A30">
      <w:pPr>
        <w:rPr>
          <w:rFonts w:cs="Times New Roman"/>
          <w:bCs/>
          <w:szCs w:val="22"/>
        </w:rPr>
      </w:pPr>
    </w:p>
    <w:p w14:paraId="570958E6" w14:textId="77777777" w:rsidR="00BB5A30" w:rsidRDefault="00BB5A30" w:rsidP="00BB5A30">
      <w:pPr>
        <w:pStyle w:val="ListParagraph"/>
        <w:numPr>
          <w:ilvl w:val="0"/>
          <w:numId w:val="13"/>
        </w:numPr>
        <w:rPr>
          <w:rFonts w:cs="Times New Roman"/>
          <w:bCs/>
          <w:szCs w:val="22"/>
        </w:rPr>
      </w:pPr>
      <w:r>
        <w:rPr>
          <w:rFonts w:cs="Times New Roman"/>
          <w:bCs/>
          <w:szCs w:val="22"/>
        </w:rPr>
        <w:t xml:space="preserve">The </w:t>
      </w:r>
      <w:proofErr w:type="spellStart"/>
      <w:r>
        <w:rPr>
          <w:rFonts w:cs="Times New Roman"/>
          <w:bCs/>
          <w:szCs w:val="22"/>
        </w:rPr>
        <w:t>Hadhramis</w:t>
      </w:r>
      <w:proofErr w:type="spellEnd"/>
      <w:r>
        <w:rPr>
          <w:rFonts w:cs="Times New Roman"/>
          <w:bCs/>
          <w:szCs w:val="22"/>
        </w:rPr>
        <w:t xml:space="preserve"> have made claims for internal autonomy. </w:t>
      </w:r>
    </w:p>
    <w:p w14:paraId="1CA455D6" w14:textId="77777777" w:rsidR="00BB5A30" w:rsidRPr="009B6F91" w:rsidRDefault="00BB5A30" w:rsidP="00BB5A30">
      <w:pPr>
        <w:pStyle w:val="ListParagraph"/>
        <w:numPr>
          <w:ilvl w:val="1"/>
          <w:numId w:val="13"/>
        </w:numPr>
        <w:rPr>
          <w:rFonts w:cs="Times New Roman"/>
          <w:bCs/>
          <w:szCs w:val="22"/>
        </w:rPr>
      </w:pPr>
      <w:r>
        <w:rPr>
          <w:rFonts w:cs="Times New Roman"/>
          <w:bCs/>
          <w:szCs w:val="22"/>
        </w:rPr>
        <w:t xml:space="preserve">We code the start date of this movement in 2017 due to the organization of a conference called the </w:t>
      </w:r>
      <w:r>
        <w:rPr>
          <w:rFonts w:cs="Times New Roman"/>
          <w:szCs w:val="22"/>
        </w:rPr>
        <w:t xml:space="preserve">Hadhramaut Inclusive Conference (HIC). This conference developed ‘a consensus on revenue sharing and autonomy that has nudged the governorate toward greater local control over </w:t>
      </w:r>
      <w:proofErr w:type="spellStart"/>
      <w:r>
        <w:rPr>
          <w:rFonts w:cs="Times New Roman"/>
          <w:szCs w:val="22"/>
        </w:rPr>
        <w:t>conomic</w:t>
      </w:r>
      <w:proofErr w:type="spellEnd"/>
      <w:r>
        <w:rPr>
          <w:rFonts w:cs="Times New Roman"/>
          <w:szCs w:val="22"/>
        </w:rPr>
        <w:t xml:space="preserve"> resources and security’ (Baron and </w:t>
      </w:r>
      <w:proofErr w:type="spellStart"/>
      <w:r>
        <w:rPr>
          <w:rFonts w:cs="Times New Roman"/>
          <w:szCs w:val="22"/>
        </w:rPr>
        <w:t>Basalma</w:t>
      </w:r>
      <w:proofErr w:type="spellEnd"/>
      <w:r>
        <w:rPr>
          <w:rFonts w:cs="Times New Roman"/>
          <w:szCs w:val="22"/>
        </w:rPr>
        <w:t xml:space="preserve">, 2021). In a similar vein, </w:t>
      </w:r>
      <w:proofErr w:type="spellStart"/>
      <w:r>
        <w:rPr>
          <w:rFonts w:cs="Times New Roman"/>
          <w:szCs w:val="22"/>
        </w:rPr>
        <w:t>Mermier</w:t>
      </w:r>
      <w:proofErr w:type="spellEnd"/>
      <w:r>
        <w:rPr>
          <w:rFonts w:cs="Times New Roman"/>
          <w:szCs w:val="22"/>
        </w:rPr>
        <w:t xml:space="preserve"> reports that </w:t>
      </w:r>
      <w:r w:rsidRPr="009B6F91">
        <w:rPr>
          <w:rFonts w:cs="Times New Roman"/>
          <w:szCs w:val="22"/>
        </w:rPr>
        <w:t>the Hadhramaut Conference issued a declaration saying that the Hadhramaut was a politically autonomous region distinct from the rest of South Yemen within a federal framework</w:t>
      </w:r>
      <w:r>
        <w:rPr>
          <w:rFonts w:cs="Times New Roman"/>
          <w:szCs w:val="22"/>
        </w:rPr>
        <w:t>.</w:t>
      </w:r>
    </w:p>
    <w:p w14:paraId="677DA3E5" w14:textId="77777777" w:rsidR="00BB5A30" w:rsidRDefault="00BB5A30" w:rsidP="00BB5A30">
      <w:pPr>
        <w:pStyle w:val="ListParagraph"/>
        <w:numPr>
          <w:ilvl w:val="1"/>
          <w:numId w:val="13"/>
        </w:numPr>
        <w:rPr>
          <w:rFonts w:cs="Times New Roman"/>
          <w:bCs/>
          <w:szCs w:val="22"/>
        </w:rPr>
      </w:pPr>
      <w:proofErr w:type="spellStart"/>
      <w:r>
        <w:rPr>
          <w:rFonts w:cs="Times New Roman"/>
          <w:bCs/>
          <w:szCs w:val="22"/>
        </w:rPr>
        <w:t>Mermier</w:t>
      </w:r>
      <w:proofErr w:type="spellEnd"/>
      <w:r>
        <w:rPr>
          <w:rFonts w:cs="Times New Roman"/>
          <w:bCs/>
          <w:szCs w:val="22"/>
        </w:rPr>
        <w:t xml:space="preserve"> (2018) also reports that ‘some elite groups in Hadhramaut have argued for the region’s enhanced political and economic </w:t>
      </w:r>
      <w:proofErr w:type="gramStart"/>
      <w:r>
        <w:rPr>
          <w:rFonts w:cs="Times New Roman"/>
          <w:bCs/>
          <w:szCs w:val="22"/>
        </w:rPr>
        <w:t>autonomy</w:t>
      </w:r>
      <w:proofErr w:type="gramEnd"/>
      <w:r>
        <w:rPr>
          <w:rFonts w:cs="Times New Roman"/>
          <w:bCs/>
          <w:szCs w:val="22"/>
        </w:rPr>
        <w:t>’</w:t>
      </w:r>
    </w:p>
    <w:p w14:paraId="5A056806" w14:textId="7ADB3A8B" w:rsidR="00BB5A30" w:rsidRPr="00294319" w:rsidRDefault="00BB5A30" w:rsidP="00BB5A30">
      <w:pPr>
        <w:pStyle w:val="ListParagraph"/>
        <w:numPr>
          <w:ilvl w:val="0"/>
          <w:numId w:val="13"/>
        </w:numPr>
        <w:rPr>
          <w:rFonts w:cs="Times New Roman"/>
          <w:bCs/>
          <w:szCs w:val="22"/>
        </w:rPr>
      </w:pPr>
      <w:r>
        <w:rPr>
          <w:rFonts w:cs="Times New Roman"/>
          <w:bCs/>
          <w:szCs w:val="22"/>
        </w:rPr>
        <w:t xml:space="preserve">Minahan (2016: 168) suggests that </w:t>
      </w:r>
      <w:proofErr w:type="spellStart"/>
      <w:r>
        <w:rPr>
          <w:rFonts w:cs="Times New Roman"/>
          <w:bCs/>
          <w:szCs w:val="22"/>
        </w:rPr>
        <w:t>Hadhramis</w:t>
      </w:r>
      <w:proofErr w:type="spellEnd"/>
      <w:r>
        <w:rPr>
          <w:rFonts w:cs="Times New Roman"/>
          <w:bCs/>
          <w:szCs w:val="22"/>
        </w:rPr>
        <w:t xml:space="preserve"> have also made claims for independence. However, we found no other evidence for a politically significant evidence movement for independence, though </w:t>
      </w:r>
      <w:r w:rsidRPr="009B6F91">
        <w:rPr>
          <w:rFonts w:cs="Times New Roman"/>
          <w:bCs/>
          <w:szCs w:val="22"/>
        </w:rPr>
        <w:t xml:space="preserve">Horton (2010) </w:t>
      </w:r>
      <w:r>
        <w:rPr>
          <w:rFonts w:cs="Times New Roman"/>
          <w:bCs/>
          <w:szCs w:val="22"/>
        </w:rPr>
        <w:t>would suggest that there is secessionist sentiment. Overall, internal autonomy seems to be the only politically significant organized claim and, therefore, also the dominant claim.</w:t>
      </w:r>
      <w:r w:rsidRPr="00294319">
        <w:rPr>
          <w:rFonts w:cs="Times New Roman"/>
          <w:szCs w:val="22"/>
        </w:rPr>
        <w:t xml:space="preserve"> [2017-2020: </w:t>
      </w:r>
      <w:r>
        <w:rPr>
          <w:rFonts w:cs="Times New Roman"/>
          <w:szCs w:val="22"/>
        </w:rPr>
        <w:t>a</w:t>
      </w:r>
      <w:r w:rsidRPr="00294319">
        <w:rPr>
          <w:rFonts w:cs="Times New Roman"/>
          <w:szCs w:val="22"/>
        </w:rPr>
        <w:t xml:space="preserve">utonomy </w:t>
      </w:r>
      <w:r>
        <w:rPr>
          <w:rFonts w:cs="Times New Roman"/>
          <w:szCs w:val="22"/>
        </w:rPr>
        <w:t>c</w:t>
      </w:r>
      <w:r w:rsidRPr="00294319">
        <w:rPr>
          <w:rFonts w:cs="Times New Roman"/>
          <w:szCs w:val="22"/>
        </w:rPr>
        <w:t>laim]</w:t>
      </w:r>
    </w:p>
    <w:p w14:paraId="1C74943C" w14:textId="77777777" w:rsidR="00BB5A30" w:rsidRDefault="00BB5A30" w:rsidP="00BB5A30">
      <w:pPr>
        <w:rPr>
          <w:rFonts w:cs="Times New Roman"/>
          <w:bCs/>
          <w:szCs w:val="22"/>
        </w:rPr>
      </w:pPr>
    </w:p>
    <w:p w14:paraId="3F678469" w14:textId="77777777" w:rsidR="00BB5A30" w:rsidRPr="009C6C8D" w:rsidRDefault="00BB5A30" w:rsidP="00BB5A30">
      <w:pPr>
        <w:rPr>
          <w:rFonts w:cs="Times New Roman"/>
          <w:bCs/>
          <w:szCs w:val="22"/>
        </w:rPr>
      </w:pPr>
    </w:p>
    <w:p w14:paraId="30F5DC22" w14:textId="77777777" w:rsidR="00BB5A30" w:rsidRPr="00BE5168" w:rsidRDefault="00BB5A30" w:rsidP="00BB5A30">
      <w:pPr>
        <w:rPr>
          <w:rFonts w:cs="Times New Roman"/>
          <w:b/>
          <w:szCs w:val="22"/>
        </w:rPr>
      </w:pPr>
      <w:r>
        <w:rPr>
          <w:rFonts w:cs="Times New Roman"/>
          <w:b/>
          <w:szCs w:val="22"/>
        </w:rPr>
        <w:t>Independence claims</w:t>
      </w:r>
    </w:p>
    <w:p w14:paraId="630AC024" w14:textId="77777777" w:rsidR="00BB5A30" w:rsidRDefault="00BB5A30" w:rsidP="00BB5A30">
      <w:pPr>
        <w:rPr>
          <w:rFonts w:cs="Times New Roman"/>
          <w:bCs/>
          <w:szCs w:val="22"/>
        </w:rPr>
      </w:pPr>
    </w:p>
    <w:p w14:paraId="2E7A2355" w14:textId="77777777" w:rsidR="00BB5A30" w:rsidRDefault="00BB5A30" w:rsidP="00BB5A30">
      <w:pPr>
        <w:rPr>
          <w:rFonts w:cs="Times New Roman"/>
          <w:bCs/>
          <w:szCs w:val="22"/>
        </w:rPr>
      </w:pPr>
      <w:r>
        <w:rPr>
          <w:rFonts w:cs="Times New Roman"/>
          <w:bCs/>
          <w:szCs w:val="22"/>
        </w:rPr>
        <w:t>NA</w:t>
      </w:r>
    </w:p>
    <w:p w14:paraId="1EAA5031" w14:textId="77777777" w:rsidR="00BB5A30" w:rsidRDefault="00BB5A30" w:rsidP="00BB5A30">
      <w:pPr>
        <w:rPr>
          <w:rFonts w:cs="Times New Roman"/>
          <w:bCs/>
          <w:szCs w:val="22"/>
        </w:rPr>
      </w:pPr>
    </w:p>
    <w:p w14:paraId="06D33940" w14:textId="77777777" w:rsidR="00BB5A30" w:rsidRDefault="00BB5A30" w:rsidP="00BB5A30">
      <w:pPr>
        <w:rPr>
          <w:rFonts w:cs="Times New Roman"/>
          <w:bCs/>
          <w:szCs w:val="22"/>
        </w:rPr>
      </w:pPr>
    </w:p>
    <w:p w14:paraId="704810BB" w14:textId="77777777" w:rsidR="00BB5A30" w:rsidRPr="00BE5168" w:rsidRDefault="00BB5A30" w:rsidP="00BB5A30">
      <w:pPr>
        <w:rPr>
          <w:rFonts w:cs="Times New Roman"/>
          <w:b/>
          <w:szCs w:val="22"/>
        </w:rPr>
      </w:pPr>
      <w:r>
        <w:rPr>
          <w:rFonts w:cs="Times New Roman"/>
          <w:b/>
          <w:szCs w:val="22"/>
        </w:rPr>
        <w:t>Irredentist claims</w:t>
      </w:r>
    </w:p>
    <w:p w14:paraId="17B6D6E3" w14:textId="77777777" w:rsidR="00BB5A30" w:rsidRDefault="00BB5A30" w:rsidP="00BB5A30">
      <w:pPr>
        <w:rPr>
          <w:rFonts w:cs="Times New Roman"/>
          <w:bCs/>
          <w:szCs w:val="22"/>
        </w:rPr>
      </w:pPr>
    </w:p>
    <w:p w14:paraId="5C5E8D2B" w14:textId="77777777" w:rsidR="00BB5A30" w:rsidRDefault="00BB5A30" w:rsidP="00BB5A30">
      <w:pPr>
        <w:rPr>
          <w:rFonts w:cs="Times New Roman"/>
          <w:bCs/>
          <w:szCs w:val="22"/>
        </w:rPr>
      </w:pPr>
      <w:r>
        <w:rPr>
          <w:rFonts w:cs="Times New Roman"/>
          <w:bCs/>
          <w:szCs w:val="22"/>
        </w:rPr>
        <w:t>NA</w:t>
      </w:r>
    </w:p>
    <w:p w14:paraId="325A8822" w14:textId="77777777" w:rsidR="00BB5A30" w:rsidRDefault="00BB5A30" w:rsidP="00BB5A30">
      <w:pPr>
        <w:rPr>
          <w:rFonts w:cs="Times New Roman"/>
          <w:bCs/>
          <w:szCs w:val="22"/>
        </w:rPr>
      </w:pPr>
    </w:p>
    <w:p w14:paraId="56254E33" w14:textId="77777777" w:rsidR="00BB5A30" w:rsidRPr="009C6C8D" w:rsidRDefault="00BB5A30" w:rsidP="00BB5A30">
      <w:pPr>
        <w:rPr>
          <w:rFonts w:cs="Times New Roman"/>
          <w:bCs/>
          <w:szCs w:val="22"/>
        </w:rPr>
      </w:pPr>
    </w:p>
    <w:p w14:paraId="014F75FB" w14:textId="77777777" w:rsidR="00BB5A30" w:rsidRPr="00904609" w:rsidRDefault="00BB5A30" w:rsidP="00BB5A30">
      <w:pPr>
        <w:rPr>
          <w:rFonts w:cs="Times New Roman"/>
        </w:rPr>
      </w:pPr>
      <w:r w:rsidRPr="007943A1">
        <w:rPr>
          <w:rFonts w:cs="Times New Roman"/>
          <w:b/>
        </w:rPr>
        <w:t xml:space="preserve">Claimed </w:t>
      </w:r>
      <w:proofErr w:type="gramStart"/>
      <w:r w:rsidRPr="007943A1">
        <w:rPr>
          <w:rFonts w:cs="Times New Roman"/>
          <w:b/>
        </w:rPr>
        <w:t>territory</w:t>
      </w:r>
      <w:proofErr w:type="gramEnd"/>
    </w:p>
    <w:p w14:paraId="606DDCBF" w14:textId="77777777" w:rsidR="00BB5A30" w:rsidRPr="006F657B" w:rsidRDefault="00BB5A30" w:rsidP="00BB5A30">
      <w:pPr>
        <w:rPr>
          <w:rFonts w:cs="Times New Roman"/>
          <w:bCs/>
          <w:szCs w:val="22"/>
        </w:rPr>
      </w:pPr>
    </w:p>
    <w:p w14:paraId="71BA7EED" w14:textId="41760154" w:rsidR="00BB5A30" w:rsidRPr="00577111" w:rsidRDefault="00BB5A30" w:rsidP="00BB5A30">
      <w:pPr>
        <w:pStyle w:val="ListParagraph"/>
        <w:numPr>
          <w:ilvl w:val="0"/>
          <w:numId w:val="13"/>
        </w:numPr>
        <w:rPr>
          <w:rFonts w:cs="Times New Roman"/>
          <w:bCs/>
          <w:szCs w:val="22"/>
        </w:rPr>
      </w:pPr>
      <w:r>
        <w:rPr>
          <w:rFonts w:cs="Times New Roman"/>
          <w:bCs/>
          <w:szCs w:val="22"/>
        </w:rPr>
        <w:t xml:space="preserve">The area claimed is the </w:t>
      </w:r>
      <w:proofErr w:type="spellStart"/>
      <w:r>
        <w:rPr>
          <w:rFonts w:cs="Times New Roman"/>
          <w:bCs/>
          <w:szCs w:val="22"/>
        </w:rPr>
        <w:t>Hadhramawt</w:t>
      </w:r>
      <w:proofErr w:type="spellEnd"/>
      <w:r>
        <w:rPr>
          <w:rFonts w:cs="Times New Roman"/>
          <w:bCs/>
          <w:szCs w:val="22"/>
        </w:rPr>
        <w:t xml:space="preserve"> governorate of Yemen. A map is available in Baron and </w:t>
      </w:r>
      <w:proofErr w:type="spellStart"/>
      <w:r>
        <w:rPr>
          <w:rFonts w:cs="Times New Roman"/>
          <w:bCs/>
          <w:szCs w:val="22"/>
        </w:rPr>
        <w:t>Basalma</w:t>
      </w:r>
      <w:proofErr w:type="spellEnd"/>
      <w:r>
        <w:rPr>
          <w:rFonts w:cs="Times New Roman"/>
          <w:bCs/>
          <w:szCs w:val="22"/>
        </w:rPr>
        <w:t xml:space="preserve"> (2021).</w:t>
      </w:r>
      <w:r w:rsidR="000B6063">
        <w:rPr>
          <w:rFonts w:cs="Times New Roman"/>
          <w:bCs/>
          <w:szCs w:val="22"/>
        </w:rPr>
        <w:t xml:space="preserve"> We code this claim using GIS data on administrative units from the GADM dataset.</w:t>
      </w:r>
    </w:p>
    <w:p w14:paraId="1AA432DA" w14:textId="77777777" w:rsidR="00BB5A30" w:rsidRDefault="00BB5A30" w:rsidP="00BB5A30">
      <w:pPr>
        <w:rPr>
          <w:rFonts w:cs="Times New Roman"/>
          <w:bCs/>
          <w:szCs w:val="22"/>
        </w:rPr>
      </w:pPr>
    </w:p>
    <w:p w14:paraId="283F8646" w14:textId="77777777" w:rsidR="00BB5A30" w:rsidRPr="006F657B" w:rsidRDefault="00BB5A30" w:rsidP="00BB5A30">
      <w:pPr>
        <w:rPr>
          <w:rFonts w:cs="Times New Roman"/>
          <w:bCs/>
          <w:szCs w:val="22"/>
        </w:rPr>
      </w:pPr>
    </w:p>
    <w:p w14:paraId="280F044C" w14:textId="77777777" w:rsidR="00BB5A30" w:rsidRPr="005E1083" w:rsidRDefault="00BB5A30" w:rsidP="00BB5A30">
      <w:pPr>
        <w:rPr>
          <w:rFonts w:cs="Times New Roman"/>
          <w:b/>
          <w:szCs w:val="22"/>
        </w:rPr>
      </w:pPr>
      <w:r w:rsidRPr="005E1083">
        <w:rPr>
          <w:rFonts w:cs="Times New Roman"/>
          <w:b/>
          <w:szCs w:val="22"/>
        </w:rPr>
        <w:t>Sovereignty declarations</w:t>
      </w:r>
    </w:p>
    <w:p w14:paraId="63249B6B" w14:textId="77777777" w:rsidR="00BB5A30" w:rsidRPr="005E1083" w:rsidRDefault="00BB5A30" w:rsidP="00BB5A30">
      <w:pPr>
        <w:rPr>
          <w:rFonts w:cs="Times New Roman"/>
          <w:szCs w:val="22"/>
        </w:rPr>
      </w:pPr>
    </w:p>
    <w:p w14:paraId="0E6B4079" w14:textId="77777777" w:rsidR="00BB5A30" w:rsidRDefault="00BB5A30" w:rsidP="00BB5A30">
      <w:pPr>
        <w:pStyle w:val="ListParagraph"/>
        <w:numPr>
          <w:ilvl w:val="0"/>
          <w:numId w:val="16"/>
        </w:numPr>
        <w:rPr>
          <w:rFonts w:cs="Times New Roman"/>
          <w:szCs w:val="22"/>
        </w:rPr>
      </w:pPr>
      <w:r>
        <w:rPr>
          <w:rFonts w:cs="Times New Roman"/>
          <w:szCs w:val="22"/>
        </w:rPr>
        <w:t xml:space="preserve">Minahan (2016:168) claims that, in 2011, the </w:t>
      </w:r>
      <w:proofErr w:type="spellStart"/>
      <w:r>
        <w:rPr>
          <w:rFonts w:cs="Times New Roman"/>
          <w:szCs w:val="22"/>
        </w:rPr>
        <w:t>Hadhramawt</w:t>
      </w:r>
      <w:proofErr w:type="spellEnd"/>
      <w:r>
        <w:rPr>
          <w:rFonts w:cs="Times New Roman"/>
          <w:szCs w:val="22"/>
        </w:rPr>
        <w:t xml:space="preserve"> Tribes Confederacy declared autonomy; however, this information was not corroborated by other </w:t>
      </w:r>
      <w:proofErr w:type="gramStart"/>
      <w:r>
        <w:rPr>
          <w:rFonts w:cs="Times New Roman"/>
          <w:szCs w:val="22"/>
        </w:rPr>
        <w:t>sources</w:t>
      </w:r>
      <w:proofErr w:type="gramEnd"/>
      <w:r>
        <w:rPr>
          <w:rFonts w:cs="Times New Roman"/>
          <w:szCs w:val="22"/>
        </w:rPr>
        <w:t xml:space="preserve"> and we therefore do not code a sovereignty declaration.</w:t>
      </w:r>
    </w:p>
    <w:p w14:paraId="43952B50" w14:textId="77777777" w:rsidR="00BB5A30" w:rsidRDefault="00BB5A30" w:rsidP="00BB5A30">
      <w:pPr>
        <w:rPr>
          <w:rFonts w:cs="Times New Roman"/>
          <w:szCs w:val="22"/>
        </w:rPr>
      </w:pPr>
    </w:p>
    <w:p w14:paraId="55BDF670" w14:textId="77777777" w:rsidR="00F32CE8" w:rsidRPr="00E000D0" w:rsidRDefault="00F32CE8" w:rsidP="00BB5A30">
      <w:pPr>
        <w:rPr>
          <w:rFonts w:cs="Times New Roman"/>
          <w:szCs w:val="22"/>
        </w:rPr>
      </w:pPr>
    </w:p>
    <w:p w14:paraId="24D40B52" w14:textId="42B1E920" w:rsidR="00A059ED" w:rsidRDefault="00A059ED" w:rsidP="00A059ED">
      <w:pPr>
        <w:rPr>
          <w:rFonts w:cs="Times New Roman"/>
          <w:b/>
          <w:szCs w:val="22"/>
        </w:rPr>
      </w:pPr>
      <w:r>
        <w:rPr>
          <w:rFonts w:cs="Times New Roman"/>
          <w:b/>
          <w:szCs w:val="22"/>
        </w:rPr>
        <w:t>Separatist armed conflict</w:t>
      </w:r>
    </w:p>
    <w:p w14:paraId="75C31A3C" w14:textId="77777777" w:rsidR="00A059ED" w:rsidRPr="006F657B" w:rsidRDefault="00A059ED" w:rsidP="00A059ED">
      <w:pPr>
        <w:rPr>
          <w:rFonts w:cs="Times New Roman"/>
          <w:szCs w:val="22"/>
        </w:rPr>
      </w:pPr>
    </w:p>
    <w:p w14:paraId="18EC46AF" w14:textId="1BE91491" w:rsidR="00A059ED" w:rsidRPr="00F61D56" w:rsidRDefault="00F61D56" w:rsidP="00F61D56">
      <w:pPr>
        <w:pStyle w:val="ListParagraph"/>
        <w:numPr>
          <w:ilvl w:val="0"/>
          <w:numId w:val="14"/>
        </w:numPr>
        <w:rPr>
          <w:rFonts w:cs="Times New Roman"/>
        </w:rPr>
      </w:pPr>
      <w:r w:rsidRPr="00F61D56">
        <w:rPr>
          <w:rFonts w:cs="Times New Roman"/>
        </w:rPr>
        <w:t>We found no indications of separatist vi</w:t>
      </w:r>
      <w:r w:rsidR="00FD7148">
        <w:rPr>
          <w:rFonts w:cs="Times New Roman"/>
        </w:rPr>
        <w:t>olence between 2017 and 2020 so</w:t>
      </w:r>
      <w:r w:rsidRPr="00F61D56">
        <w:rPr>
          <w:rFonts w:cs="Times New Roman"/>
        </w:rPr>
        <w:t xml:space="preserve"> the movement is coded as NVIOLSD. [NVIOLSD]</w:t>
      </w:r>
    </w:p>
    <w:p w14:paraId="5611E583" w14:textId="77777777" w:rsidR="006F206B" w:rsidRDefault="006F206B" w:rsidP="00A059ED">
      <w:pPr>
        <w:ind w:left="709" w:hanging="709"/>
        <w:rPr>
          <w:rFonts w:cs="Times New Roman"/>
          <w:b/>
        </w:rPr>
      </w:pPr>
    </w:p>
    <w:p w14:paraId="479FFD95" w14:textId="77777777" w:rsidR="006F206B" w:rsidRDefault="006F206B" w:rsidP="00A059ED">
      <w:pPr>
        <w:ind w:left="709" w:hanging="709"/>
        <w:rPr>
          <w:rFonts w:cs="Times New Roman"/>
          <w:b/>
        </w:rPr>
      </w:pPr>
    </w:p>
    <w:p w14:paraId="1F830CA4" w14:textId="1D212BBB" w:rsidR="00A059ED" w:rsidRPr="00BE5168" w:rsidRDefault="00A059ED" w:rsidP="00A059ED">
      <w:pPr>
        <w:rPr>
          <w:rFonts w:cs="Times New Roman"/>
          <w:szCs w:val="22"/>
        </w:rPr>
      </w:pPr>
      <w:r>
        <w:rPr>
          <w:rFonts w:cs="Times New Roman"/>
          <w:b/>
          <w:szCs w:val="22"/>
        </w:rPr>
        <w:t xml:space="preserve">Historical </w:t>
      </w:r>
      <w:r w:rsidR="00BB5A30">
        <w:rPr>
          <w:rFonts w:cs="Times New Roman"/>
          <w:b/>
          <w:szCs w:val="22"/>
        </w:rPr>
        <w:t>c</w:t>
      </w:r>
      <w:r>
        <w:rPr>
          <w:rFonts w:cs="Times New Roman"/>
          <w:b/>
          <w:szCs w:val="22"/>
        </w:rPr>
        <w:t>ontext</w:t>
      </w:r>
    </w:p>
    <w:p w14:paraId="0188C287" w14:textId="77777777" w:rsidR="00A059ED" w:rsidRPr="006F657B" w:rsidRDefault="00A059ED" w:rsidP="00A059ED">
      <w:pPr>
        <w:rPr>
          <w:rFonts w:cs="Times New Roman"/>
          <w:szCs w:val="22"/>
        </w:rPr>
      </w:pPr>
    </w:p>
    <w:p w14:paraId="20FB0277" w14:textId="6CB62D0A" w:rsidR="00E23304" w:rsidRPr="001C4D24" w:rsidRDefault="001C4D24" w:rsidP="001C4D24">
      <w:pPr>
        <w:pStyle w:val="ListParagraph"/>
        <w:numPr>
          <w:ilvl w:val="0"/>
          <w:numId w:val="12"/>
        </w:numPr>
        <w:rPr>
          <w:rFonts w:cs="Times New Roman"/>
          <w:szCs w:val="22"/>
        </w:rPr>
      </w:pPr>
      <w:r w:rsidRPr="008A584D">
        <w:rPr>
          <w:rFonts w:cs="Times New Roman"/>
        </w:rPr>
        <w:t xml:space="preserve">Britain seized Aden, in the south of Yemen, in 1839. The city </w:t>
      </w:r>
      <w:r>
        <w:rPr>
          <w:rFonts w:cs="Times New Roman"/>
        </w:rPr>
        <w:t>receiv</w:t>
      </w:r>
      <w:r w:rsidRPr="008A584D">
        <w:rPr>
          <w:rFonts w:cs="Times New Roman"/>
        </w:rPr>
        <w:t>ed considerable investment due to its role connecting Britain’s maritime empire with the Suez Canal, India, Singapore and London</w:t>
      </w:r>
      <w:r>
        <w:rPr>
          <w:rFonts w:cs="Times New Roman"/>
        </w:rPr>
        <w:t xml:space="preserve"> (Dresch, 2000:86, 10; Minahan, 1996:543)</w:t>
      </w:r>
      <w:r w:rsidRPr="008A584D">
        <w:rPr>
          <w:rFonts w:cs="Times New Roman"/>
        </w:rPr>
        <w:t>. Britain’s influence in Aden’s tribal hinterland</w:t>
      </w:r>
      <w:r>
        <w:rPr>
          <w:rFonts w:cs="Times New Roman"/>
        </w:rPr>
        <w:t xml:space="preserve">, which included </w:t>
      </w:r>
      <w:proofErr w:type="spellStart"/>
      <w:r>
        <w:rPr>
          <w:rFonts w:cs="Times New Roman"/>
        </w:rPr>
        <w:t>Hadhramawt</w:t>
      </w:r>
      <w:proofErr w:type="spellEnd"/>
      <w:r>
        <w:rPr>
          <w:rFonts w:cs="Times New Roman"/>
        </w:rPr>
        <w:t>,</w:t>
      </w:r>
      <w:r w:rsidRPr="008A584D">
        <w:rPr>
          <w:rFonts w:cs="Times New Roman"/>
        </w:rPr>
        <w:t xml:space="preserve"> fluctuated; the imperial power expended a great deal of resources attempting to secure southern Yemen’s tribal areas, entering into a plethora of treaties </w:t>
      </w:r>
      <w:r w:rsidRPr="008A584D">
        <w:rPr>
          <w:rFonts w:cs="Times New Roman"/>
        </w:rPr>
        <w:lastRenderedPageBreak/>
        <w:t>offering protection, sponsoring leading sultans and sheikhs in a bid to secure their support, overlooking the need to collect taxes, and targeting rebellious areas with air raids</w:t>
      </w:r>
      <w:r>
        <w:rPr>
          <w:rFonts w:cs="Times New Roman"/>
        </w:rPr>
        <w:t xml:space="preserve"> (Dresch, 2000:35, 37; Clark, 2010:66-7, 72-3, 77-8)</w:t>
      </w:r>
      <w:r w:rsidRPr="008A584D">
        <w:rPr>
          <w:rFonts w:cs="Times New Roman"/>
        </w:rPr>
        <w:t>.</w:t>
      </w:r>
      <w:r>
        <w:rPr>
          <w:rFonts w:cs="Times New Roman"/>
        </w:rPr>
        <w:t xml:space="preserve"> During this period, </w:t>
      </w:r>
      <w:r w:rsidR="00565DAD" w:rsidRPr="001C4D24">
        <w:rPr>
          <w:rFonts w:cs="Times New Roman"/>
          <w:szCs w:val="22"/>
        </w:rPr>
        <w:t>‘</w:t>
      </w:r>
      <w:proofErr w:type="spellStart"/>
      <w:r w:rsidR="00565DAD" w:rsidRPr="001C4D24">
        <w:rPr>
          <w:rFonts w:cs="Times New Roman"/>
          <w:szCs w:val="22"/>
        </w:rPr>
        <w:t>Hadhramawt</w:t>
      </w:r>
      <w:proofErr w:type="spellEnd"/>
      <w:r w:rsidR="00565DAD" w:rsidRPr="001C4D24">
        <w:rPr>
          <w:rFonts w:cs="Times New Roman"/>
          <w:szCs w:val="22"/>
        </w:rPr>
        <w:t xml:space="preserve"> was divided into a patchwork of fiefdoms and tribal territories’. Harold Ingrams, the British Resident Adviser to the al-Quaiti sultanate which ruled a large swathe of </w:t>
      </w:r>
      <w:proofErr w:type="spellStart"/>
      <w:r w:rsidR="00565DAD" w:rsidRPr="001C4D24">
        <w:rPr>
          <w:rFonts w:cs="Times New Roman"/>
          <w:szCs w:val="22"/>
        </w:rPr>
        <w:t>Hadhramawt</w:t>
      </w:r>
      <w:proofErr w:type="spellEnd"/>
      <w:r w:rsidR="00565DAD" w:rsidRPr="001C4D24">
        <w:rPr>
          <w:rFonts w:cs="Times New Roman"/>
          <w:szCs w:val="22"/>
        </w:rPr>
        <w:t xml:space="preserve">, ‘estimated that in 1936 there were 2,000 separate governments’ in the region (Horton, 2010). </w:t>
      </w:r>
    </w:p>
    <w:p w14:paraId="0E8512BA" w14:textId="1C53B4E2" w:rsidR="00A059ED" w:rsidRPr="00CB1653" w:rsidRDefault="001D311A" w:rsidP="00CB1653">
      <w:pPr>
        <w:pStyle w:val="ListParagraph"/>
        <w:numPr>
          <w:ilvl w:val="0"/>
          <w:numId w:val="5"/>
        </w:numPr>
        <w:rPr>
          <w:rFonts w:cs="Times New Roman"/>
        </w:rPr>
      </w:pPr>
      <w:r>
        <w:rPr>
          <w:rFonts w:cs="Times New Roman"/>
          <w:szCs w:val="22"/>
        </w:rPr>
        <w:t>As the British prepared to leave the region, they created the Federation of South A</w:t>
      </w:r>
      <w:r w:rsidR="001C4D24">
        <w:rPr>
          <w:rFonts w:cs="Times New Roman"/>
          <w:szCs w:val="22"/>
        </w:rPr>
        <w:t>rabia (Clark, 2010:79-81)</w:t>
      </w:r>
      <w:r>
        <w:rPr>
          <w:rFonts w:cs="Times New Roman"/>
          <w:szCs w:val="22"/>
        </w:rPr>
        <w:t xml:space="preserve">. The sultanate of </w:t>
      </w:r>
      <w:proofErr w:type="spellStart"/>
      <w:r>
        <w:rPr>
          <w:rFonts w:cs="Times New Roman"/>
          <w:szCs w:val="22"/>
        </w:rPr>
        <w:t>H</w:t>
      </w:r>
      <w:r w:rsidR="009E7ED0">
        <w:rPr>
          <w:rFonts w:cs="Times New Roman"/>
          <w:szCs w:val="22"/>
        </w:rPr>
        <w:t>adhramawt</w:t>
      </w:r>
      <w:proofErr w:type="spellEnd"/>
      <w:r w:rsidR="009E7ED0">
        <w:rPr>
          <w:rFonts w:cs="Times New Roman"/>
          <w:szCs w:val="22"/>
        </w:rPr>
        <w:t xml:space="preserve"> refused to join the F</w:t>
      </w:r>
      <w:r>
        <w:rPr>
          <w:rFonts w:cs="Times New Roman"/>
          <w:szCs w:val="22"/>
        </w:rPr>
        <w:t xml:space="preserve">ederation (Salisbury, 2018). </w:t>
      </w:r>
      <w:r w:rsidR="009E7ED0">
        <w:rPr>
          <w:rFonts w:cs="Times New Roman"/>
          <w:szCs w:val="22"/>
        </w:rPr>
        <w:t xml:space="preserve">Moreover, less than a year later, </w:t>
      </w:r>
      <w:r w:rsidR="009E7ED0">
        <w:rPr>
          <w:rFonts w:cs="Times New Roman"/>
        </w:rPr>
        <w:t xml:space="preserve">an uprising in </w:t>
      </w:r>
      <w:proofErr w:type="spellStart"/>
      <w:r w:rsidR="009E7ED0">
        <w:rPr>
          <w:rFonts w:cs="Times New Roman"/>
        </w:rPr>
        <w:t>Radfan</w:t>
      </w:r>
      <w:proofErr w:type="spellEnd"/>
      <w:r w:rsidR="009E7ED0">
        <w:rPr>
          <w:rFonts w:cs="Times New Roman"/>
        </w:rPr>
        <w:t xml:space="preserve">, led by the National Liberation Front (NLF), ignited an insurgency which reached Aden (Clark, 2010:79-81). A state of emergency was declared in 1965; casualties soared, Britain employed harsh security measures, and the two dominant revolutionary factions in the south of Yemen, the NLF and the Front for the Liberation of Occupied South Yemen (FLOSY), struggled violently against one another (Dresch, 2000:84-6; Hill, 2017:36; Minahan, 1996:544; Al-Hamdani and Lackner, 2020). </w:t>
      </w:r>
      <w:r w:rsidR="009E7ED0" w:rsidRPr="009E7ED0">
        <w:rPr>
          <w:rFonts w:cs="Times New Roman"/>
        </w:rPr>
        <w:t>Britain evacuated and handed power to the NLF (Dresch, 2000:84; Hill, 2017:37; Al-Hamdani and Lackner, 2020). The movement founded the People’s Democratic Republic of Yemen (PDRY) in 1967, declaring it ‘the first and only Marxist state in the Arab world’ (Hill, 2017:37; Minahan, 1996:544).</w:t>
      </w:r>
      <w:r w:rsidR="00CB1653">
        <w:rPr>
          <w:rFonts w:cs="Times New Roman"/>
        </w:rPr>
        <w:t xml:space="preserve"> </w:t>
      </w:r>
      <w:r w:rsidR="009E7ED0" w:rsidRPr="00CB1653">
        <w:rPr>
          <w:rFonts w:cs="Times New Roman"/>
          <w:szCs w:val="22"/>
        </w:rPr>
        <w:t>In August 1967, NLF</w:t>
      </w:r>
      <w:r w:rsidR="00B17E50" w:rsidRPr="00CB1653">
        <w:rPr>
          <w:rFonts w:cs="Times New Roman"/>
          <w:szCs w:val="22"/>
        </w:rPr>
        <w:t xml:space="preserve"> revolutionaries deposed </w:t>
      </w:r>
      <w:proofErr w:type="spellStart"/>
      <w:r w:rsidR="00B17E50" w:rsidRPr="00CB1653">
        <w:rPr>
          <w:rFonts w:cs="Times New Roman"/>
          <w:szCs w:val="22"/>
        </w:rPr>
        <w:t>Hadhramawt’s</w:t>
      </w:r>
      <w:proofErr w:type="spellEnd"/>
      <w:r w:rsidR="00B17E50" w:rsidRPr="00CB1653">
        <w:rPr>
          <w:rFonts w:cs="Times New Roman"/>
          <w:szCs w:val="22"/>
        </w:rPr>
        <w:t xml:space="preserve"> ruling al-Quaiti sultanate, incorpor</w:t>
      </w:r>
      <w:r w:rsidR="009E7ED0" w:rsidRPr="00CB1653">
        <w:rPr>
          <w:rFonts w:cs="Times New Roman"/>
          <w:szCs w:val="22"/>
        </w:rPr>
        <w:t xml:space="preserve">ating </w:t>
      </w:r>
      <w:proofErr w:type="spellStart"/>
      <w:r w:rsidR="009E7ED0" w:rsidRPr="00CB1653">
        <w:rPr>
          <w:rFonts w:cs="Times New Roman"/>
          <w:szCs w:val="22"/>
        </w:rPr>
        <w:t>Hadhramawt</w:t>
      </w:r>
      <w:proofErr w:type="spellEnd"/>
      <w:r w:rsidR="009E7ED0" w:rsidRPr="00CB1653">
        <w:rPr>
          <w:rFonts w:cs="Times New Roman"/>
          <w:szCs w:val="22"/>
        </w:rPr>
        <w:t xml:space="preserve"> into the PDRY </w:t>
      </w:r>
      <w:r w:rsidR="00B17E50" w:rsidRPr="00CB1653">
        <w:rPr>
          <w:rFonts w:cs="Times New Roman"/>
          <w:szCs w:val="22"/>
        </w:rPr>
        <w:t xml:space="preserve">(Bafana, 2014). </w:t>
      </w:r>
    </w:p>
    <w:p w14:paraId="5DEFB0DD" w14:textId="1209592D" w:rsidR="00B17E50" w:rsidRDefault="009E7ED0" w:rsidP="009E7ED0">
      <w:pPr>
        <w:pStyle w:val="ListParagraph"/>
        <w:numPr>
          <w:ilvl w:val="0"/>
          <w:numId w:val="5"/>
        </w:numPr>
        <w:rPr>
          <w:rFonts w:cs="Times New Roman"/>
        </w:rPr>
      </w:pPr>
      <w:r>
        <w:rPr>
          <w:rFonts w:cs="Times New Roman"/>
        </w:rPr>
        <w:t xml:space="preserve">The NLF, now the Yemeni Socialist party (YSP), </w:t>
      </w:r>
      <w:r w:rsidR="00136356">
        <w:rPr>
          <w:rFonts w:cs="Times New Roman"/>
        </w:rPr>
        <w:t>was rife</w:t>
      </w:r>
      <w:r>
        <w:rPr>
          <w:rFonts w:cs="Times New Roman"/>
        </w:rPr>
        <w:t xml:space="preserve"> with internal conflict; in 1986, two conflicting factions took up arms against one another, leading to the deaths of thousands (Dresch, 2000:169; Al-Hamdani and Lackner, 2020). When the clashes subsided, politicians from </w:t>
      </w:r>
      <w:proofErr w:type="spellStart"/>
      <w:r>
        <w:rPr>
          <w:rFonts w:cs="Times New Roman"/>
        </w:rPr>
        <w:t>Hadhramawt</w:t>
      </w:r>
      <w:proofErr w:type="spellEnd"/>
      <w:r>
        <w:rPr>
          <w:rFonts w:cs="Times New Roman"/>
        </w:rPr>
        <w:t xml:space="preserve"> dominated the new government</w:t>
      </w:r>
      <w:r w:rsidR="00136356">
        <w:rPr>
          <w:rFonts w:cs="Times New Roman"/>
        </w:rPr>
        <w:t>,</w:t>
      </w:r>
      <w:r>
        <w:rPr>
          <w:rFonts w:cs="Times New Roman"/>
        </w:rPr>
        <w:t xml:space="preserve"> but their attempts to rebuild the state’s economy were unsuccessful and, with Moscow no longer able to support the nascent republic following the collapse of the Soviet Union, the PDRY found itself on the verge of bankruptcy (Hill, 2017:46). Unification with the North was perceived as the only viable path and, in May 1990, Ali Abdullah Saleh assumed the title of President of the United Republic of Yemen (Hill, 2017:46; Minahan, 2016:396; Roth, 2015:214).</w:t>
      </w:r>
    </w:p>
    <w:p w14:paraId="6D1535DB" w14:textId="129A81A0" w:rsidR="00D049BA" w:rsidRPr="009E7ED0" w:rsidRDefault="00D049BA" w:rsidP="009E7ED0">
      <w:pPr>
        <w:pStyle w:val="ListParagraph"/>
        <w:numPr>
          <w:ilvl w:val="0"/>
          <w:numId w:val="5"/>
        </w:numPr>
        <w:rPr>
          <w:rFonts w:cs="Times New Roman"/>
        </w:rPr>
      </w:pPr>
      <w:r>
        <w:rPr>
          <w:rFonts w:cs="Times New Roman"/>
        </w:rPr>
        <w:t xml:space="preserve">In the years following unification, Saleh and other northerners retained firm control of the most important levels of power, with deep distrust pervading the relationship between the bureaucracies and militaries of the south and the north (Clark, 2010:135, 138; Hill, 2017:48; Hewitt and Cheetham, 2000). </w:t>
      </w:r>
      <w:r w:rsidRPr="005D5312">
        <w:rPr>
          <w:rFonts w:cs="Times New Roman"/>
        </w:rPr>
        <w:t>During the official three-year transition period, there was a rapid decline in living standards in the south</w:t>
      </w:r>
      <w:r>
        <w:rPr>
          <w:rFonts w:cs="Times New Roman"/>
        </w:rPr>
        <w:t xml:space="preserve"> (Al-Hamdani and </w:t>
      </w:r>
      <w:proofErr w:type="spellStart"/>
      <w:r>
        <w:rPr>
          <w:rFonts w:cs="Times New Roman"/>
        </w:rPr>
        <w:t>lackner</w:t>
      </w:r>
      <w:proofErr w:type="spellEnd"/>
      <w:r>
        <w:rPr>
          <w:rFonts w:cs="Times New Roman"/>
        </w:rPr>
        <w:t xml:space="preserve">, 2020). Following the discovery of </w:t>
      </w:r>
      <w:r w:rsidR="00376D96">
        <w:rPr>
          <w:rFonts w:cs="Times New Roman"/>
        </w:rPr>
        <w:t xml:space="preserve">oil in </w:t>
      </w:r>
      <w:proofErr w:type="spellStart"/>
      <w:r w:rsidR="00376D96">
        <w:rPr>
          <w:rFonts w:cs="Times New Roman"/>
        </w:rPr>
        <w:t>Hadhramawt</w:t>
      </w:r>
      <w:proofErr w:type="spellEnd"/>
      <w:r w:rsidR="00376D96">
        <w:rPr>
          <w:rFonts w:cs="Times New Roman"/>
        </w:rPr>
        <w:t>,</w:t>
      </w:r>
      <w:r>
        <w:rPr>
          <w:rFonts w:cs="Times New Roman"/>
        </w:rPr>
        <w:t xml:space="preserve"> the sense that the north was draining the resources of the south, and the exclusion of southerners from Saleh’s newly enriched networks of patronage, fostered resentment, prompting a descent into civil war (Hill, 2017:48; Lackner, 2017:119; Dresch, 2000:193-4; Minahan, 1996:544). A southern separatist bid, which enjoyed Saudi support, proved unsuccessful; northern tanks rolled into Aden in 1994 (Dresch, 2000:197; Roth, 2015:215; Minahan, 1996:544). Appalling misconduct by the northern military was reported (Dresch, 2000:197) and, following the conflict, the constitution was altered, granting Saleh greater power (Clark, 2010:144). In the years following the conflict, the Southerners ‘saw their economic situation deteriorate and their social lives increasingly fall under influence of conservative religious norms which particularly affected women’ (Al-Hamdani and Lackner, 2020).</w:t>
      </w:r>
    </w:p>
    <w:p w14:paraId="29AAF57B" w14:textId="57B1B2DF" w:rsidR="00D049BA" w:rsidRDefault="00D049BA" w:rsidP="00B17E50">
      <w:pPr>
        <w:pStyle w:val="ListParagraph"/>
        <w:numPr>
          <w:ilvl w:val="0"/>
          <w:numId w:val="12"/>
        </w:numPr>
        <w:rPr>
          <w:rFonts w:cs="Times New Roman"/>
          <w:szCs w:val="22"/>
        </w:rPr>
      </w:pPr>
      <w:r>
        <w:rPr>
          <w:rFonts w:cs="Times New Roman"/>
          <w:szCs w:val="22"/>
        </w:rPr>
        <w:t xml:space="preserve">In 2011, a revolution broke out in Yemen which forced President Saleh from power and saw President Hadi assume the role of caretaker President following a referendum. </w:t>
      </w:r>
    </w:p>
    <w:p w14:paraId="431543AF" w14:textId="25897CD8" w:rsidR="000E34C5" w:rsidRPr="00C7791B" w:rsidRDefault="00E315B4" w:rsidP="00C7791B">
      <w:pPr>
        <w:pStyle w:val="ListParagraph"/>
        <w:numPr>
          <w:ilvl w:val="0"/>
          <w:numId w:val="12"/>
        </w:numPr>
        <w:rPr>
          <w:rFonts w:cs="Times New Roman"/>
          <w:szCs w:val="22"/>
        </w:rPr>
      </w:pPr>
      <w:r>
        <w:rPr>
          <w:rFonts w:cs="Times New Roman"/>
          <w:szCs w:val="22"/>
        </w:rPr>
        <w:t xml:space="preserve">Between 2013 and 2014, a National Dialogue Conference (NDC) was convened </w:t>
      </w:r>
      <w:proofErr w:type="gramStart"/>
      <w:r>
        <w:rPr>
          <w:rFonts w:cs="Times New Roman"/>
          <w:szCs w:val="22"/>
        </w:rPr>
        <w:t>in an attempt to</w:t>
      </w:r>
      <w:proofErr w:type="gramEnd"/>
      <w:r>
        <w:rPr>
          <w:rFonts w:cs="Times New Roman"/>
          <w:szCs w:val="22"/>
        </w:rPr>
        <w:t xml:space="preserve"> resolve the political crisis in Yemen. At the conference, </w:t>
      </w:r>
      <w:r w:rsidR="00C7791B">
        <w:rPr>
          <w:rFonts w:cs="Times New Roman"/>
          <w:szCs w:val="22"/>
        </w:rPr>
        <w:t xml:space="preserve">it was agreed that Yemen would be </w:t>
      </w:r>
      <w:proofErr w:type="gramStart"/>
      <w:r w:rsidR="00C7791B">
        <w:rPr>
          <w:rFonts w:cs="Times New Roman"/>
          <w:szCs w:val="22"/>
        </w:rPr>
        <w:t>federalized</w:t>
      </w:r>
      <w:proofErr w:type="gramEnd"/>
      <w:r w:rsidR="00C7791B">
        <w:rPr>
          <w:rFonts w:cs="Times New Roman"/>
          <w:szCs w:val="22"/>
        </w:rPr>
        <w:t xml:space="preserve"> and</w:t>
      </w:r>
      <w:r w:rsidR="00B17E50">
        <w:rPr>
          <w:rFonts w:cs="Times New Roman"/>
          <w:szCs w:val="22"/>
        </w:rPr>
        <w:t xml:space="preserve"> a committee was established to decide the precise shape of federal</w:t>
      </w:r>
      <w:r w:rsidR="00C7791B">
        <w:rPr>
          <w:rFonts w:cs="Times New Roman"/>
          <w:szCs w:val="22"/>
        </w:rPr>
        <w:t>ism in Yemen. The committee resolved</w:t>
      </w:r>
      <w:r w:rsidR="00B17E50">
        <w:rPr>
          <w:rFonts w:cs="Times New Roman"/>
          <w:szCs w:val="22"/>
        </w:rPr>
        <w:t xml:space="preserve"> that </w:t>
      </w:r>
      <w:proofErr w:type="spellStart"/>
      <w:r w:rsidR="00B17E50">
        <w:rPr>
          <w:rFonts w:cs="Times New Roman"/>
          <w:szCs w:val="22"/>
        </w:rPr>
        <w:t>Hadhramawt</w:t>
      </w:r>
      <w:proofErr w:type="spellEnd"/>
      <w:r w:rsidR="00B17E50">
        <w:rPr>
          <w:rFonts w:cs="Times New Roman"/>
          <w:szCs w:val="22"/>
        </w:rPr>
        <w:t xml:space="preserve"> would become one of six states in the new federal republic. This new state would have encompassed the governorates of </w:t>
      </w:r>
      <w:proofErr w:type="spellStart"/>
      <w:r w:rsidR="00B17E50">
        <w:rPr>
          <w:rFonts w:cs="Times New Roman"/>
          <w:szCs w:val="22"/>
        </w:rPr>
        <w:t>Hadhramawt</w:t>
      </w:r>
      <w:proofErr w:type="spellEnd"/>
      <w:r w:rsidR="00B17E50">
        <w:rPr>
          <w:rFonts w:cs="Times New Roman"/>
          <w:szCs w:val="22"/>
        </w:rPr>
        <w:t>, al-</w:t>
      </w:r>
      <w:proofErr w:type="spellStart"/>
      <w:r w:rsidR="00B17E50">
        <w:rPr>
          <w:rFonts w:cs="Times New Roman"/>
          <w:szCs w:val="22"/>
        </w:rPr>
        <w:t>Mahrah</w:t>
      </w:r>
      <w:proofErr w:type="spellEnd"/>
      <w:r w:rsidR="00B17E50">
        <w:rPr>
          <w:rFonts w:cs="Times New Roman"/>
          <w:szCs w:val="22"/>
        </w:rPr>
        <w:t>, Shabwah and Socotra. It would have covered over 50%</w:t>
      </w:r>
      <w:r w:rsidR="00E23304">
        <w:rPr>
          <w:rFonts w:cs="Times New Roman"/>
          <w:szCs w:val="22"/>
        </w:rPr>
        <w:t xml:space="preserve"> of Yemen’s land mass and more than 89% of Yemen’s producing oil fields, with water widely available (</w:t>
      </w:r>
      <w:proofErr w:type="spellStart"/>
      <w:r w:rsidR="00E23304">
        <w:rPr>
          <w:rFonts w:cs="Times New Roman"/>
          <w:szCs w:val="22"/>
        </w:rPr>
        <w:t>Bafani</w:t>
      </w:r>
      <w:proofErr w:type="spellEnd"/>
      <w:r w:rsidR="00E23304">
        <w:rPr>
          <w:rFonts w:cs="Times New Roman"/>
          <w:szCs w:val="22"/>
        </w:rPr>
        <w:t>, 2014).</w:t>
      </w:r>
      <w:r w:rsidR="00C7791B">
        <w:rPr>
          <w:rFonts w:cs="Times New Roman"/>
          <w:szCs w:val="22"/>
        </w:rPr>
        <w:t xml:space="preserve"> However, federalization was never implemented; just one year following the conclusion of the NDC, the northern </w:t>
      </w:r>
      <w:proofErr w:type="spellStart"/>
      <w:r w:rsidR="00C7791B">
        <w:rPr>
          <w:rFonts w:cs="Times New Roman"/>
          <w:szCs w:val="22"/>
        </w:rPr>
        <w:t>Huthi</w:t>
      </w:r>
      <w:proofErr w:type="spellEnd"/>
      <w:r w:rsidR="00C7791B">
        <w:rPr>
          <w:rFonts w:cs="Times New Roman"/>
          <w:szCs w:val="22"/>
        </w:rPr>
        <w:t xml:space="preserve"> movement marched into the capital, Sana’a, triggering a fierce civil war. </w:t>
      </w:r>
      <w:r w:rsidR="000E34C5" w:rsidRPr="00C7791B">
        <w:rPr>
          <w:rFonts w:cs="Times New Roman"/>
          <w:szCs w:val="22"/>
        </w:rPr>
        <w:t xml:space="preserve">Baron and </w:t>
      </w:r>
      <w:proofErr w:type="spellStart"/>
      <w:r w:rsidR="000E34C5" w:rsidRPr="00C7791B">
        <w:rPr>
          <w:rFonts w:cs="Times New Roman"/>
          <w:szCs w:val="22"/>
        </w:rPr>
        <w:t>Basalma</w:t>
      </w:r>
      <w:proofErr w:type="spellEnd"/>
      <w:r w:rsidR="000E34C5" w:rsidRPr="00C7791B">
        <w:rPr>
          <w:rFonts w:cs="Times New Roman"/>
          <w:szCs w:val="22"/>
        </w:rPr>
        <w:t xml:space="preserve"> (2021) argue that ‘the war has fragmented Yemen’s political system and created a power vacuum to an extent that has arguably never been seen in the country’s modern history’. </w:t>
      </w:r>
    </w:p>
    <w:p w14:paraId="17FAF063" w14:textId="7171A5BE" w:rsidR="00635B06" w:rsidRPr="003B56B5" w:rsidRDefault="00C7791B" w:rsidP="00B17E50">
      <w:pPr>
        <w:pStyle w:val="ListParagraph"/>
        <w:numPr>
          <w:ilvl w:val="0"/>
          <w:numId w:val="12"/>
        </w:numPr>
        <w:rPr>
          <w:rFonts w:cs="Times New Roman"/>
          <w:szCs w:val="22"/>
        </w:rPr>
      </w:pPr>
      <w:r w:rsidRPr="003B56B5">
        <w:rPr>
          <w:rFonts w:cs="Times New Roman"/>
          <w:szCs w:val="22"/>
        </w:rPr>
        <w:lastRenderedPageBreak/>
        <w:t xml:space="preserve">In 2015, </w:t>
      </w:r>
      <w:r w:rsidR="00E56E3E">
        <w:rPr>
          <w:rFonts w:cs="Times New Roman"/>
          <w:szCs w:val="22"/>
        </w:rPr>
        <w:t>Al-Qaeda in the Arabian Peninsula (</w:t>
      </w:r>
      <w:r w:rsidRPr="003B56B5">
        <w:rPr>
          <w:rFonts w:cs="Times New Roman"/>
          <w:szCs w:val="22"/>
        </w:rPr>
        <w:t>AQAP</w:t>
      </w:r>
      <w:r w:rsidR="00E56E3E">
        <w:rPr>
          <w:rFonts w:cs="Times New Roman"/>
          <w:szCs w:val="22"/>
        </w:rPr>
        <w:t>)</w:t>
      </w:r>
      <w:r w:rsidRPr="003B56B5">
        <w:rPr>
          <w:rFonts w:cs="Times New Roman"/>
          <w:szCs w:val="22"/>
        </w:rPr>
        <w:t xml:space="preserve"> swept into Mukalla</w:t>
      </w:r>
      <w:r w:rsidR="003B56B5" w:rsidRPr="003B56B5">
        <w:rPr>
          <w:rFonts w:cs="Times New Roman"/>
          <w:szCs w:val="22"/>
        </w:rPr>
        <w:t xml:space="preserve"> and consolidated power. A year later, the UAE and their allies ‘stood up a 12,000-strong force of tribal fighters’ from </w:t>
      </w:r>
      <w:proofErr w:type="spellStart"/>
      <w:r w:rsidR="003B56B5" w:rsidRPr="003B56B5">
        <w:rPr>
          <w:rFonts w:cs="Times New Roman"/>
          <w:szCs w:val="22"/>
        </w:rPr>
        <w:t>Hadhramawt</w:t>
      </w:r>
      <w:proofErr w:type="spellEnd"/>
      <w:r w:rsidR="003B56B5" w:rsidRPr="003B56B5">
        <w:rPr>
          <w:rFonts w:cs="Times New Roman"/>
          <w:szCs w:val="22"/>
        </w:rPr>
        <w:t>, which managed to expel AQAP in April 2016 (Baron, 2018).</w:t>
      </w:r>
      <w:r w:rsidR="00635B06" w:rsidRPr="003B56B5">
        <w:rPr>
          <w:rFonts w:cs="Times New Roman"/>
          <w:szCs w:val="22"/>
        </w:rPr>
        <w:t xml:space="preserve"> </w:t>
      </w:r>
    </w:p>
    <w:p w14:paraId="570A335D" w14:textId="030FFBAA" w:rsidR="003B56B5" w:rsidRPr="00B17E50" w:rsidRDefault="003B56B5" w:rsidP="00B17E50">
      <w:pPr>
        <w:pStyle w:val="ListParagraph"/>
        <w:numPr>
          <w:ilvl w:val="0"/>
          <w:numId w:val="12"/>
        </w:numPr>
        <w:rPr>
          <w:rFonts w:cs="Times New Roman"/>
          <w:szCs w:val="22"/>
        </w:rPr>
      </w:pPr>
      <w:r>
        <w:rPr>
          <w:rFonts w:cs="Times New Roman"/>
          <w:szCs w:val="22"/>
        </w:rPr>
        <w:t xml:space="preserve">No concessions or restrictions were found in the ten years before the start date. </w:t>
      </w:r>
    </w:p>
    <w:p w14:paraId="222C24FE" w14:textId="61A0C3E1" w:rsidR="00A059ED" w:rsidRDefault="00A059ED" w:rsidP="00A059ED">
      <w:pPr>
        <w:rPr>
          <w:rFonts w:cs="Times New Roman"/>
          <w:szCs w:val="22"/>
        </w:rPr>
      </w:pPr>
    </w:p>
    <w:p w14:paraId="6F877683" w14:textId="77777777" w:rsidR="00E56E3E" w:rsidRPr="006F657B" w:rsidRDefault="00E56E3E" w:rsidP="00A059ED">
      <w:pPr>
        <w:rPr>
          <w:rFonts w:cs="Times New Roman"/>
          <w:szCs w:val="22"/>
        </w:rPr>
      </w:pPr>
    </w:p>
    <w:p w14:paraId="1293D953" w14:textId="77777777" w:rsidR="00A059ED" w:rsidRPr="00BE5168" w:rsidRDefault="00A059ED" w:rsidP="00A059ED">
      <w:pPr>
        <w:rPr>
          <w:rFonts w:cs="Times New Roman"/>
          <w:b/>
          <w:szCs w:val="22"/>
        </w:rPr>
      </w:pPr>
      <w:r w:rsidRPr="00BE5168">
        <w:rPr>
          <w:rFonts w:cs="Times New Roman"/>
          <w:b/>
          <w:szCs w:val="22"/>
        </w:rPr>
        <w:t>Concessions and restrictions</w:t>
      </w:r>
    </w:p>
    <w:p w14:paraId="4D050FB5" w14:textId="77777777" w:rsidR="00A059ED" w:rsidRPr="006F657B" w:rsidRDefault="00A059ED" w:rsidP="00A059ED">
      <w:pPr>
        <w:rPr>
          <w:rFonts w:cs="Times New Roman"/>
          <w:szCs w:val="22"/>
        </w:rPr>
      </w:pPr>
    </w:p>
    <w:p w14:paraId="68E0F61E" w14:textId="54F42C34" w:rsidR="00A059ED" w:rsidRDefault="00E56E3E" w:rsidP="00A059ED">
      <w:pPr>
        <w:rPr>
          <w:rFonts w:cs="Times New Roman"/>
          <w:szCs w:val="22"/>
        </w:rPr>
      </w:pPr>
      <w:r>
        <w:rPr>
          <w:rFonts w:cs="Times New Roman"/>
          <w:szCs w:val="22"/>
        </w:rPr>
        <w:t>NA</w:t>
      </w:r>
    </w:p>
    <w:p w14:paraId="3650B629" w14:textId="5169129E" w:rsidR="00E56E3E" w:rsidRDefault="00E56E3E" w:rsidP="00A059ED">
      <w:pPr>
        <w:rPr>
          <w:rFonts w:cs="Times New Roman"/>
          <w:szCs w:val="22"/>
        </w:rPr>
      </w:pPr>
    </w:p>
    <w:p w14:paraId="46FC1B6D" w14:textId="77777777" w:rsidR="00E56E3E" w:rsidRPr="006F657B" w:rsidRDefault="00E56E3E" w:rsidP="00A059ED">
      <w:pPr>
        <w:rPr>
          <w:rFonts w:cs="Times New Roman"/>
          <w:szCs w:val="22"/>
        </w:rPr>
      </w:pPr>
    </w:p>
    <w:p w14:paraId="194EDC81" w14:textId="77777777" w:rsidR="00A059ED" w:rsidRPr="00BE5168" w:rsidRDefault="00A059ED" w:rsidP="00A059ED">
      <w:pPr>
        <w:rPr>
          <w:rFonts w:cs="Times New Roman"/>
          <w:b/>
          <w:szCs w:val="22"/>
        </w:rPr>
      </w:pPr>
      <w:r>
        <w:rPr>
          <w:rFonts w:cs="Times New Roman"/>
          <w:b/>
          <w:szCs w:val="22"/>
        </w:rPr>
        <w:t xml:space="preserve">Regional autonomy </w:t>
      </w:r>
    </w:p>
    <w:p w14:paraId="016E0128" w14:textId="77777777" w:rsidR="00A059ED" w:rsidRPr="006F657B" w:rsidRDefault="00A059ED" w:rsidP="00A059ED">
      <w:pPr>
        <w:rPr>
          <w:rFonts w:cs="Times New Roman"/>
          <w:szCs w:val="22"/>
        </w:rPr>
      </w:pPr>
    </w:p>
    <w:p w14:paraId="25208DEC" w14:textId="19B111D8" w:rsidR="00681D6C" w:rsidRDefault="00910B44" w:rsidP="00681D6C">
      <w:pPr>
        <w:pStyle w:val="ListParagraph"/>
        <w:numPr>
          <w:ilvl w:val="0"/>
          <w:numId w:val="15"/>
        </w:numPr>
        <w:rPr>
          <w:rFonts w:cs="Times New Roman"/>
          <w:szCs w:val="22"/>
        </w:rPr>
      </w:pPr>
      <w:r>
        <w:rPr>
          <w:rFonts w:cs="Times New Roman"/>
          <w:szCs w:val="22"/>
        </w:rPr>
        <w:t xml:space="preserve">In 1998, Yemen was divided into ten provinces – called governates – each of which was further divided into districts. The central government appoints a governor as well as district heads </w:t>
      </w:r>
      <w:r w:rsidR="005074B2" w:rsidRPr="00577111">
        <w:rPr>
          <w:rFonts w:cs="Times New Roman"/>
          <w:szCs w:val="22"/>
        </w:rPr>
        <w:t>(Baron et al., 2016:4</w:t>
      </w:r>
      <w:r w:rsidR="00681D6C">
        <w:rPr>
          <w:rFonts w:cs="Times New Roman"/>
          <w:szCs w:val="22"/>
        </w:rPr>
        <w:t>f</w:t>
      </w:r>
      <w:r w:rsidR="005074B2" w:rsidRPr="00577111">
        <w:rPr>
          <w:rFonts w:cs="Times New Roman"/>
          <w:szCs w:val="22"/>
        </w:rPr>
        <w:t xml:space="preserve">). Baron et al. (2016:4) </w:t>
      </w:r>
      <w:r>
        <w:rPr>
          <w:rFonts w:cs="Times New Roman"/>
          <w:szCs w:val="22"/>
        </w:rPr>
        <w:t>suggest that as a result,</w:t>
      </w:r>
      <w:r w:rsidR="005074B2" w:rsidRPr="00577111">
        <w:rPr>
          <w:rFonts w:cs="Times New Roman"/>
          <w:szCs w:val="22"/>
        </w:rPr>
        <w:t xml:space="preserve"> ‘there was, for all intents and purposes, no local representation in local governance, with all power and decision-making authority centralized in the capital’. </w:t>
      </w:r>
      <w:r w:rsidR="00681D6C" w:rsidRPr="00577111">
        <w:rPr>
          <w:rFonts w:cs="Times New Roman"/>
          <w:szCs w:val="22"/>
        </w:rPr>
        <w:t xml:space="preserve">Since the outbreak of war, ‘the ability of local councils to provide services and govern weakened substantially, as their sources of financial funding, as well as the wider economy, began to collapse’ (Baron et al., 2016:8). </w:t>
      </w:r>
      <w:r w:rsidR="00681D6C">
        <w:rPr>
          <w:rFonts w:cs="Times New Roman"/>
          <w:szCs w:val="22"/>
        </w:rPr>
        <w:t xml:space="preserve">Overall, the evidence we found suggests that governates, such as </w:t>
      </w:r>
      <w:proofErr w:type="spellStart"/>
      <w:r w:rsidR="00681D6C">
        <w:rPr>
          <w:rFonts w:cs="Times New Roman"/>
          <w:szCs w:val="22"/>
        </w:rPr>
        <w:t>Hadhramawat</w:t>
      </w:r>
      <w:proofErr w:type="spellEnd"/>
      <w:r w:rsidR="00681D6C">
        <w:rPr>
          <w:rFonts w:cs="Times New Roman"/>
          <w:szCs w:val="22"/>
        </w:rPr>
        <w:t>, have relatively little autonomy. [no autonomy]</w:t>
      </w:r>
    </w:p>
    <w:p w14:paraId="2C7AD83E" w14:textId="77777777" w:rsidR="00681D6C" w:rsidRDefault="00681D6C" w:rsidP="00A059ED">
      <w:pPr>
        <w:rPr>
          <w:rFonts w:cs="Times New Roman"/>
          <w:b/>
          <w:szCs w:val="22"/>
        </w:rPr>
      </w:pPr>
    </w:p>
    <w:p w14:paraId="7DE895CE" w14:textId="77777777" w:rsidR="00681D6C" w:rsidRDefault="00681D6C" w:rsidP="00A059ED">
      <w:pPr>
        <w:rPr>
          <w:rFonts w:cs="Times New Roman"/>
          <w:b/>
          <w:szCs w:val="22"/>
        </w:rPr>
      </w:pPr>
    </w:p>
    <w:p w14:paraId="55F252E8" w14:textId="7FC684FB" w:rsidR="00A059ED" w:rsidRPr="0088796E" w:rsidRDefault="00A059ED" w:rsidP="00A059ED">
      <w:pPr>
        <w:rPr>
          <w:rFonts w:cs="Times New Roman"/>
          <w:b/>
          <w:szCs w:val="22"/>
        </w:rPr>
      </w:pPr>
      <w:r>
        <w:rPr>
          <w:rFonts w:cs="Times New Roman"/>
          <w:b/>
          <w:szCs w:val="22"/>
        </w:rPr>
        <w:t>De facto i</w:t>
      </w:r>
      <w:r w:rsidRPr="0088796E">
        <w:rPr>
          <w:rFonts w:cs="Times New Roman"/>
          <w:b/>
          <w:szCs w:val="22"/>
        </w:rPr>
        <w:t>ndependence</w:t>
      </w:r>
    </w:p>
    <w:p w14:paraId="4C6371B6" w14:textId="77777777" w:rsidR="00A059ED" w:rsidRPr="006F657B" w:rsidRDefault="00A059ED" w:rsidP="00A059ED">
      <w:pPr>
        <w:rPr>
          <w:rFonts w:cs="Times New Roman"/>
          <w:bCs/>
          <w:szCs w:val="22"/>
        </w:rPr>
      </w:pPr>
    </w:p>
    <w:p w14:paraId="482C783D" w14:textId="2809C8D9" w:rsidR="00A059ED" w:rsidRDefault="008C3792" w:rsidP="00E56E3E">
      <w:pPr>
        <w:rPr>
          <w:rFonts w:cs="Times New Roman"/>
          <w:bCs/>
          <w:szCs w:val="22"/>
        </w:rPr>
      </w:pPr>
      <w:r w:rsidRPr="00E56E3E">
        <w:rPr>
          <w:rFonts w:cs="Times New Roman"/>
          <w:bCs/>
          <w:szCs w:val="22"/>
        </w:rPr>
        <w:t>NA</w:t>
      </w:r>
    </w:p>
    <w:p w14:paraId="1A6AF0CB" w14:textId="77777777" w:rsidR="00E56E3E" w:rsidRPr="00E56E3E" w:rsidRDefault="00E56E3E" w:rsidP="00E56E3E">
      <w:pPr>
        <w:rPr>
          <w:rFonts w:cs="Times New Roman"/>
          <w:bCs/>
          <w:szCs w:val="22"/>
        </w:rPr>
      </w:pPr>
    </w:p>
    <w:p w14:paraId="7D058B1F" w14:textId="77777777" w:rsidR="008C3792" w:rsidRPr="008C3792" w:rsidRDefault="008C3792" w:rsidP="008C3792">
      <w:pPr>
        <w:pStyle w:val="ListParagraph"/>
        <w:rPr>
          <w:rFonts w:cs="Times New Roman"/>
          <w:bCs/>
          <w:szCs w:val="22"/>
        </w:rPr>
      </w:pPr>
    </w:p>
    <w:p w14:paraId="6D0D91BA" w14:textId="77777777" w:rsidR="00A059ED" w:rsidRPr="00BE5168" w:rsidRDefault="00A059ED" w:rsidP="00A059ED">
      <w:pPr>
        <w:rPr>
          <w:rFonts w:cs="Times New Roman"/>
          <w:b/>
          <w:szCs w:val="22"/>
        </w:rPr>
      </w:pPr>
      <w:r w:rsidRPr="007943A1">
        <w:rPr>
          <w:rFonts w:cs="Times New Roman"/>
          <w:b/>
          <w:szCs w:val="22"/>
        </w:rPr>
        <w:t>Major territorial changes</w:t>
      </w:r>
    </w:p>
    <w:p w14:paraId="3C9C770B" w14:textId="77777777" w:rsidR="00A059ED" w:rsidRPr="006F657B" w:rsidRDefault="00A059ED" w:rsidP="00A059ED">
      <w:pPr>
        <w:rPr>
          <w:rFonts w:cs="Times New Roman"/>
          <w:bCs/>
          <w:szCs w:val="22"/>
        </w:rPr>
      </w:pPr>
    </w:p>
    <w:p w14:paraId="7AA62DE9" w14:textId="59634217" w:rsidR="00A059ED" w:rsidRPr="00E56E3E" w:rsidRDefault="00577111" w:rsidP="00E56E3E">
      <w:pPr>
        <w:rPr>
          <w:rFonts w:cs="Times New Roman"/>
          <w:bCs/>
          <w:szCs w:val="22"/>
        </w:rPr>
      </w:pPr>
      <w:r w:rsidRPr="00E56E3E">
        <w:rPr>
          <w:rFonts w:cs="Times New Roman"/>
          <w:bCs/>
          <w:szCs w:val="22"/>
        </w:rPr>
        <w:t>NA</w:t>
      </w:r>
    </w:p>
    <w:p w14:paraId="543C3A8E" w14:textId="4FEB4FB6" w:rsidR="00A059ED" w:rsidRDefault="00A059ED" w:rsidP="00A059ED">
      <w:pPr>
        <w:rPr>
          <w:rFonts w:cs="Times New Roman"/>
          <w:bCs/>
          <w:szCs w:val="22"/>
        </w:rPr>
      </w:pPr>
    </w:p>
    <w:p w14:paraId="19C445C4" w14:textId="77777777" w:rsidR="00681D6C" w:rsidRDefault="00681D6C" w:rsidP="00A059ED">
      <w:pPr>
        <w:rPr>
          <w:rFonts w:cs="Times New Roman"/>
          <w:b/>
          <w:szCs w:val="22"/>
        </w:rPr>
      </w:pPr>
    </w:p>
    <w:p w14:paraId="21B9BFCA" w14:textId="77777777" w:rsidR="00BB5A30" w:rsidRPr="00D251DF" w:rsidRDefault="00BB5A30" w:rsidP="00BB5A30">
      <w:pPr>
        <w:ind w:left="709" w:hanging="709"/>
        <w:rPr>
          <w:rFonts w:cs="Times New Roman"/>
          <w:b/>
        </w:rPr>
      </w:pPr>
      <w:r w:rsidRPr="00D251DF">
        <w:rPr>
          <w:rFonts w:cs="Times New Roman"/>
          <w:b/>
        </w:rPr>
        <w:t>EPR2SDM</w:t>
      </w:r>
    </w:p>
    <w:p w14:paraId="6DFF6D8A" w14:textId="77777777" w:rsidR="00BB5A30" w:rsidRPr="00D251DF" w:rsidRDefault="00BB5A30" w:rsidP="00BB5A30">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BB5A30" w:rsidRPr="00D251DF" w14:paraId="0CA19692" w14:textId="77777777" w:rsidTr="00A5559A">
        <w:trPr>
          <w:trHeight w:val="284"/>
        </w:trPr>
        <w:tc>
          <w:tcPr>
            <w:tcW w:w="4787" w:type="dxa"/>
            <w:vAlign w:val="center"/>
          </w:tcPr>
          <w:p w14:paraId="7B1A3A12" w14:textId="77777777" w:rsidR="00BB5A30" w:rsidRPr="00D251DF" w:rsidRDefault="00BB5A30" w:rsidP="00A5559A">
            <w:pPr>
              <w:rPr>
                <w:i/>
              </w:rPr>
            </w:pPr>
            <w:r w:rsidRPr="00D251DF">
              <w:rPr>
                <w:i/>
              </w:rPr>
              <w:t>Movement</w:t>
            </w:r>
          </w:p>
        </w:tc>
        <w:tc>
          <w:tcPr>
            <w:tcW w:w="4783" w:type="dxa"/>
            <w:vAlign w:val="center"/>
          </w:tcPr>
          <w:p w14:paraId="3832B6F5" w14:textId="77777777" w:rsidR="00BB5A30" w:rsidRPr="00D251DF" w:rsidRDefault="00BB5A30" w:rsidP="00A5559A">
            <w:proofErr w:type="spellStart"/>
            <w:r>
              <w:t>Hadhramis</w:t>
            </w:r>
            <w:proofErr w:type="spellEnd"/>
          </w:p>
        </w:tc>
      </w:tr>
      <w:tr w:rsidR="00BB5A30" w:rsidRPr="00D251DF" w14:paraId="7560E41F" w14:textId="77777777" w:rsidTr="00A5559A">
        <w:trPr>
          <w:trHeight w:val="284"/>
        </w:trPr>
        <w:tc>
          <w:tcPr>
            <w:tcW w:w="4787" w:type="dxa"/>
            <w:vAlign w:val="center"/>
          </w:tcPr>
          <w:p w14:paraId="2E1A100B" w14:textId="77777777" w:rsidR="00BB5A30" w:rsidRPr="00D251DF" w:rsidRDefault="00BB5A30" w:rsidP="00A5559A">
            <w:pPr>
              <w:rPr>
                <w:i/>
              </w:rPr>
            </w:pPr>
            <w:r w:rsidRPr="00D251DF">
              <w:rPr>
                <w:i/>
              </w:rPr>
              <w:t>Scenario</w:t>
            </w:r>
          </w:p>
        </w:tc>
        <w:tc>
          <w:tcPr>
            <w:tcW w:w="4783" w:type="dxa"/>
            <w:vAlign w:val="center"/>
          </w:tcPr>
          <w:p w14:paraId="38E647E5" w14:textId="77777777" w:rsidR="00BB5A30" w:rsidRPr="00D251DF" w:rsidRDefault="00BB5A30" w:rsidP="00A5559A">
            <w:r>
              <w:t>n:1</w:t>
            </w:r>
          </w:p>
        </w:tc>
      </w:tr>
      <w:tr w:rsidR="00BB5A30" w:rsidRPr="00D251DF" w14:paraId="75A4492A" w14:textId="77777777" w:rsidTr="00A5559A">
        <w:trPr>
          <w:trHeight w:val="284"/>
        </w:trPr>
        <w:tc>
          <w:tcPr>
            <w:tcW w:w="4787" w:type="dxa"/>
            <w:vAlign w:val="center"/>
          </w:tcPr>
          <w:p w14:paraId="211C617D" w14:textId="77777777" w:rsidR="00BB5A30" w:rsidRPr="00D251DF" w:rsidRDefault="00BB5A30" w:rsidP="00A5559A">
            <w:pPr>
              <w:rPr>
                <w:i/>
              </w:rPr>
            </w:pPr>
            <w:r w:rsidRPr="00D251DF">
              <w:rPr>
                <w:i/>
              </w:rPr>
              <w:t>EPR group(s)</w:t>
            </w:r>
          </w:p>
        </w:tc>
        <w:tc>
          <w:tcPr>
            <w:tcW w:w="4783" w:type="dxa"/>
            <w:vAlign w:val="center"/>
          </w:tcPr>
          <w:p w14:paraId="58D4C55C" w14:textId="77777777" w:rsidR="00BB5A30" w:rsidRPr="00D251DF" w:rsidRDefault="00BB5A30" w:rsidP="00A5559A">
            <w:r>
              <w:t xml:space="preserve">Southern </w:t>
            </w:r>
            <w:proofErr w:type="spellStart"/>
            <w:r>
              <w:t>Shafi’i</w:t>
            </w:r>
            <w:proofErr w:type="spellEnd"/>
          </w:p>
        </w:tc>
      </w:tr>
      <w:tr w:rsidR="00BB5A30" w:rsidRPr="00D251DF" w14:paraId="3A9DE15A" w14:textId="77777777" w:rsidTr="00A5559A">
        <w:trPr>
          <w:trHeight w:val="284"/>
        </w:trPr>
        <w:tc>
          <w:tcPr>
            <w:tcW w:w="4787" w:type="dxa"/>
            <w:vAlign w:val="center"/>
          </w:tcPr>
          <w:p w14:paraId="3A97BBEE" w14:textId="77777777" w:rsidR="00BB5A30" w:rsidRPr="00D251DF" w:rsidRDefault="00BB5A30" w:rsidP="00A5559A">
            <w:pPr>
              <w:rPr>
                <w:i/>
              </w:rPr>
            </w:pPr>
            <w:proofErr w:type="spellStart"/>
            <w:r>
              <w:rPr>
                <w:i/>
              </w:rPr>
              <w:t>Gwgroupid</w:t>
            </w:r>
            <w:proofErr w:type="spellEnd"/>
            <w:r>
              <w:rPr>
                <w:i/>
              </w:rPr>
              <w:t>(s)</w:t>
            </w:r>
          </w:p>
        </w:tc>
        <w:tc>
          <w:tcPr>
            <w:tcW w:w="4783" w:type="dxa"/>
            <w:vAlign w:val="center"/>
          </w:tcPr>
          <w:p w14:paraId="6A11740C" w14:textId="77777777" w:rsidR="00BB5A30" w:rsidRPr="00457513" w:rsidRDefault="00BB5A30" w:rsidP="00A5559A">
            <w:r>
              <w:t>67807000</w:t>
            </w:r>
          </w:p>
        </w:tc>
      </w:tr>
    </w:tbl>
    <w:p w14:paraId="55DB103D" w14:textId="77777777" w:rsidR="00BB5A30" w:rsidRDefault="00BB5A30" w:rsidP="00BB5A30">
      <w:pPr>
        <w:rPr>
          <w:rFonts w:cs="Times New Roman"/>
          <w:b/>
          <w:szCs w:val="22"/>
        </w:rPr>
      </w:pPr>
    </w:p>
    <w:p w14:paraId="500AC622" w14:textId="77777777" w:rsidR="00BB5A30" w:rsidRDefault="00BB5A30" w:rsidP="00BB5A30">
      <w:pPr>
        <w:rPr>
          <w:rFonts w:cs="Times New Roman"/>
          <w:b/>
          <w:szCs w:val="22"/>
        </w:rPr>
      </w:pPr>
    </w:p>
    <w:p w14:paraId="2DCAD759" w14:textId="77777777" w:rsidR="00A059ED" w:rsidRDefault="00A059ED" w:rsidP="00A059ED">
      <w:pPr>
        <w:ind w:left="709" w:hanging="709"/>
        <w:rPr>
          <w:rFonts w:cs="Times New Roman"/>
          <w:b/>
          <w:szCs w:val="22"/>
        </w:rPr>
      </w:pPr>
      <w:r>
        <w:rPr>
          <w:rFonts w:cs="Times New Roman"/>
          <w:b/>
          <w:szCs w:val="22"/>
        </w:rPr>
        <w:t>Power access</w:t>
      </w:r>
    </w:p>
    <w:p w14:paraId="59B4397D" w14:textId="413F86DA" w:rsidR="00A059ED" w:rsidRDefault="00A059ED" w:rsidP="00A059ED">
      <w:pPr>
        <w:ind w:left="709" w:hanging="709"/>
        <w:rPr>
          <w:rFonts w:cs="Times New Roman"/>
          <w:bCs/>
          <w:szCs w:val="22"/>
        </w:rPr>
      </w:pPr>
    </w:p>
    <w:p w14:paraId="067BB815" w14:textId="3DA79D6A" w:rsidR="00294319" w:rsidRDefault="00294319" w:rsidP="00294319">
      <w:pPr>
        <w:pStyle w:val="ListParagraph"/>
        <w:numPr>
          <w:ilvl w:val="0"/>
          <w:numId w:val="16"/>
        </w:numPr>
        <w:rPr>
          <w:rFonts w:cs="Times New Roman"/>
          <w:bCs/>
          <w:szCs w:val="22"/>
        </w:rPr>
      </w:pPr>
      <w:r>
        <w:rPr>
          <w:rFonts w:cs="Times New Roman"/>
          <w:bCs/>
          <w:szCs w:val="22"/>
        </w:rPr>
        <w:t xml:space="preserve">EPR does not include the </w:t>
      </w:r>
      <w:proofErr w:type="spellStart"/>
      <w:r>
        <w:rPr>
          <w:rFonts w:cs="Times New Roman"/>
          <w:bCs/>
          <w:szCs w:val="22"/>
        </w:rPr>
        <w:t>Hadrahmis</w:t>
      </w:r>
      <w:proofErr w:type="spellEnd"/>
      <w:r>
        <w:rPr>
          <w:rFonts w:cs="Times New Roman"/>
          <w:bCs/>
          <w:szCs w:val="22"/>
        </w:rPr>
        <w:t xml:space="preserve"> as a separate group, but codes them together with the Southerners, who are coded as junior partner throughout 2017-2020. In 2021, the Hadramawt Conference was granted representation in the central government, suggesting that the </w:t>
      </w:r>
      <w:proofErr w:type="spellStart"/>
      <w:r>
        <w:rPr>
          <w:rFonts w:cs="Times New Roman"/>
          <w:bCs/>
          <w:szCs w:val="22"/>
        </w:rPr>
        <w:t>Hadhramis</w:t>
      </w:r>
      <w:proofErr w:type="spellEnd"/>
      <w:r>
        <w:rPr>
          <w:rFonts w:cs="Times New Roman"/>
          <w:bCs/>
          <w:szCs w:val="22"/>
        </w:rPr>
        <w:t xml:space="preserve"> have had representation since at least this point. Unfortunately, we were not able to establish to what extent </w:t>
      </w:r>
      <w:proofErr w:type="spellStart"/>
      <w:r>
        <w:rPr>
          <w:rFonts w:cs="Times New Roman"/>
          <w:bCs/>
          <w:szCs w:val="22"/>
        </w:rPr>
        <w:t>Hadhramis</w:t>
      </w:r>
      <w:proofErr w:type="spellEnd"/>
      <w:r>
        <w:rPr>
          <w:rFonts w:cs="Times New Roman"/>
          <w:bCs/>
          <w:szCs w:val="22"/>
        </w:rPr>
        <w:t xml:space="preserve"> were represented in the cabinet before that. However, Jalal (2021) suggests that 70% of the central government consisted of S</w:t>
      </w:r>
      <w:r w:rsidRPr="00294319">
        <w:rPr>
          <w:rFonts w:cs="Times New Roman"/>
          <w:bCs/>
          <w:szCs w:val="22"/>
        </w:rPr>
        <w:t>outherners</w:t>
      </w:r>
      <w:r>
        <w:rPr>
          <w:rFonts w:cs="Times New Roman"/>
          <w:bCs/>
          <w:szCs w:val="22"/>
        </w:rPr>
        <w:t xml:space="preserve"> during the movement’s years of activity. We apply a junior partner 2017-2020, noting that this case would profit from more research. [2017-2020: junior partner]</w:t>
      </w:r>
    </w:p>
    <w:p w14:paraId="1F1DE3D3" w14:textId="58B9EA52" w:rsidR="00AB2AF1" w:rsidRDefault="00AB2AF1" w:rsidP="00A059ED">
      <w:pPr>
        <w:ind w:left="709" w:hanging="709"/>
        <w:rPr>
          <w:rFonts w:cs="Times New Roman"/>
          <w:bCs/>
          <w:szCs w:val="22"/>
        </w:rPr>
      </w:pPr>
    </w:p>
    <w:p w14:paraId="6F5F2F5E" w14:textId="77777777" w:rsidR="00AB2AF1" w:rsidRPr="006F657B" w:rsidRDefault="00AB2AF1" w:rsidP="00A059ED">
      <w:pPr>
        <w:ind w:left="709" w:hanging="709"/>
        <w:rPr>
          <w:rFonts w:cs="Times New Roman"/>
          <w:bCs/>
          <w:szCs w:val="22"/>
        </w:rPr>
      </w:pPr>
    </w:p>
    <w:p w14:paraId="1382BFD7" w14:textId="77777777" w:rsidR="00BB5A30" w:rsidRDefault="00BB5A30" w:rsidP="00A059ED">
      <w:pPr>
        <w:ind w:left="709" w:hanging="709"/>
        <w:rPr>
          <w:rFonts w:cs="Times New Roman"/>
          <w:b/>
          <w:szCs w:val="22"/>
        </w:rPr>
      </w:pPr>
    </w:p>
    <w:p w14:paraId="023A76B0" w14:textId="77777777" w:rsidR="00BB5A30" w:rsidRDefault="00BB5A30" w:rsidP="00A059ED">
      <w:pPr>
        <w:ind w:left="709" w:hanging="709"/>
        <w:rPr>
          <w:rFonts w:cs="Times New Roman"/>
          <w:b/>
          <w:szCs w:val="22"/>
        </w:rPr>
      </w:pPr>
    </w:p>
    <w:p w14:paraId="6600B668" w14:textId="1A066417" w:rsidR="00A059ED" w:rsidRDefault="00A059ED" w:rsidP="00A059ED">
      <w:pPr>
        <w:ind w:left="709" w:hanging="709"/>
        <w:rPr>
          <w:rFonts w:cs="Times New Roman"/>
          <w:b/>
          <w:szCs w:val="22"/>
        </w:rPr>
      </w:pPr>
      <w:r>
        <w:rPr>
          <w:rFonts w:cs="Times New Roman"/>
          <w:b/>
          <w:szCs w:val="22"/>
        </w:rPr>
        <w:lastRenderedPageBreak/>
        <w:t>Group size</w:t>
      </w:r>
    </w:p>
    <w:p w14:paraId="446298B6" w14:textId="77777777" w:rsidR="00A059ED" w:rsidRDefault="00A059ED" w:rsidP="00A059ED">
      <w:pPr>
        <w:rPr>
          <w:rFonts w:cs="Times New Roman"/>
        </w:rPr>
      </w:pPr>
    </w:p>
    <w:p w14:paraId="4F1A5988" w14:textId="7DA00317" w:rsidR="00A059ED" w:rsidRDefault="00AB2AF1" w:rsidP="00B47D3D">
      <w:pPr>
        <w:pStyle w:val="ListParagraph"/>
        <w:numPr>
          <w:ilvl w:val="0"/>
          <w:numId w:val="16"/>
        </w:numPr>
        <w:rPr>
          <w:rFonts w:cs="Times New Roman"/>
          <w:bCs/>
          <w:szCs w:val="22"/>
        </w:rPr>
      </w:pPr>
      <w:r>
        <w:rPr>
          <w:rFonts w:cs="Times New Roman"/>
          <w:bCs/>
          <w:szCs w:val="22"/>
        </w:rPr>
        <w:t xml:space="preserve">According to Baron and </w:t>
      </w:r>
      <w:proofErr w:type="spellStart"/>
      <w:r>
        <w:rPr>
          <w:rFonts w:cs="Times New Roman"/>
          <w:bCs/>
          <w:szCs w:val="22"/>
        </w:rPr>
        <w:t>Basalma</w:t>
      </w:r>
      <w:proofErr w:type="spellEnd"/>
      <w:r>
        <w:rPr>
          <w:rFonts w:cs="Times New Roman"/>
          <w:bCs/>
          <w:szCs w:val="22"/>
        </w:rPr>
        <w:t xml:space="preserve"> (2021), a total of </w:t>
      </w:r>
      <w:r w:rsidR="00B47D3D">
        <w:rPr>
          <w:rFonts w:cs="Times New Roman"/>
          <w:bCs/>
          <w:szCs w:val="22"/>
        </w:rPr>
        <w:t xml:space="preserve">1.4 million people live in </w:t>
      </w:r>
      <w:proofErr w:type="spellStart"/>
      <w:r w:rsidR="00B47D3D">
        <w:rPr>
          <w:rFonts w:cs="Times New Roman"/>
          <w:bCs/>
          <w:szCs w:val="22"/>
        </w:rPr>
        <w:t>Hadhramawt</w:t>
      </w:r>
      <w:proofErr w:type="spellEnd"/>
      <w:r>
        <w:rPr>
          <w:rFonts w:cs="Times New Roman"/>
          <w:bCs/>
          <w:szCs w:val="22"/>
        </w:rPr>
        <w:t>. T</w:t>
      </w:r>
      <w:r w:rsidR="00B47D3D">
        <w:rPr>
          <w:rFonts w:cs="Times New Roman"/>
          <w:bCs/>
          <w:szCs w:val="22"/>
        </w:rPr>
        <w:t xml:space="preserve">his is supported by Minahan (2016:167) who estimates that between 1.3 and 1.5 million people live in the governorate. </w:t>
      </w:r>
      <w:r>
        <w:rPr>
          <w:rFonts w:cs="Times New Roman"/>
          <w:bCs/>
          <w:szCs w:val="22"/>
        </w:rPr>
        <w:t xml:space="preserve">We use the 2017 </w:t>
      </w:r>
      <w:r w:rsidR="00B47D3D">
        <w:rPr>
          <w:rFonts w:cs="Times New Roman"/>
          <w:bCs/>
          <w:szCs w:val="22"/>
        </w:rPr>
        <w:t xml:space="preserve">World Bank </w:t>
      </w:r>
      <w:r>
        <w:rPr>
          <w:rFonts w:cs="Times New Roman"/>
          <w:bCs/>
          <w:szCs w:val="22"/>
        </w:rPr>
        <w:t>Yemen population estimate (27</w:t>
      </w:r>
      <w:r w:rsidR="00B47D3D">
        <w:rPr>
          <w:rFonts w:cs="Times New Roman"/>
          <w:bCs/>
          <w:szCs w:val="22"/>
        </w:rPr>
        <w:t>,834,811</w:t>
      </w:r>
      <w:r>
        <w:rPr>
          <w:rFonts w:cs="Times New Roman"/>
          <w:bCs/>
          <w:szCs w:val="22"/>
        </w:rPr>
        <w:t>) as the reference figure</w:t>
      </w:r>
      <w:r w:rsidR="00B47D3D">
        <w:rPr>
          <w:rFonts w:cs="Times New Roman"/>
          <w:bCs/>
          <w:szCs w:val="22"/>
        </w:rPr>
        <w:t>.</w:t>
      </w:r>
      <w:r w:rsidR="00D15B8D">
        <w:rPr>
          <w:rFonts w:cs="Times New Roman"/>
          <w:bCs/>
          <w:szCs w:val="22"/>
        </w:rPr>
        <w:t xml:space="preserve"> [0.05]</w:t>
      </w:r>
    </w:p>
    <w:p w14:paraId="333C5253" w14:textId="17E7F77C" w:rsidR="00B91DB4" w:rsidRDefault="00B91DB4" w:rsidP="00A059ED">
      <w:pPr>
        <w:rPr>
          <w:rFonts w:cs="Times New Roman"/>
          <w:b/>
          <w:bCs/>
        </w:rPr>
      </w:pPr>
    </w:p>
    <w:p w14:paraId="390E16B5" w14:textId="77777777" w:rsidR="00BB5A30" w:rsidRDefault="00BB5A30" w:rsidP="00A059ED">
      <w:pPr>
        <w:rPr>
          <w:rFonts w:cs="Times New Roman"/>
          <w:b/>
          <w:bCs/>
        </w:rPr>
      </w:pPr>
    </w:p>
    <w:p w14:paraId="5C21691E" w14:textId="5F391407" w:rsidR="00A059ED" w:rsidRPr="00C524D6" w:rsidRDefault="00A059ED" w:rsidP="00A059ED">
      <w:pPr>
        <w:rPr>
          <w:rFonts w:cs="Times New Roman"/>
          <w:b/>
          <w:bCs/>
        </w:rPr>
      </w:pPr>
      <w:r w:rsidRPr="00C524D6">
        <w:rPr>
          <w:rFonts w:cs="Times New Roman"/>
          <w:b/>
          <w:bCs/>
        </w:rPr>
        <w:t>Regional concentration</w:t>
      </w:r>
    </w:p>
    <w:p w14:paraId="08CA835C" w14:textId="573EDF5F" w:rsidR="00A059ED" w:rsidRDefault="00A059ED" w:rsidP="00A059ED">
      <w:pPr>
        <w:rPr>
          <w:rFonts w:cs="Times New Roman"/>
        </w:rPr>
      </w:pPr>
    </w:p>
    <w:p w14:paraId="220C1349" w14:textId="7EA39551" w:rsidR="00D15B8D" w:rsidRPr="00AB2AF1" w:rsidRDefault="00AB2AF1" w:rsidP="00AB2AF1">
      <w:pPr>
        <w:pStyle w:val="ListParagraph"/>
        <w:numPr>
          <w:ilvl w:val="0"/>
          <w:numId w:val="16"/>
        </w:numPr>
        <w:rPr>
          <w:rFonts w:cs="Times New Roman"/>
        </w:rPr>
      </w:pPr>
      <w:r>
        <w:rPr>
          <w:rFonts w:cs="Times New Roman"/>
        </w:rPr>
        <w:t>As this is a</w:t>
      </w:r>
      <w:r w:rsidR="00D15B8D">
        <w:rPr>
          <w:rFonts w:cs="Times New Roman"/>
        </w:rPr>
        <w:t xml:space="preserve"> regional movement</w:t>
      </w:r>
      <w:r>
        <w:rPr>
          <w:rFonts w:cs="Times New Roman"/>
        </w:rPr>
        <w:t xml:space="preserve">, </w:t>
      </w:r>
      <w:r w:rsidR="00D15B8D">
        <w:rPr>
          <w:rFonts w:cs="Times New Roman"/>
        </w:rPr>
        <w:t xml:space="preserve">we assume regional concentration. </w:t>
      </w:r>
      <w:r>
        <w:rPr>
          <w:rFonts w:cs="Times New Roman"/>
        </w:rPr>
        <w:t xml:space="preserve">It </w:t>
      </w:r>
      <w:proofErr w:type="spellStart"/>
      <w:r>
        <w:rPr>
          <w:rFonts w:cs="Times New Roman"/>
        </w:rPr>
        <w:t>it</w:t>
      </w:r>
      <w:proofErr w:type="spellEnd"/>
      <w:r>
        <w:rPr>
          <w:rFonts w:cs="Times New Roman"/>
        </w:rPr>
        <w:t xml:space="preserve"> is important to note that this is not based on empirical data on the number of self-identified </w:t>
      </w:r>
      <w:proofErr w:type="spellStart"/>
      <w:r>
        <w:rPr>
          <w:rFonts w:cs="Times New Roman"/>
        </w:rPr>
        <w:t>Hadhramis</w:t>
      </w:r>
      <w:proofErr w:type="spellEnd"/>
      <w:r>
        <w:rPr>
          <w:rFonts w:cs="Times New Roman"/>
        </w:rPr>
        <w:t xml:space="preserve"> in and outside of their homeland, as we could not find such data</w:t>
      </w:r>
      <w:r w:rsidRPr="00AB2AF1">
        <w:rPr>
          <w:rFonts w:cs="Times New Roman"/>
        </w:rPr>
        <w:t xml:space="preserve">. </w:t>
      </w:r>
      <w:r w:rsidR="00D15B8D" w:rsidRPr="00AB2AF1">
        <w:rPr>
          <w:rFonts w:cs="Times New Roman"/>
        </w:rPr>
        <w:t>[</w:t>
      </w:r>
      <w:r w:rsidR="00E000D0" w:rsidRPr="00AB2AF1">
        <w:rPr>
          <w:rFonts w:cs="Times New Roman"/>
        </w:rPr>
        <w:t>r</w:t>
      </w:r>
      <w:r w:rsidR="00D15B8D" w:rsidRPr="00AB2AF1">
        <w:rPr>
          <w:rFonts w:cs="Times New Roman"/>
        </w:rPr>
        <w:t xml:space="preserve">egional </w:t>
      </w:r>
      <w:r w:rsidR="00E000D0" w:rsidRPr="00AB2AF1">
        <w:rPr>
          <w:rFonts w:cs="Times New Roman"/>
        </w:rPr>
        <w:t>c</w:t>
      </w:r>
      <w:r w:rsidR="00D15B8D" w:rsidRPr="00AB2AF1">
        <w:rPr>
          <w:rFonts w:cs="Times New Roman"/>
        </w:rPr>
        <w:t>oncentration]</w:t>
      </w:r>
    </w:p>
    <w:p w14:paraId="0B49D512" w14:textId="19B51EA9" w:rsidR="00A059ED" w:rsidRDefault="00A059ED" w:rsidP="00A059ED">
      <w:pPr>
        <w:rPr>
          <w:rFonts w:cs="Times New Roman"/>
        </w:rPr>
      </w:pPr>
    </w:p>
    <w:p w14:paraId="5466048C" w14:textId="77777777" w:rsidR="00681D6C" w:rsidRDefault="00681D6C" w:rsidP="00A059ED">
      <w:pPr>
        <w:rPr>
          <w:rFonts w:cs="Times New Roman"/>
        </w:rPr>
      </w:pPr>
    </w:p>
    <w:p w14:paraId="2A7FD780" w14:textId="77777777" w:rsidR="00A059ED" w:rsidRDefault="00A059ED" w:rsidP="00A059ED">
      <w:pPr>
        <w:rPr>
          <w:rFonts w:cs="Times New Roman"/>
          <w:b/>
        </w:rPr>
      </w:pPr>
      <w:r>
        <w:rPr>
          <w:rFonts w:cs="Times New Roman"/>
          <w:b/>
        </w:rPr>
        <w:t>Kin</w:t>
      </w:r>
    </w:p>
    <w:p w14:paraId="057B19AD" w14:textId="77777777" w:rsidR="00A059ED" w:rsidRPr="006F657B" w:rsidRDefault="00A059ED" w:rsidP="00A059ED">
      <w:pPr>
        <w:rPr>
          <w:rFonts w:cs="Times New Roman"/>
          <w:bCs/>
        </w:rPr>
      </w:pPr>
    </w:p>
    <w:p w14:paraId="0C082B4A" w14:textId="64A45051" w:rsidR="00A059ED" w:rsidRPr="00D15B8D" w:rsidRDefault="00D15B8D" w:rsidP="00D15B8D">
      <w:pPr>
        <w:pStyle w:val="ListParagraph"/>
        <w:numPr>
          <w:ilvl w:val="0"/>
          <w:numId w:val="16"/>
        </w:numPr>
        <w:spacing w:after="60"/>
        <w:rPr>
          <w:rFonts w:cs="Times New Roman"/>
          <w:bCs/>
          <w:szCs w:val="22"/>
        </w:rPr>
      </w:pPr>
      <w:r>
        <w:rPr>
          <w:rFonts w:cs="Times New Roman"/>
          <w:szCs w:val="22"/>
        </w:rPr>
        <w:t xml:space="preserve">There are </w:t>
      </w:r>
      <w:r w:rsidRPr="00D15B8D">
        <w:rPr>
          <w:rFonts w:cs="Times New Roman"/>
          <w:szCs w:val="22"/>
        </w:rPr>
        <w:t xml:space="preserve">14 million ethnic </w:t>
      </w:r>
      <w:proofErr w:type="spellStart"/>
      <w:r w:rsidRPr="00D15B8D">
        <w:rPr>
          <w:rFonts w:cs="Times New Roman"/>
          <w:szCs w:val="22"/>
        </w:rPr>
        <w:t>Hadhramis</w:t>
      </w:r>
      <w:proofErr w:type="spellEnd"/>
      <w:r w:rsidRPr="00D15B8D">
        <w:rPr>
          <w:rFonts w:cs="Times New Roman"/>
          <w:szCs w:val="22"/>
        </w:rPr>
        <w:t xml:space="preserve"> in the diaspora (Baron and </w:t>
      </w:r>
      <w:proofErr w:type="spellStart"/>
      <w:r w:rsidRPr="00D15B8D">
        <w:rPr>
          <w:rFonts w:cs="Times New Roman"/>
          <w:szCs w:val="22"/>
        </w:rPr>
        <w:t>Basalma</w:t>
      </w:r>
      <w:proofErr w:type="spellEnd"/>
      <w:r w:rsidRPr="00D15B8D">
        <w:rPr>
          <w:rFonts w:cs="Times New Roman"/>
          <w:szCs w:val="22"/>
        </w:rPr>
        <w:t>, 2021).</w:t>
      </w:r>
      <w:r>
        <w:rPr>
          <w:rFonts w:cs="Times New Roman"/>
          <w:szCs w:val="22"/>
        </w:rPr>
        <w:t xml:space="preserve"> </w:t>
      </w:r>
      <w:proofErr w:type="spellStart"/>
      <w:r>
        <w:rPr>
          <w:rFonts w:cs="Times New Roman"/>
          <w:szCs w:val="22"/>
        </w:rPr>
        <w:t>Hadhramis</w:t>
      </w:r>
      <w:proofErr w:type="spellEnd"/>
      <w:r>
        <w:rPr>
          <w:rFonts w:cs="Times New Roman"/>
          <w:szCs w:val="22"/>
        </w:rPr>
        <w:t xml:space="preserve"> live in </w:t>
      </w:r>
      <w:proofErr w:type="spellStart"/>
      <w:r>
        <w:rPr>
          <w:rFonts w:cs="Times New Roman"/>
          <w:szCs w:val="22"/>
        </w:rPr>
        <w:t>neighbouring</w:t>
      </w:r>
      <w:proofErr w:type="spellEnd"/>
      <w:r>
        <w:rPr>
          <w:rFonts w:cs="Times New Roman"/>
          <w:szCs w:val="22"/>
        </w:rPr>
        <w:t xml:space="preserve"> countries, such as Saudi Arabia, but also further afield including Indonesia and the Horn of Africa (Baron and </w:t>
      </w:r>
      <w:proofErr w:type="spellStart"/>
      <w:r>
        <w:rPr>
          <w:rFonts w:cs="Times New Roman"/>
          <w:szCs w:val="22"/>
        </w:rPr>
        <w:t>Basalma</w:t>
      </w:r>
      <w:proofErr w:type="spellEnd"/>
      <w:r>
        <w:rPr>
          <w:rFonts w:cs="Times New Roman"/>
          <w:szCs w:val="22"/>
        </w:rPr>
        <w:t xml:space="preserve">, 2021). </w:t>
      </w:r>
      <w:r w:rsidR="00AB2AF1">
        <w:rPr>
          <w:rFonts w:cs="Times New Roman"/>
          <w:szCs w:val="22"/>
        </w:rPr>
        <w:t>Based on this, we code</w:t>
      </w:r>
      <w:r>
        <w:rPr>
          <w:rFonts w:cs="Times New Roman"/>
          <w:szCs w:val="22"/>
        </w:rPr>
        <w:t xml:space="preserve"> kin in a </w:t>
      </w:r>
      <w:proofErr w:type="spellStart"/>
      <w:r>
        <w:rPr>
          <w:rFonts w:cs="Times New Roman"/>
          <w:szCs w:val="22"/>
        </w:rPr>
        <w:t>neighbouring</w:t>
      </w:r>
      <w:proofErr w:type="spellEnd"/>
      <w:r>
        <w:rPr>
          <w:rFonts w:cs="Times New Roman"/>
          <w:szCs w:val="22"/>
        </w:rPr>
        <w:t xml:space="preserve"> country. [</w:t>
      </w:r>
      <w:r w:rsidR="00AB2AF1">
        <w:rPr>
          <w:rFonts w:cs="Times New Roman"/>
          <w:szCs w:val="22"/>
        </w:rPr>
        <w:t>kin in a neighboring country</w:t>
      </w:r>
      <w:r>
        <w:rPr>
          <w:rFonts w:cs="Times New Roman"/>
          <w:szCs w:val="22"/>
        </w:rPr>
        <w:t>]</w:t>
      </w:r>
    </w:p>
    <w:p w14:paraId="6A11611C" w14:textId="37C76A48" w:rsidR="009B6F91" w:rsidRDefault="009B6F91" w:rsidP="00A059ED">
      <w:pPr>
        <w:rPr>
          <w:rFonts w:cs="Times New Roman"/>
          <w:b/>
          <w:szCs w:val="22"/>
        </w:rPr>
      </w:pPr>
    </w:p>
    <w:p w14:paraId="78451056" w14:textId="77777777" w:rsidR="009B6F91" w:rsidRDefault="009B6F91" w:rsidP="00A059ED">
      <w:pPr>
        <w:rPr>
          <w:rFonts w:cs="Times New Roman"/>
          <w:b/>
          <w:szCs w:val="22"/>
        </w:rPr>
      </w:pPr>
    </w:p>
    <w:p w14:paraId="0C67A321" w14:textId="77777777" w:rsidR="00A059ED" w:rsidRPr="0029438E" w:rsidRDefault="00A059ED" w:rsidP="00A059ED">
      <w:pPr>
        <w:spacing w:after="60"/>
        <w:ind w:left="709" w:hanging="709"/>
        <w:rPr>
          <w:rFonts w:cs="Times New Roman"/>
          <w:b/>
          <w:szCs w:val="22"/>
        </w:rPr>
      </w:pPr>
      <w:r w:rsidRPr="008E5D73">
        <w:rPr>
          <w:rFonts w:cs="Times New Roman"/>
          <w:b/>
          <w:szCs w:val="22"/>
        </w:rPr>
        <w:t>Sources</w:t>
      </w:r>
    </w:p>
    <w:p w14:paraId="380F70FE" w14:textId="77777777" w:rsidR="00A059ED" w:rsidRDefault="00A059ED" w:rsidP="00A059ED">
      <w:pPr>
        <w:spacing w:after="60"/>
        <w:ind w:left="709" w:hanging="709"/>
      </w:pPr>
    </w:p>
    <w:p w14:paraId="1011A9F8"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Al Arabiya English (2017). ‘Yemen President Mansour Hadi Appoints Three New Governors’ </w:t>
      </w:r>
      <w:r w:rsidRPr="00A85BE8">
        <w:rPr>
          <w:rFonts w:cs="Times New Roman"/>
          <w:i/>
          <w:szCs w:val="22"/>
          <w:lang w:val="en-GB"/>
        </w:rPr>
        <w:t xml:space="preserve">Al Arabiya English </w:t>
      </w:r>
      <w:r w:rsidRPr="00A85BE8">
        <w:rPr>
          <w:rFonts w:cs="Times New Roman"/>
          <w:szCs w:val="22"/>
          <w:lang w:val="en-GB"/>
        </w:rPr>
        <w:t xml:space="preserve">[online], available from: </w:t>
      </w:r>
      <w:hyperlink r:id="rId9" w:history="1">
        <w:r w:rsidRPr="00A85BE8">
          <w:rPr>
            <w:rStyle w:val="Hyperlink"/>
            <w:rFonts w:cs="Times New Roman"/>
            <w:szCs w:val="22"/>
            <w:lang w:val="en-GB"/>
          </w:rPr>
          <w:t>https://english.alarabiya.net/News/middle-east/2017/06/29/Yemen-s-president-appoints-new-governors-for-Shabwa-Hadramout-and-Socotra-</w:t>
        </w:r>
      </w:hyperlink>
      <w:r w:rsidRPr="00A85BE8">
        <w:rPr>
          <w:rFonts w:cs="Times New Roman"/>
          <w:szCs w:val="22"/>
          <w:lang w:val="en-GB"/>
        </w:rPr>
        <w:t xml:space="preserve"> [last accessed: 21.8.2022]</w:t>
      </w:r>
    </w:p>
    <w:p w14:paraId="10B24412" w14:textId="77777777" w:rsidR="009B6F91" w:rsidRDefault="009B6F91" w:rsidP="009B6F91">
      <w:pPr>
        <w:spacing w:after="60"/>
        <w:ind w:left="709" w:hanging="709"/>
      </w:pPr>
      <w:r>
        <w:t xml:space="preserve">Al-Hamdani, R. and H. Lackner (2020). “War and Pieces: Political Divides in Southern Yemen.” </w:t>
      </w:r>
      <w:r w:rsidRPr="00A059ED">
        <w:rPr>
          <w:i/>
          <w:iCs/>
        </w:rPr>
        <w:t>European Council on Foreign Relations</w:t>
      </w:r>
      <w:r>
        <w:rPr>
          <w:i/>
          <w:iCs/>
        </w:rPr>
        <w:t>.</w:t>
      </w:r>
      <w:r>
        <w:t xml:space="preserve"> https://ecfr.eu/publication/war_and_pieces_political_divides_in_southern_yemen/ [April 29, 2022].</w:t>
      </w:r>
    </w:p>
    <w:p w14:paraId="21EA2A20"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Bafana, Haykal. (2014). ‘Yemen and the Future of Hadhramaut’. </w:t>
      </w:r>
      <w:r w:rsidRPr="00A85BE8">
        <w:rPr>
          <w:rFonts w:cs="Times New Roman"/>
          <w:i/>
          <w:szCs w:val="22"/>
          <w:lang w:val="en-GB"/>
        </w:rPr>
        <w:t xml:space="preserve">Al-Bab </w:t>
      </w:r>
      <w:r w:rsidRPr="00A85BE8">
        <w:rPr>
          <w:rFonts w:cs="Times New Roman"/>
          <w:szCs w:val="22"/>
          <w:lang w:val="en-GB"/>
        </w:rPr>
        <w:t xml:space="preserve">[online], available from: </w:t>
      </w:r>
      <w:hyperlink r:id="rId10" w:history="1">
        <w:r w:rsidRPr="00A85BE8">
          <w:rPr>
            <w:rStyle w:val="Hyperlink"/>
            <w:rFonts w:cs="Times New Roman"/>
            <w:szCs w:val="22"/>
            <w:lang w:val="en-GB"/>
          </w:rPr>
          <w:t>https://al-bab.com/blog/2014/06/yemen-and-future-hadhramaut</w:t>
        </w:r>
      </w:hyperlink>
      <w:r w:rsidRPr="00A85BE8">
        <w:rPr>
          <w:rFonts w:cs="Times New Roman"/>
          <w:color w:val="000000"/>
          <w:szCs w:val="22"/>
          <w:lang w:val="en-GB"/>
        </w:rPr>
        <w:t xml:space="preserve"> [last accessed: 21.8.2022]</w:t>
      </w:r>
    </w:p>
    <w:p w14:paraId="2F5EE152" w14:textId="77777777" w:rsidR="009B6F91" w:rsidRDefault="009B6F91" w:rsidP="009B6F91">
      <w:pPr>
        <w:spacing w:after="60"/>
        <w:ind w:left="709" w:hanging="709"/>
      </w:pPr>
      <w:r>
        <w:t xml:space="preserve">Baron, A. and M. </w:t>
      </w:r>
      <w:proofErr w:type="spellStart"/>
      <w:r>
        <w:t>Basalma</w:t>
      </w:r>
      <w:proofErr w:type="spellEnd"/>
      <w:r>
        <w:t xml:space="preserve"> (2021). “The Case of Hadhramaut: Can Local Efforts Transcend Wartime Divides in Yemen?” </w:t>
      </w:r>
      <w:r w:rsidRPr="00A059ED">
        <w:rPr>
          <w:i/>
          <w:iCs/>
        </w:rPr>
        <w:t>Century Foundation</w:t>
      </w:r>
      <w:r>
        <w:rPr>
          <w:i/>
          <w:iCs/>
        </w:rPr>
        <w:t>.</w:t>
      </w:r>
      <w:r>
        <w:t xml:space="preserve"> https://tcf.org/content/report/case-hadhramaut-can-local-efforts-transcend-wartime-divides-yemen/?agreed=1 [April 29, 2022].</w:t>
      </w:r>
    </w:p>
    <w:p w14:paraId="65F6DC81"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Baron, Adam (2018). ‘The Gulf Country That Will Shape the Future of Yemen’ </w:t>
      </w:r>
      <w:r w:rsidRPr="00A85BE8">
        <w:rPr>
          <w:rFonts w:cs="Times New Roman"/>
          <w:i/>
          <w:szCs w:val="22"/>
          <w:lang w:val="en-GB"/>
        </w:rPr>
        <w:t xml:space="preserve">The Atlantic </w:t>
      </w:r>
      <w:r w:rsidRPr="00A85BE8">
        <w:rPr>
          <w:rFonts w:cs="Times New Roman"/>
          <w:szCs w:val="22"/>
          <w:lang w:val="en-GB"/>
        </w:rPr>
        <w:t xml:space="preserve">[online], available from: </w:t>
      </w:r>
      <w:hyperlink r:id="rId11" w:history="1">
        <w:r w:rsidRPr="00A85BE8">
          <w:rPr>
            <w:rStyle w:val="Hyperlink"/>
            <w:rFonts w:cs="Times New Roman"/>
            <w:szCs w:val="22"/>
            <w:lang w:val="en-GB"/>
          </w:rPr>
          <w:t>https://www.theatlantic.com/international/archive/2018/09/yemen-mukalla-uae-al-qaeda/570943/</w:t>
        </w:r>
      </w:hyperlink>
      <w:r w:rsidRPr="00A85BE8">
        <w:rPr>
          <w:rFonts w:cs="Times New Roman"/>
          <w:szCs w:val="22"/>
          <w:lang w:val="en-GB"/>
        </w:rPr>
        <w:t xml:space="preserve"> [last accessed: 21.8.2022]</w:t>
      </w:r>
    </w:p>
    <w:p w14:paraId="4A763946"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Baron, Adam et al. (2016). ‘The Essential Role of Local Governance in Yemen’ </w:t>
      </w:r>
      <w:r w:rsidRPr="00A85BE8">
        <w:rPr>
          <w:rFonts w:cs="Times New Roman"/>
          <w:i/>
          <w:szCs w:val="22"/>
          <w:lang w:val="en-GB"/>
        </w:rPr>
        <w:t xml:space="preserve">Adam Smith International and Sana’a Centre </w:t>
      </w:r>
      <w:r w:rsidRPr="00A85BE8">
        <w:rPr>
          <w:rFonts w:cs="Times New Roman"/>
          <w:szCs w:val="22"/>
          <w:lang w:val="en-GB"/>
        </w:rPr>
        <w:t xml:space="preserve">[online], available from: </w:t>
      </w:r>
      <w:hyperlink r:id="rId12" w:history="1">
        <w:r w:rsidRPr="00A85BE8">
          <w:rPr>
            <w:rStyle w:val="Hyperlink"/>
            <w:rFonts w:cs="Times New Roman"/>
            <w:szCs w:val="22"/>
            <w:lang w:val="en-GB"/>
          </w:rPr>
          <w:t>https://adamsmithinternational.com/app/uploads/2019/03/the_essential_role_of_local_EN-Oct-.pdf</w:t>
        </w:r>
      </w:hyperlink>
      <w:r w:rsidRPr="00A85BE8">
        <w:rPr>
          <w:rFonts w:cs="Times New Roman"/>
          <w:szCs w:val="22"/>
          <w:lang w:val="en-GB"/>
        </w:rPr>
        <w:t xml:space="preserve"> [last accessed: 21.8.2022]</w:t>
      </w:r>
    </w:p>
    <w:p w14:paraId="3480084C"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Clark, V. (2010), Yemen: Dancing on the Heads of Snakes (Hampshire: Yale University Press)</w:t>
      </w:r>
    </w:p>
    <w:p w14:paraId="2ECB2B98" w14:textId="77777777" w:rsidR="009B6F91" w:rsidRPr="000B6063" w:rsidRDefault="009B6F91" w:rsidP="009B6F91">
      <w:pPr>
        <w:spacing w:after="60"/>
        <w:ind w:left="709" w:hanging="709"/>
        <w:rPr>
          <w:rFonts w:cs="Times New Roman"/>
          <w:szCs w:val="22"/>
          <w:lang w:val="en-GB"/>
        </w:rPr>
      </w:pPr>
      <w:r w:rsidRPr="000B6063">
        <w:rPr>
          <w:rFonts w:cs="Times New Roman"/>
          <w:szCs w:val="22"/>
          <w:lang w:val="en-GB"/>
        </w:rPr>
        <w:t>Dresch, P. (2000), A History of Modern Yemen (Cambridge, Cambridge University Press)</w:t>
      </w:r>
    </w:p>
    <w:p w14:paraId="5012E514" w14:textId="7A320823" w:rsidR="000B6063" w:rsidRPr="000B6063" w:rsidRDefault="000B6063" w:rsidP="009B6F91">
      <w:pPr>
        <w:pStyle w:val="NormalWeb"/>
        <w:spacing w:before="0" w:beforeAutospacing="0" w:after="60" w:afterAutospacing="0"/>
        <w:ind w:left="709" w:hanging="709"/>
        <w:rPr>
          <w:sz w:val="22"/>
          <w:szCs w:val="22"/>
          <w:lang w:val="en-US"/>
        </w:rPr>
      </w:pPr>
      <w:r w:rsidRPr="000B6063">
        <w:rPr>
          <w:sz w:val="22"/>
          <w:szCs w:val="22"/>
          <w:lang w:val="fr-CH"/>
        </w:rPr>
        <w:t xml:space="preserve">GADM (2019). </w:t>
      </w:r>
      <w:r w:rsidRPr="000B6063">
        <w:rPr>
          <w:i/>
          <w:iCs/>
          <w:sz w:val="22"/>
          <w:szCs w:val="22"/>
          <w:lang w:val="en-US"/>
        </w:rPr>
        <w:t>Database of Global Administrative Boundaries, Version 3.6.</w:t>
      </w:r>
      <w:r w:rsidRPr="000B6063">
        <w:rPr>
          <w:sz w:val="22"/>
          <w:szCs w:val="22"/>
          <w:lang w:val="en-US"/>
        </w:rPr>
        <w:t xml:space="preserve"> </w:t>
      </w:r>
      <w:r w:rsidR="00000000">
        <w:fldChar w:fldCharType="begin"/>
      </w:r>
      <w:r w:rsidR="00000000" w:rsidRPr="001D585C">
        <w:rPr>
          <w:lang w:val="en-US"/>
        </w:rPr>
        <w:instrText>HYPERLINK "https://gadm.org/"</w:instrText>
      </w:r>
      <w:r w:rsidR="00000000">
        <w:fldChar w:fldCharType="separate"/>
      </w:r>
      <w:r w:rsidRPr="000B6063">
        <w:rPr>
          <w:rStyle w:val="Hyperlink"/>
          <w:sz w:val="22"/>
          <w:szCs w:val="22"/>
          <w:lang w:val="en-US"/>
        </w:rPr>
        <w:t>https://gadm.org/</w:t>
      </w:r>
      <w:r w:rsidR="00000000">
        <w:rPr>
          <w:rStyle w:val="Hyperlink"/>
          <w:sz w:val="22"/>
          <w:szCs w:val="22"/>
          <w:lang w:val="en-US"/>
        </w:rPr>
        <w:fldChar w:fldCharType="end"/>
      </w:r>
      <w:r w:rsidRPr="000B6063">
        <w:rPr>
          <w:sz w:val="22"/>
          <w:szCs w:val="22"/>
          <w:lang w:val="en-US"/>
        </w:rPr>
        <w:t xml:space="preserve"> [November 19, 2021].</w:t>
      </w:r>
    </w:p>
    <w:p w14:paraId="435433D8" w14:textId="170C5B2F" w:rsidR="009B6F91" w:rsidRPr="00A85BE8" w:rsidRDefault="009B6F91" w:rsidP="009B6F91">
      <w:pPr>
        <w:pStyle w:val="NormalWeb"/>
        <w:spacing w:before="0" w:beforeAutospacing="0" w:after="60" w:afterAutospacing="0"/>
        <w:ind w:left="709" w:hanging="709"/>
        <w:rPr>
          <w:color w:val="000000"/>
          <w:sz w:val="22"/>
          <w:szCs w:val="22"/>
          <w:lang w:val="en-US"/>
        </w:rPr>
      </w:pPr>
      <w:r w:rsidRPr="00A85BE8">
        <w:rPr>
          <w:sz w:val="22"/>
          <w:szCs w:val="22"/>
          <w:lang w:val="en-US"/>
        </w:rPr>
        <w:t xml:space="preserve">Hewitt, Christopher, and Tom Cheetham (2000). </w:t>
      </w:r>
      <w:r w:rsidRPr="00A85BE8">
        <w:rPr>
          <w:i/>
          <w:sz w:val="22"/>
          <w:szCs w:val="22"/>
          <w:lang w:val="en-US"/>
        </w:rPr>
        <w:t>Encyclopedia of Modern Separatist Movements.</w:t>
      </w:r>
      <w:r w:rsidRPr="00A85BE8">
        <w:rPr>
          <w:sz w:val="22"/>
          <w:szCs w:val="22"/>
          <w:lang w:val="en-US"/>
        </w:rPr>
        <w:t xml:space="preserve"> Santa Barbara, CA: ABC-CLIO, pp. 324-325.</w:t>
      </w:r>
    </w:p>
    <w:p w14:paraId="1055C634"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Hill, G. (2017), Yemen Endures (London: C. Hurst &amp; Co. (Publishers) Ltd.)</w:t>
      </w:r>
    </w:p>
    <w:p w14:paraId="45A17F79" w14:textId="77777777" w:rsidR="009B6F91" w:rsidRDefault="009B6F91" w:rsidP="009B6F91">
      <w:pPr>
        <w:spacing w:after="60"/>
        <w:ind w:left="709" w:hanging="709"/>
      </w:pPr>
      <w:r>
        <w:lastRenderedPageBreak/>
        <w:t xml:space="preserve">Horton, M. (2010). “The Growing Separatist Threat in Yemen’s Hadramawt Governorate.” </w:t>
      </w:r>
      <w:r w:rsidRPr="00A059ED">
        <w:rPr>
          <w:i/>
          <w:iCs/>
        </w:rPr>
        <w:t>Terrorism Monitor</w:t>
      </w:r>
      <w:r>
        <w:t xml:space="preserve"> 8:40.</w:t>
      </w:r>
    </w:p>
    <w:p w14:paraId="5FA422D7"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Horton, Michael. (2010) ‘The Growing Separatist Threat in Yemen’s Hadramawt Governorate’ </w:t>
      </w:r>
      <w:r w:rsidRPr="00A85BE8">
        <w:rPr>
          <w:rFonts w:cs="Times New Roman"/>
          <w:i/>
          <w:szCs w:val="22"/>
          <w:lang w:val="en-GB"/>
        </w:rPr>
        <w:t xml:space="preserve">Terrorism Monitor </w:t>
      </w:r>
      <w:r w:rsidRPr="00A85BE8">
        <w:rPr>
          <w:rFonts w:cs="Times New Roman"/>
          <w:szCs w:val="22"/>
          <w:lang w:val="en-GB"/>
        </w:rPr>
        <w:t xml:space="preserve">8:40 </w:t>
      </w:r>
    </w:p>
    <w:p w14:paraId="36D982CC" w14:textId="77777777" w:rsidR="009B6F91" w:rsidRPr="00A85BE8" w:rsidRDefault="009B6F91" w:rsidP="009B6F91">
      <w:pPr>
        <w:tabs>
          <w:tab w:val="left" w:pos="930"/>
        </w:tabs>
        <w:spacing w:after="60"/>
        <w:ind w:left="709" w:hanging="709"/>
        <w:rPr>
          <w:rFonts w:cs="Times New Roman"/>
          <w:szCs w:val="22"/>
          <w:lang w:val="en-GB"/>
        </w:rPr>
      </w:pPr>
      <w:r w:rsidRPr="00A85BE8">
        <w:rPr>
          <w:rFonts w:cs="Times New Roman"/>
          <w:szCs w:val="22"/>
          <w:lang w:val="en-GB"/>
        </w:rPr>
        <w:t xml:space="preserve">Jalal, Ibrahim (2021). ‘The Riyadh Agreement: Yemen’s New Cabinet and What Remains To Be Done’ </w:t>
      </w:r>
      <w:r w:rsidRPr="00A85BE8">
        <w:rPr>
          <w:rFonts w:cs="Times New Roman"/>
          <w:i/>
          <w:szCs w:val="22"/>
          <w:lang w:val="en-GB"/>
        </w:rPr>
        <w:t>Middle East Institute</w:t>
      </w:r>
      <w:r w:rsidRPr="00A85BE8">
        <w:rPr>
          <w:rFonts w:cs="Times New Roman"/>
          <w:szCs w:val="22"/>
          <w:lang w:val="en-GB"/>
        </w:rPr>
        <w:t xml:space="preserve"> [online], available from: </w:t>
      </w:r>
      <w:hyperlink r:id="rId13" w:history="1">
        <w:r w:rsidRPr="00A85BE8">
          <w:rPr>
            <w:rStyle w:val="Hyperlink"/>
            <w:rFonts w:cs="Times New Roman"/>
            <w:szCs w:val="22"/>
            <w:lang w:val="en-GB"/>
          </w:rPr>
          <w:t>https://www.mei.edu/publications/riyadh-agreement-yemens-new-cabinet-and-what-remains-be-done</w:t>
        </w:r>
      </w:hyperlink>
      <w:r w:rsidRPr="00A85BE8">
        <w:rPr>
          <w:rFonts w:cs="Times New Roman"/>
          <w:szCs w:val="22"/>
          <w:lang w:val="en-GB"/>
        </w:rPr>
        <w:t xml:space="preserve"> [last accessed: 21.8.2022]</w:t>
      </w:r>
    </w:p>
    <w:p w14:paraId="517BAD24" w14:textId="77777777" w:rsidR="009B6F91" w:rsidRPr="00A85BE8" w:rsidRDefault="009B6F91" w:rsidP="009B6F91">
      <w:pPr>
        <w:spacing w:after="60"/>
        <w:ind w:left="709" w:hanging="709"/>
        <w:rPr>
          <w:rFonts w:cs="Times New Roman"/>
          <w:szCs w:val="22"/>
          <w:lang w:val="en-GB"/>
        </w:rPr>
      </w:pPr>
      <w:proofErr w:type="spellStart"/>
      <w:r w:rsidRPr="00A85BE8">
        <w:rPr>
          <w:rFonts w:cs="Times New Roman"/>
          <w:szCs w:val="22"/>
          <w:lang w:val="en-GB"/>
        </w:rPr>
        <w:t>Mermier</w:t>
      </w:r>
      <w:proofErr w:type="spellEnd"/>
      <w:r w:rsidRPr="00A85BE8">
        <w:rPr>
          <w:rFonts w:cs="Times New Roman"/>
          <w:szCs w:val="22"/>
          <w:lang w:val="en-GB"/>
        </w:rPr>
        <w:t xml:space="preserve">, Franck (2018). ‘Yemen’s Southern Secessionists Divided by Regional identities’ </w:t>
      </w:r>
      <w:r w:rsidRPr="00A85BE8">
        <w:rPr>
          <w:rFonts w:cs="Times New Roman"/>
          <w:i/>
          <w:szCs w:val="22"/>
          <w:lang w:val="en-GB"/>
        </w:rPr>
        <w:t xml:space="preserve">ISPI </w:t>
      </w:r>
      <w:r w:rsidRPr="00A85BE8">
        <w:rPr>
          <w:rFonts w:cs="Times New Roman"/>
          <w:szCs w:val="22"/>
          <w:lang w:val="en-GB"/>
        </w:rPr>
        <w:t xml:space="preserve">[online], available from: </w:t>
      </w:r>
      <w:hyperlink r:id="rId14" w:history="1">
        <w:r w:rsidRPr="00A85BE8">
          <w:rPr>
            <w:rStyle w:val="Hyperlink"/>
            <w:rFonts w:cs="Times New Roman"/>
            <w:szCs w:val="22"/>
            <w:lang w:val="en-GB"/>
          </w:rPr>
          <w:t>https://www.ispionline.it/en/pubblicazione/yemens-southern-secessionists-divided-regional-identities-19930</w:t>
        </w:r>
      </w:hyperlink>
      <w:r w:rsidRPr="00A85BE8">
        <w:rPr>
          <w:rFonts w:cs="Times New Roman"/>
          <w:color w:val="000000"/>
          <w:szCs w:val="22"/>
          <w:lang w:val="en-GB"/>
        </w:rPr>
        <w:t xml:space="preserve"> [last accessed: 21.8.2022]</w:t>
      </w:r>
    </w:p>
    <w:p w14:paraId="10AE208A" w14:textId="77777777" w:rsidR="009B6F91" w:rsidRPr="00A85BE8" w:rsidRDefault="009B6F91" w:rsidP="009B6F91">
      <w:pPr>
        <w:pStyle w:val="NormalWeb"/>
        <w:spacing w:before="0" w:beforeAutospacing="0" w:after="60" w:afterAutospacing="0"/>
        <w:ind w:left="709" w:hanging="709"/>
        <w:rPr>
          <w:sz w:val="22"/>
          <w:szCs w:val="22"/>
          <w:lang w:val="en-US"/>
        </w:rPr>
      </w:pPr>
      <w:r w:rsidRPr="00A85BE8">
        <w:rPr>
          <w:sz w:val="22"/>
          <w:szCs w:val="22"/>
          <w:lang w:val="en-US"/>
        </w:rPr>
        <w:t xml:space="preserve">Minahan, James (1996). </w:t>
      </w:r>
      <w:r w:rsidRPr="00A85BE8">
        <w:rPr>
          <w:i/>
          <w:sz w:val="22"/>
          <w:szCs w:val="22"/>
          <w:lang w:val="en-US"/>
        </w:rPr>
        <w:t xml:space="preserve">Nations without States: A Historical Dictionary of Contemporary National Movements. </w:t>
      </w:r>
      <w:r w:rsidRPr="00A85BE8">
        <w:rPr>
          <w:sz w:val="22"/>
          <w:szCs w:val="22"/>
          <w:lang w:val="en-US"/>
        </w:rPr>
        <w:t>London: Greenwood Press, pp. 542-544.</w:t>
      </w:r>
    </w:p>
    <w:p w14:paraId="0322F52D" w14:textId="77777777" w:rsidR="009B6F91" w:rsidRDefault="009B6F91" w:rsidP="009B6F91">
      <w:pPr>
        <w:spacing w:after="60"/>
        <w:ind w:left="709" w:hanging="709"/>
        <w:rPr>
          <w:rFonts w:eastAsia="Times"/>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6F2464CF"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Petersson, Therese, Shawn Davis, Amber Deniz, </w:t>
      </w:r>
      <w:proofErr w:type="spellStart"/>
      <w:r w:rsidRPr="00A85BE8">
        <w:rPr>
          <w:rFonts w:cs="Times New Roman"/>
          <w:szCs w:val="22"/>
          <w:lang w:val="en-GB"/>
        </w:rPr>
        <w:t>Garoun</w:t>
      </w:r>
      <w:proofErr w:type="spellEnd"/>
      <w:r w:rsidRPr="00A85BE8">
        <w:rPr>
          <w:rFonts w:cs="Times New Roman"/>
          <w:szCs w:val="22"/>
          <w:lang w:val="en-GB"/>
        </w:rPr>
        <w:t xml:space="preserve"> Engström, Nanar </w:t>
      </w:r>
      <w:proofErr w:type="spellStart"/>
      <w:r w:rsidRPr="00A85BE8">
        <w:rPr>
          <w:rFonts w:cs="Times New Roman"/>
          <w:szCs w:val="22"/>
          <w:lang w:val="en-GB"/>
        </w:rPr>
        <w:t>Hawach</w:t>
      </w:r>
      <w:proofErr w:type="spellEnd"/>
      <w:r w:rsidRPr="00A85BE8">
        <w:rPr>
          <w:rFonts w:cs="Times New Roman"/>
          <w:szCs w:val="22"/>
          <w:lang w:val="en-GB"/>
        </w:rPr>
        <w:t xml:space="preserve">, Stina </w:t>
      </w:r>
      <w:proofErr w:type="spellStart"/>
      <w:r w:rsidRPr="00A85BE8">
        <w:rPr>
          <w:rFonts w:cs="Times New Roman"/>
          <w:szCs w:val="22"/>
          <w:lang w:val="en-GB"/>
        </w:rPr>
        <w:t>Högbladh</w:t>
      </w:r>
      <w:proofErr w:type="spellEnd"/>
      <w:r w:rsidRPr="00A85BE8">
        <w:rPr>
          <w:rFonts w:cs="Times New Roman"/>
          <w:szCs w:val="22"/>
          <w:lang w:val="en-GB"/>
        </w:rPr>
        <w:t xml:space="preserve">, Margareta </w:t>
      </w:r>
      <w:proofErr w:type="spellStart"/>
      <w:r w:rsidRPr="00A85BE8">
        <w:rPr>
          <w:rFonts w:cs="Times New Roman"/>
          <w:szCs w:val="22"/>
          <w:lang w:val="en-GB"/>
        </w:rPr>
        <w:t>Sollenberg</w:t>
      </w:r>
      <w:proofErr w:type="spellEnd"/>
      <w:r w:rsidRPr="00A85BE8">
        <w:rPr>
          <w:rFonts w:cs="Times New Roman"/>
          <w:szCs w:val="22"/>
          <w:lang w:val="en-GB"/>
        </w:rPr>
        <w:t xml:space="preserve">, and Magnus Öberg (2021). “Organized Violence 1989-2020, with a Special Emphasis on Syria.” </w:t>
      </w:r>
      <w:r w:rsidRPr="00A85BE8">
        <w:rPr>
          <w:rFonts w:cs="Times New Roman"/>
          <w:i/>
          <w:iCs/>
          <w:szCs w:val="22"/>
          <w:lang w:val="en-GB"/>
        </w:rPr>
        <w:t>Journal of Peace Research</w:t>
      </w:r>
      <w:r w:rsidRPr="00A85BE8">
        <w:rPr>
          <w:rFonts w:cs="Times New Roman"/>
          <w:szCs w:val="22"/>
          <w:lang w:val="en-GB"/>
        </w:rPr>
        <w:t xml:space="preserve"> 58(4): 809-825</w:t>
      </w:r>
    </w:p>
    <w:p w14:paraId="623C5282" w14:textId="77777777" w:rsidR="009B6F91" w:rsidRPr="00A85BE8" w:rsidRDefault="009B6F91" w:rsidP="009B6F91">
      <w:pPr>
        <w:pStyle w:val="NormalWeb"/>
        <w:spacing w:before="0" w:beforeAutospacing="0" w:after="60" w:afterAutospacing="0"/>
        <w:ind w:left="709" w:hanging="709"/>
        <w:rPr>
          <w:sz w:val="22"/>
          <w:szCs w:val="22"/>
          <w:lang w:val="en-US"/>
        </w:rPr>
      </w:pPr>
      <w:r w:rsidRPr="00A85BE8">
        <w:rPr>
          <w:sz w:val="22"/>
          <w:szCs w:val="22"/>
          <w:lang w:val="en-US"/>
        </w:rPr>
        <w:t xml:space="preserve">Roth, Christopher F. (2015). </w:t>
      </w:r>
      <w:r w:rsidRPr="00A85BE8">
        <w:rPr>
          <w:i/>
          <w:iCs/>
          <w:sz w:val="22"/>
          <w:szCs w:val="22"/>
          <w:lang w:val="en-US"/>
        </w:rPr>
        <w:t>Let's Split! A Complete Guide to Separatist Movements and Aspirant Nations, from Abkhazia to Zanzibar.</w:t>
      </w:r>
      <w:r w:rsidRPr="00A85BE8">
        <w:rPr>
          <w:sz w:val="22"/>
          <w:szCs w:val="22"/>
          <w:lang w:val="en-US"/>
        </w:rPr>
        <w:t xml:space="preserve"> Sacramento, CA: Litwin Books.</w:t>
      </w:r>
    </w:p>
    <w:p w14:paraId="3F3638FE"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Salisbury, Peter (2018). ‘Yemen’s Southern Powder Keg’. </w:t>
      </w:r>
      <w:r w:rsidRPr="00A85BE8">
        <w:rPr>
          <w:rFonts w:cs="Times New Roman"/>
          <w:i/>
          <w:szCs w:val="22"/>
          <w:lang w:val="en-GB"/>
        </w:rPr>
        <w:t xml:space="preserve">Chatham House </w:t>
      </w:r>
      <w:r w:rsidRPr="00A85BE8">
        <w:rPr>
          <w:rFonts w:cs="Times New Roman"/>
          <w:szCs w:val="22"/>
          <w:lang w:val="en-GB"/>
        </w:rPr>
        <w:t xml:space="preserve">[online], available from: </w:t>
      </w:r>
      <w:hyperlink r:id="rId15" w:history="1">
        <w:r w:rsidRPr="00A85BE8">
          <w:rPr>
            <w:rStyle w:val="Hyperlink"/>
            <w:rFonts w:cs="Times New Roman"/>
            <w:szCs w:val="22"/>
            <w:lang w:val="en-GB"/>
          </w:rPr>
          <w:t>https://www.chathamhouse.org/sites/default/files/publications/research/2018-03-27-yemen-southern-powder-keg-salisbury-final.pdf</w:t>
        </w:r>
      </w:hyperlink>
      <w:r w:rsidRPr="00A85BE8">
        <w:rPr>
          <w:rFonts w:cs="Times New Roman"/>
          <w:color w:val="000000"/>
          <w:szCs w:val="22"/>
          <w:lang w:val="en-GB"/>
        </w:rPr>
        <w:t xml:space="preserve"> [last accessed: 21.8.2022]</w:t>
      </w:r>
    </w:p>
    <w:p w14:paraId="1E35341A" w14:textId="77777777" w:rsidR="009B6F91" w:rsidRPr="00A85BE8" w:rsidRDefault="009B6F91" w:rsidP="009B6F91">
      <w:pPr>
        <w:spacing w:after="60"/>
        <w:ind w:left="709" w:hanging="709"/>
        <w:rPr>
          <w:rFonts w:cs="Times New Roman"/>
          <w:szCs w:val="22"/>
          <w:lang w:val="en-GB"/>
        </w:rPr>
      </w:pPr>
      <w:r w:rsidRPr="008E5D73">
        <w:rPr>
          <w:rFonts w:cs="Times New Roman"/>
          <w:szCs w:val="22"/>
          <w:lang w:val="de-DE"/>
        </w:rPr>
        <w:t xml:space="preserve">Sambanis, Nicholas, &amp; </w:t>
      </w:r>
      <w:proofErr w:type="spellStart"/>
      <w:r w:rsidRPr="008E5D73">
        <w:rPr>
          <w:rFonts w:cs="Times New Roman"/>
          <w:szCs w:val="22"/>
          <w:lang w:val="de-DE"/>
        </w:rPr>
        <w:t>Schulhofer</w:t>
      </w:r>
      <w:proofErr w:type="spellEnd"/>
      <w:r w:rsidRPr="008E5D73">
        <w:rPr>
          <w:rFonts w:cs="Times New Roman"/>
          <w:szCs w:val="22"/>
          <w:lang w:val="de-DE"/>
        </w:rPr>
        <w:t xml:space="preserve">-Wohl, Jonas (2019). </w:t>
      </w:r>
      <w:r w:rsidRPr="00A85BE8">
        <w:rPr>
          <w:rFonts w:cs="Times New Roman"/>
          <w:szCs w:val="22"/>
          <w:lang w:val="en-GB"/>
        </w:rPr>
        <w:t xml:space="preserve">“Sovereignty Rupture as a Central Concept in Quantitative Measures of Civil War.” </w:t>
      </w:r>
      <w:r w:rsidRPr="00A85BE8">
        <w:rPr>
          <w:rFonts w:cs="Times New Roman"/>
          <w:i/>
          <w:iCs/>
          <w:szCs w:val="22"/>
          <w:lang w:val="en-GB"/>
        </w:rPr>
        <w:t>Journal of Conflict Resolution</w:t>
      </w:r>
      <w:r w:rsidRPr="00A85BE8">
        <w:rPr>
          <w:rFonts w:cs="Times New Roman"/>
          <w:szCs w:val="22"/>
          <w:lang w:val="en-GB"/>
        </w:rPr>
        <w:t xml:space="preserve"> 63(6): 1542–1578. </w:t>
      </w:r>
    </w:p>
    <w:p w14:paraId="7A1C9C63" w14:textId="77777777" w:rsidR="009B6F91" w:rsidRPr="00A85BE8" w:rsidRDefault="009B6F91" w:rsidP="009B6F91">
      <w:pPr>
        <w:spacing w:after="60"/>
        <w:ind w:left="709" w:hanging="709"/>
        <w:rPr>
          <w:rFonts w:cs="Times New Roman"/>
          <w:szCs w:val="22"/>
          <w:lang w:val="en-GB"/>
        </w:rPr>
      </w:pPr>
      <w:r w:rsidRPr="00A85BE8">
        <w:rPr>
          <w:rFonts w:cs="Times New Roman"/>
          <w:szCs w:val="22"/>
          <w:lang w:val="en-GB"/>
        </w:rPr>
        <w:t xml:space="preserve">Sana’a Centre (2019). ‘Local Visions for Peace in Hadramawt’ </w:t>
      </w:r>
      <w:r w:rsidRPr="00A85BE8">
        <w:rPr>
          <w:rFonts w:cs="Times New Roman"/>
          <w:i/>
          <w:szCs w:val="22"/>
          <w:lang w:val="en-GB"/>
        </w:rPr>
        <w:t xml:space="preserve">Sana’a Centre </w:t>
      </w:r>
      <w:r w:rsidRPr="00A85BE8">
        <w:rPr>
          <w:rFonts w:cs="Times New Roman"/>
          <w:szCs w:val="22"/>
          <w:lang w:val="en-GB"/>
        </w:rPr>
        <w:t xml:space="preserve">[online], available from: </w:t>
      </w:r>
      <w:hyperlink r:id="rId16" w:history="1">
        <w:r w:rsidRPr="00A85BE8">
          <w:rPr>
            <w:rStyle w:val="Hyperlink"/>
            <w:rFonts w:cs="Times New Roman"/>
            <w:szCs w:val="22"/>
            <w:lang w:val="en-GB"/>
          </w:rPr>
          <w:t>https://sanaacenter.org/publications/main-publications/7893</w:t>
        </w:r>
      </w:hyperlink>
      <w:r w:rsidRPr="00A85BE8">
        <w:rPr>
          <w:rFonts w:cs="Times New Roman"/>
          <w:szCs w:val="22"/>
          <w:lang w:val="en-GB"/>
        </w:rPr>
        <w:t xml:space="preserve"> [last accessed: 21.8.2022]</w:t>
      </w:r>
    </w:p>
    <w:p w14:paraId="36A88517" w14:textId="77777777" w:rsidR="009B6F91" w:rsidRPr="00A85BE8" w:rsidRDefault="009B6F91" w:rsidP="009B6F91">
      <w:pPr>
        <w:spacing w:after="60"/>
        <w:ind w:left="709" w:hanging="709"/>
        <w:rPr>
          <w:rFonts w:cs="Times New Roman"/>
          <w:szCs w:val="22"/>
          <w:lang w:val="en-GB"/>
        </w:rPr>
      </w:pPr>
      <w:r w:rsidRPr="008E5D73">
        <w:rPr>
          <w:rFonts w:cs="Times New Roman"/>
          <w:szCs w:val="22"/>
          <w:lang w:val="en-GB"/>
        </w:rPr>
        <w:t xml:space="preserve">Zimmerman, Katherine et al. </w:t>
      </w:r>
      <w:r w:rsidRPr="00A85BE8">
        <w:rPr>
          <w:rFonts w:cs="Times New Roman"/>
          <w:szCs w:val="22"/>
          <w:lang w:val="en-GB"/>
        </w:rPr>
        <w:t xml:space="preserve">(2015) ‘A New Model for Defeating al Qaeda in Yemen’ </w:t>
      </w:r>
      <w:r w:rsidRPr="00A85BE8">
        <w:rPr>
          <w:rFonts w:cs="Times New Roman"/>
          <w:i/>
          <w:szCs w:val="22"/>
          <w:lang w:val="en-GB"/>
        </w:rPr>
        <w:t xml:space="preserve">American Enterprise Institute </w:t>
      </w:r>
    </w:p>
    <w:p w14:paraId="7A38AA5B" w14:textId="77777777" w:rsidR="008E5D73" w:rsidRPr="008E5D73" w:rsidRDefault="008E5D73" w:rsidP="00A059ED">
      <w:pPr>
        <w:spacing w:after="60"/>
        <w:ind w:left="709" w:hanging="709"/>
        <w:rPr>
          <w:rFonts w:eastAsia="Times"/>
          <w:iCs/>
          <w:szCs w:val="22"/>
          <w:lang w:val="en-GB"/>
        </w:rPr>
      </w:pPr>
    </w:p>
    <w:p w14:paraId="4B7814B3" w14:textId="2352280F" w:rsidR="00A059ED" w:rsidRDefault="00A059ED">
      <w:pPr>
        <w:spacing w:after="200" w:line="276" w:lineRule="auto"/>
        <w:rPr>
          <w:rFonts w:eastAsiaTheme="majorEastAsia" w:cstheme="majorBidi"/>
          <w:b/>
          <w:bCs/>
          <w:szCs w:val="26"/>
          <w:u w:val="single"/>
        </w:rPr>
      </w:pPr>
      <w:r>
        <w:br w:type="page"/>
      </w:r>
    </w:p>
    <w:p w14:paraId="4E6D7F0F" w14:textId="57EED60B" w:rsidR="00550BD7" w:rsidRDefault="002157C2" w:rsidP="00550BD7">
      <w:pPr>
        <w:pStyle w:val="Heading2"/>
      </w:pPr>
      <w:proofErr w:type="spellStart"/>
      <w:r>
        <w:lastRenderedPageBreak/>
        <w:t>Mahras</w:t>
      </w:r>
      <w:proofErr w:type="spellEnd"/>
    </w:p>
    <w:p w14:paraId="59B04E92" w14:textId="77777777" w:rsidR="00550BD7" w:rsidRDefault="00550BD7" w:rsidP="00550BD7"/>
    <w:p w14:paraId="5BC314FF" w14:textId="720E4DE4" w:rsidR="00550BD7" w:rsidRPr="00F83BF0" w:rsidRDefault="00550BD7" w:rsidP="00550BD7">
      <w:pPr>
        <w:rPr>
          <w:rFonts w:cs="Times New Roman"/>
        </w:rPr>
      </w:pPr>
      <w:r>
        <w:rPr>
          <w:rFonts w:cs="Times New Roman"/>
        </w:rPr>
        <w:t>Activity: 201</w:t>
      </w:r>
      <w:r w:rsidR="00125EC1">
        <w:rPr>
          <w:rFonts w:cs="Times New Roman"/>
        </w:rPr>
        <w:t>2</w:t>
      </w:r>
      <w:r>
        <w:rPr>
          <w:rFonts w:cs="Times New Roman"/>
        </w:rPr>
        <w:t>-2020</w:t>
      </w:r>
    </w:p>
    <w:p w14:paraId="6609724C" w14:textId="77777777" w:rsidR="00550BD7" w:rsidRPr="00E62790" w:rsidRDefault="00550BD7" w:rsidP="00550BD7">
      <w:pPr>
        <w:rPr>
          <w:rFonts w:cs="Times New Roman"/>
        </w:rPr>
      </w:pPr>
    </w:p>
    <w:p w14:paraId="1372AA86" w14:textId="77777777" w:rsidR="00550BD7" w:rsidRDefault="00550BD7" w:rsidP="00550BD7">
      <w:pPr>
        <w:rPr>
          <w:rFonts w:cs="Times New Roman"/>
          <w:b/>
          <w:szCs w:val="22"/>
        </w:rPr>
      </w:pPr>
    </w:p>
    <w:p w14:paraId="31049326" w14:textId="77777777" w:rsidR="00550BD7" w:rsidRDefault="00550BD7" w:rsidP="00550BD7">
      <w:pPr>
        <w:rPr>
          <w:rFonts w:cs="Times New Roman"/>
          <w:b/>
          <w:szCs w:val="22"/>
        </w:rPr>
      </w:pPr>
      <w:r w:rsidRPr="00FA0C2A">
        <w:rPr>
          <w:rFonts w:cs="Times New Roman"/>
          <w:b/>
          <w:szCs w:val="22"/>
        </w:rPr>
        <w:t>General note</w:t>
      </w:r>
      <w:r>
        <w:rPr>
          <w:rFonts w:cs="Times New Roman"/>
          <w:b/>
          <w:szCs w:val="22"/>
        </w:rPr>
        <w:t>s</w:t>
      </w:r>
      <w:r w:rsidRPr="00FA0C2A">
        <w:rPr>
          <w:rFonts w:cs="Times New Roman"/>
          <w:b/>
          <w:szCs w:val="22"/>
        </w:rPr>
        <w:t xml:space="preserve"> </w:t>
      </w:r>
    </w:p>
    <w:p w14:paraId="178DE2B0" w14:textId="77777777" w:rsidR="00550BD7" w:rsidRPr="006F657B" w:rsidRDefault="00550BD7" w:rsidP="00550BD7">
      <w:pPr>
        <w:rPr>
          <w:rFonts w:cs="Times New Roman"/>
          <w:bCs/>
          <w:szCs w:val="22"/>
        </w:rPr>
      </w:pPr>
    </w:p>
    <w:p w14:paraId="2037FE49" w14:textId="74A05F88" w:rsidR="00A14B7E" w:rsidRDefault="00A14B7E" w:rsidP="00A14B7E">
      <w:pPr>
        <w:pStyle w:val="ListParagraph"/>
        <w:numPr>
          <w:ilvl w:val="0"/>
          <w:numId w:val="14"/>
        </w:numPr>
        <w:rPr>
          <w:rFonts w:cs="Times New Roman"/>
          <w:szCs w:val="22"/>
        </w:rPr>
      </w:pPr>
      <w:r>
        <w:rPr>
          <w:rFonts w:cs="Times New Roman"/>
          <w:szCs w:val="22"/>
        </w:rPr>
        <w:t xml:space="preserve">Mahra’s location is ‘geo-strategically important, with borders to Oman and Saudi Arabia and a maritime border to Somalia’ (Kendall, 2018:71). According to Kendall (2018:73), Mahra has ‘its own culture and identity that is distinct from South Yemen’ while ‘its entanglement with Yemen represents fewer than </w:t>
      </w:r>
      <w:r w:rsidRPr="00187E12">
        <w:rPr>
          <w:rFonts w:cs="Times New Roman"/>
          <w:szCs w:val="22"/>
        </w:rPr>
        <w:t>50 years</w:t>
      </w:r>
      <w:r>
        <w:rPr>
          <w:rFonts w:cs="Times New Roman"/>
          <w:szCs w:val="22"/>
        </w:rPr>
        <w:t xml:space="preserve"> in a history stretching back over half a millennium during which Mahra operated as its own sultanate’. Mahra has retained its own distinctive, unwritten language, Mehri, which contributes to the ‘strong sense of Mahri identity’ (Kendall, 2018:73; see also: Al-</w:t>
      </w:r>
      <w:proofErr w:type="spellStart"/>
      <w:r>
        <w:rPr>
          <w:rFonts w:cs="Times New Roman"/>
          <w:szCs w:val="22"/>
        </w:rPr>
        <w:t>Sewari</w:t>
      </w:r>
      <w:proofErr w:type="spellEnd"/>
      <w:r>
        <w:rPr>
          <w:rFonts w:cs="Times New Roman"/>
          <w:szCs w:val="22"/>
        </w:rPr>
        <w:t>, 2019). Mahra is Yemen’s second-largest governorate and the easternmost region in the country (Al-</w:t>
      </w:r>
      <w:proofErr w:type="spellStart"/>
      <w:r>
        <w:rPr>
          <w:rFonts w:cs="Times New Roman"/>
          <w:szCs w:val="22"/>
        </w:rPr>
        <w:t>Sewari</w:t>
      </w:r>
      <w:proofErr w:type="spellEnd"/>
      <w:r>
        <w:rPr>
          <w:rFonts w:cs="Times New Roman"/>
          <w:szCs w:val="22"/>
        </w:rPr>
        <w:t xml:space="preserve">, 2019). The governorate covers 67,000 square </w:t>
      </w:r>
      <w:proofErr w:type="spellStart"/>
      <w:r>
        <w:rPr>
          <w:rFonts w:cs="Times New Roman"/>
          <w:szCs w:val="22"/>
        </w:rPr>
        <w:t>kilometres</w:t>
      </w:r>
      <w:proofErr w:type="spellEnd"/>
      <w:r>
        <w:rPr>
          <w:rFonts w:cs="Times New Roman"/>
          <w:szCs w:val="22"/>
        </w:rPr>
        <w:t xml:space="preserve"> and is divided into nine districts. Its capital is the city of al-</w:t>
      </w:r>
      <w:proofErr w:type="spellStart"/>
      <w:r>
        <w:rPr>
          <w:rFonts w:cs="Times New Roman"/>
          <w:szCs w:val="22"/>
        </w:rPr>
        <w:t>Ghaydah</w:t>
      </w:r>
      <w:proofErr w:type="spellEnd"/>
      <w:r>
        <w:rPr>
          <w:rFonts w:cs="Times New Roman"/>
          <w:szCs w:val="22"/>
        </w:rPr>
        <w:t xml:space="preserve"> (Al-</w:t>
      </w:r>
      <w:proofErr w:type="spellStart"/>
      <w:r>
        <w:rPr>
          <w:rFonts w:cs="Times New Roman"/>
          <w:szCs w:val="22"/>
        </w:rPr>
        <w:t>Sewari</w:t>
      </w:r>
      <w:proofErr w:type="spellEnd"/>
      <w:r>
        <w:rPr>
          <w:rFonts w:cs="Times New Roman"/>
          <w:szCs w:val="22"/>
        </w:rPr>
        <w:t>, 2019). The UN Office for the Coordination of Humanitarian Affairs estimated in 2017 that the governorate has 150,000 residents but academic estimates have claimed that the figure is closer to 350,000 while the governor of Mahra has claimed that the population, including internally displaced persons (IDPs), is 650,000 (Al-</w:t>
      </w:r>
      <w:proofErr w:type="spellStart"/>
      <w:r>
        <w:rPr>
          <w:rFonts w:cs="Times New Roman"/>
          <w:szCs w:val="22"/>
        </w:rPr>
        <w:t>Sewari</w:t>
      </w:r>
      <w:proofErr w:type="spellEnd"/>
      <w:r>
        <w:rPr>
          <w:rFonts w:cs="Times New Roman"/>
          <w:szCs w:val="22"/>
        </w:rPr>
        <w:t>, 2019; see also: Nagi, 2020).</w:t>
      </w:r>
    </w:p>
    <w:p w14:paraId="57BE6C4E" w14:textId="77777777" w:rsidR="00FD2BFE" w:rsidRPr="006F657B" w:rsidRDefault="00FD2BFE" w:rsidP="00550BD7">
      <w:pPr>
        <w:rPr>
          <w:rFonts w:cs="Times New Roman"/>
          <w:bCs/>
          <w:szCs w:val="22"/>
        </w:rPr>
      </w:pPr>
    </w:p>
    <w:p w14:paraId="2D0425A3" w14:textId="77777777" w:rsidR="00550BD7" w:rsidRPr="006F657B" w:rsidRDefault="00550BD7" w:rsidP="00550BD7">
      <w:pPr>
        <w:rPr>
          <w:rFonts w:cs="Times New Roman"/>
          <w:bCs/>
          <w:szCs w:val="22"/>
        </w:rPr>
      </w:pPr>
    </w:p>
    <w:p w14:paraId="132498D0" w14:textId="77777777" w:rsidR="00550BD7" w:rsidRDefault="00550BD7" w:rsidP="00550BD7">
      <w:pPr>
        <w:rPr>
          <w:rFonts w:cs="Times New Roman"/>
          <w:bCs/>
          <w:szCs w:val="22"/>
        </w:rPr>
      </w:pPr>
      <w:r>
        <w:rPr>
          <w:rFonts w:cs="Times New Roman"/>
          <w:b/>
          <w:szCs w:val="22"/>
        </w:rPr>
        <w:t>Movement start and end dates</w:t>
      </w:r>
    </w:p>
    <w:p w14:paraId="7E0718AF" w14:textId="77777777" w:rsidR="00550BD7" w:rsidRPr="006F657B" w:rsidRDefault="00550BD7" w:rsidP="00550BD7">
      <w:pPr>
        <w:rPr>
          <w:rFonts w:cs="Times New Roman"/>
          <w:szCs w:val="22"/>
        </w:rPr>
      </w:pPr>
    </w:p>
    <w:p w14:paraId="2B63A29A" w14:textId="0A1FA31F" w:rsidR="00550BD7" w:rsidRPr="00550BD7" w:rsidRDefault="00550BD7" w:rsidP="009970A2">
      <w:pPr>
        <w:pStyle w:val="ListParagraph"/>
        <w:numPr>
          <w:ilvl w:val="0"/>
          <w:numId w:val="11"/>
        </w:numPr>
        <w:rPr>
          <w:rFonts w:cs="Times New Roman"/>
        </w:rPr>
      </w:pPr>
      <w:r w:rsidRPr="00550BD7">
        <w:rPr>
          <w:rFonts w:cs="Times New Roman"/>
        </w:rPr>
        <w:t xml:space="preserve">Most of the Mahra Sultanate was integrated into South Yemen in 1967 (some parts are also in today’s Oman, specifically the Dhofar region). Minahan (2016: 256) </w:t>
      </w:r>
      <w:r w:rsidR="002157C2">
        <w:rPr>
          <w:rFonts w:cs="Times New Roman"/>
        </w:rPr>
        <w:t xml:space="preserve">reports </w:t>
      </w:r>
      <w:r w:rsidRPr="00550BD7">
        <w:rPr>
          <w:rFonts w:cs="Times New Roman"/>
        </w:rPr>
        <w:t xml:space="preserve">that this integration was against the will of the Mahra sultan, who wanted separate independence. This suggests separatist mobilization, but Yemen </w:t>
      </w:r>
      <w:r w:rsidR="0019784F">
        <w:rPr>
          <w:rFonts w:cs="Times New Roman"/>
        </w:rPr>
        <w:t>was not</w:t>
      </w:r>
      <w:r w:rsidRPr="00550BD7">
        <w:rPr>
          <w:rFonts w:cs="Times New Roman"/>
        </w:rPr>
        <w:t xml:space="preserve"> </w:t>
      </w:r>
      <w:r w:rsidR="002157C2">
        <w:rPr>
          <w:rFonts w:cs="Times New Roman"/>
        </w:rPr>
        <w:t xml:space="preserve">an </w:t>
      </w:r>
      <w:r w:rsidRPr="00550BD7">
        <w:rPr>
          <w:rFonts w:cs="Times New Roman"/>
        </w:rPr>
        <w:t xml:space="preserve">independent </w:t>
      </w:r>
      <w:r w:rsidR="002157C2">
        <w:rPr>
          <w:rFonts w:cs="Times New Roman"/>
        </w:rPr>
        <w:t xml:space="preserve">state </w:t>
      </w:r>
      <w:r w:rsidRPr="00550BD7">
        <w:rPr>
          <w:rFonts w:cs="Times New Roman"/>
        </w:rPr>
        <w:t>at th</w:t>
      </w:r>
      <w:r w:rsidR="002157C2">
        <w:rPr>
          <w:rFonts w:cs="Times New Roman"/>
        </w:rPr>
        <w:t>e</w:t>
      </w:r>
      <w:r w:rsidRPr="00550BD7">
        <w:rPr>
          <w:rFonts w:cs="Times New Roman"/>
        </w:rPr>
        <w:t xml:space="preserve"> time</w:t>
      </w:r>
      <w:r w:rsidR="0019784F">
        <w:rPr>
          <w:rFonts w:cs="Times New Roman"/>
        </w:rPr>
        <w:t>. Therefore,</w:t>
      </w:r>
      <w:r w:rsidRPr="00550BD7">
        <w:rPr>
          <w:rFonts w:cs="Times New Roman"/>
        </w:rPr>
        <w:t xml:space="preserve"> this period is not included.</w:t>
      </w:r>
    </w:p>
    <w:p w14:paraId="49E9BF50" w14:textId="00B43229" w:rsidR="00550BD7" w:rsidRPr="00550BD7" w:rsidRDefault="00550BD7" w:rsidP="00550BD7">
      <w:pPr>
        <w:pStyle w:val="ListParagraph"/>
        <w:numPr>
          <w:ilvl w:val="0"/>
          <w:numId w:val="11"/>
        </w:numPr>
        <w:rPr>
          <w:rFonts w:cs="Times New Roman"/>
        </w:rPr>
      </w:pPr>
      <w:bookmarkStart w:id="0" w:name="_Hlk112169288"/>
      <w:r w:rsidRPr="00550BD7">
        <w:rPr>
          <w:rFonts w:cs="Times New Roman"/>
        </w:rPr>
        <w:t xml:space="preserve">Minahan (2016: 256) </w:t>
      </w:r>
      <w:r w:rsidR="002157C2">
        <w:rPr>
          <w:rFonts w:cs="Times New Roman"/>
        </w:rPr>
        <w:t xml:space="preserve">reports </w:t>
      </w:r>
      <w:r w:rsidRPr="00550BD7">
        <w:rPr>
          <w:rFonts w:cs="Times New Roman"/>
        </w:rPr>
        <w:t>increased separatist sentiment in recent years. He points to an informal 2013 poll, which suggested a lot of support for Mahra</w:t>
      </w:r>
      <w:r w:rsidR="0019784F">
        <w:rPr>
          <w:rFonts w:cs="Times New Roman"/>
        </w:rPr>
        <w:t>n</w:t>
      </w:r>
      <w:r w:rsidRPr="00550BD7">
        <w:rPr>
          <w:rFonts w:cs="Times New Roman"/>
        </w:rPr>
        <w:t xml:space="preserve"> independence</w:t>
      </w:r>
      <w:r w:rsidR="003E667D">
        <w:rPr>
          <w:rFonts w:cs="Times New Roman"/>
        </w:rPr>
        <w:t xml:space="preserve"> (</w:t>
      </w:r>
      <w:r w:rsidR="002157C2">
        <w:rPr>
          <w:rFonts w:cs="Times New Roman"/>
        </w:rPr>
        <w:t>see</w:t>
      </w:r>
      <w:r w:rsidR="003E667D">
        <w:rPr>
          <w:rFonts w:cs="Times New Roman"/>
        </w:rPr>
        <w:t xml:space="preserve"> also:</w:t>
      </w:r>
      <w:r w:rsidR="002157C2">
        <w:rPr>
          <w:rFonts w:cs="Times New Roman"/>
        </w:rPr>
        <w:t xml:space="preserve"> Kendall 2014; </w:t>
      </w:r>
      <w:r w:rsidR="00DB733E">
        <w:rPr>
          <w:rFonts w:cs="Times New Roman"/>
        </w:rPr>
        <w:t>Nagi 2020)</w:t>
      </w:r>
      <w:r w:rsidRPr="00550BD7">
        <w:rPr>
          <w:rFonts w:cs="Times New Roman"/>
        </w:rPr>
        <w:t xml:space="preserve">. Minahan also suggests that a plan for a federal Yemen, which would merge Mahra into </w:t>
      </w:r>
      <w:proofErr w:type="spellStart"/>
      <w:r w:rsidRPr="00550BD7">
        <w:rPr>
          <w:rFonts w:cs="Times New Roman"/>
        </w:rPr>
        <w:t>Hadramaut</w:t>
      </w:r>
      <w:proofErr w:type="spellEnd"/>
      <w:r w:rsidRPr="00550BD7">
        <w:rPr>
          <w:rFonts w:cs="Times New Roman"/>
        </w:rPr>
        <w:t xml:space="preserve">, was met with opposition in Mahra due to the desire for a separate status. </w:t>
      </w:r>
    </w:p>
    <w:p w14:paraId="7D17BE86" w14:textId="3893B3CD" w:rsidR="00690737" w:rsidRDefault="00690737" w:rsidP="00DB733E">
      <w:pPr>
        <w:pStyle w:val="ListParagraph"/>
        <w:numPr>
          <w:ilvl w:val="0"/>
          <w:numId w:val="11"/>
        </w:numPr>
        <w:rPr>
          <w:rFonts w:cs="Times New Roman"/>
        </w:rPr>
      </w:pPr>
      <w:r>
        <w:rPr>
          <w:rFonts w:cs="Times New Roman"/>
        </w:rPr>
        <w:t xml:space="preserve">The earliest evidence for separatist mobilization we could find is in 2012, when a political group called the </w:t>
      </w:r>
      <w:r w:rsidRPr="00690737">
        <w:rPr>
          <w:rFonts w:cs="Times New Roman"/>
        </w:rPr>
        <w:t xml:space="preserve">General Council was formed </w:t>
      </w:r>
      <w:r>
        <w:rPr>
          <w:rFonts w:cs="Times New Roman"/>
        </w:rPr>
        <w:t>“</w:t>
      </w:r>
      <w:r w:rsidRPr="00690737">
        <w:rPr>
          <w:rFonts w:cs="Times New Roman"/>
        </w:rPr>
        <w:t>with designs to revive the Sultanate [of Mahra] in the wake of Yemen’s revolution</w:t>
      </w:r>
      <w:r>
        <w:rPr>
          <w:rFonts w:cs="Times New Roman"/>
        </w:rPr>
        <w:t>”</w:t>
      </w:r>
      <w:r w:rsidRPr="00690737">
        <w:rPr>
          <w:rFonts w:cs="Times New Roman"/>
        </w:rPr>
        <w:t xml:space="preserve"> (Kendall 2018:</w:t>
      </w:r>
      <w:r w:rsidR="00125EC1">
        <w:rPr>
          <w:rFonts w:cs="Times New Roman"/>
        </w:rPr>
        <w:t xml:space="preserve"> </w:t>
      </w:r>
      <w:r w:rsidRPr="00690737">
        <w:rPr>
          <w:rFonts w:cs="Times New Roman"/>
        </w:rPr>
        <w:t>78).</w:t>
      </w:r>
      <w:r>
        <w:rPr>
          <w:rFonts w:cs="Times New Roman"/>
        </w:rPr>
        <w:t xml:space="preserve"> The General Council also made claims related to Socotra Island. </w:t>
      </w:r>
      <w:r w:rsidRPr="00690737">
        <w:rPr>
          <w:rFonts w:cs="Times New Roman"/>
        </w:rPr>
        <w:t>In 2012, local sheikhs from the General Council of the People of Mahra and Socotra appointed Sultan Abdullah bin Essa al-Afar, son of the former Sultan of Mahra, as head of the council. At this point, the al-Afar was living in exile (Mills</w:t>
      </w:r>
      <w:r w:rsidR="00125EC1">
        <w:rPr>
          <w:rFonts w:cs="Times New Roman"/>
        </w:rPr>
        <w:t xml:space="preserve"> </w:t>
      </w:r>
      <w:r w:rsidRPr="00690737">
        <w:rPr>
          <w:rFonts w:cs="Times New Roman"/>
        </w:rPr>
        <w:t>2020)</w:t>
      </w:r>
      <w:r w:rsidR="00125EC1">
        <w:rPr>
          <w:rFonts w:cs="Times New Roman"/>
        </w:rPr>
        <w:t>. 2012 is coded as the start date.</w:t>
      </w:r>
    </w:p>
    <w:p w14:paraId="79C8DCCF" w14:textId="1B12E62A" w:rsidR="00DB733E" w:rsidRPr="00DB733E" w:rsidRDefault="00125EC1" w:rsidP="00DB733E">
      <w:pPr>
        <w:pStyle w:val="ListParagraph"/>
        <w:numPr>
          <w:ilvl w:val="0"/>
          <w:numId w:val="11"/>
        </w:numPr>
        <w:rPr>
          <w:rFonts w:cs="Times New Roman"/>
        </w:rPr>
      </w:pPr>
      <w:r>
        <w:rPr>
          <w:rFonts w:cs="Times New Roman"/>
        </w:rPr>
        <w:t>According to Mills (2020)</w:t>
      </w:r>
      <w:r w:rsidR="00DB733E" w:rsidRPr="00DB733E">
        <w:rPr>
          <w:rFonts w:cs="Times New Roman"/>
        </w:rPr>
        <w:t>: “In May 2018 Sultan al-Afar returned to Mahra from exile in Muscat, Oman. Al-</w:t>
      </w:r>
      <w:proofErr w:type="spellStart"/>
      <w:r w:rsidR="00DB733E" w:rsidRPr="00DB733E">
        <w:rPr>
          <w:rFonts w:cs="Times New Roman"/>
        </w:rPr>
        <w:t>Afar’s</w:t>
      </w:r>
      <w:proofErr w:type="spellEnd"/>
      <w:r w:rsidR="00DB733E" w:rsidRPr="00DB733E">
        <w:rPr>
          <w:rFonts w:cs="Times New Roman"/>
        </w:rPr>
        <w:t xml:space="preserve"> speech calling for the Saudis to withdraw from Mahra galvanized anti-Saudi sentiment and led to a list of demands which included amongst other things; the empowerment of local authorities in matters of governance, security, trade, and the transfer of the al-</w:t>
      </w:r>
      <w:proofErr w:type="spellStart"/>
      <w:r w:rsidR="00DB733E" w:rsidRPr="00DB733E">
        <w:rPr>
          <w:rFonts w:cs="Times New Roman"/>
        </w:rPr>
        <w:t>Ghaydah</w:t>
      </w:r>
      <w:proofErr w:type="spellEnd"/>
      <w:r w:rsidR="00DB733E" w:rsidRPr="00DB733E">
        <w:rPr>
          <w:rFonts w:cs="Times New Roman"/>
        </w:rPr>
        <w:t xml:space="preserve"> airport to civilian control. As a traditional tribal leader, al-Afar is typically subdued in his rhetoric in order to preserve unity amongst the sheikhs in the General Council. On November 27th 2019 when al-Afar switched from calling for a federal system to calling for independence, he represented the opinion of the General Council […] Calls for independence in Mahra are not universally supported, but may become more popular over time. There is an ongoing debate, with some groups, such as those led by al-</w:t>
      </w:r>
      <w:proofErr w:type="spellStart"/>
      <w:r w:rsidR="00DB733E" w:rsidRPr="00DB733E">
        <w:rPr>
          <w:rFonts w:cs="Times New Roman"/>
        </w:rPr>
        <w:t>Hurayzi</w:t>
      </w:r>
      <w:proofErr w:type="spellEnd"/>
      <w:r w:rsidR="00DB733E" w:rsidRPr="00DB733E">
        <w:rPr>
          <w:rFonts w:cs="Times New Roman"/>
        </w:rPr>
        <w:t xml:space="preserve"> calling for a united Yemeni state, while other sheikhs in the General Council call for a federal system in Yemen.” </w:t>
      </w:r>
    </w:p>
    <w:p w14:paraId="13F1E1DC" w14:textId="30002F24" w:rsidR="00DB733E" w:rsidRPr="00550BD7" w:rsidRDefault="00125EC1" w:rsidP="00DB733E">
      <w:pPr>
        <w:pStyle w:val="ListParagraph"/>
        <w:numPr>
          <w:ilvl w:val="0"/>
          <w:numId w:val="11"/>
        </w:numPr>
        <w:rPr>
          <w:rFonts w:cs="Times New Roman"/>
        </w:rPr>
      </w:pPr>
      <w:r>
        <w:rPr>
          <w:rFonts w:cs="Times New Roman"/>
        </w:rPr>
        <w:t>This account</w:t>
      </w:r>
      <w:r w:rsidR="00DB733E">
        <w:rPr>
          <w:rFonts w:cs="Times New Roman"/>
        </w:rPr>
        <w:t xml:space="preserve"> is confirmed by a</w:t>
      </w:r>
      <w:r w:rsidR="00DB733E" w:rsidRPr="00550BD7">
        <w:rPr>
          <w:rFonts w:cs="Times New Roman"/>
        </w:rPr>
        <w:t xml:space="preserve"> 2019 Al-Monitor article</w:t>
      </w:r>
      <w:r w:rsidR="00DB733E">
        <w:rPr>
          <w:rFonts w:cs="Times New Roman"/>
        </w:rPr>
        <w:t>, which</w:t>
      </w:r>
      <w:r w:rsidR="00DB733E" w:rsidRPr="00550BD7">
        <w:rPr>
          <w:rFonts w:cs="Times New Roman"/>
        </w:rPr>
        <w:t xml:space="preserve"> suggests that the former sultan of Mahra told the newspaper about “the intention to revive the sultanate”. The article </w:t>
      </w:r>
      <w:r w:rsidR="00DB733E">
        <w:rPr>
          <w:rFonts w:cs="Times New Roman"/>
        </w:rPr>
        <w:t xml:space="preserve">continues to report </w:t>
      </w:r>
      <w:r w:rsidR="00DB733E" w:rsidRPr="00550BD7">
        <w:rPr>
          <w:rFonts w:cs="Times New Roman"/>
        </w:rPr>
        <w:t>that the sultan reappeared in 2012 for the first time to advocate for an independent Al Mahra. At the time the sultan was based in exile Saudia Arabia; he later moved to Oman and, in 2018, to Yemen.</w:t>
      </w:r>
    </w:p>
    <w:p w14:paraId="5DECF3EB" w14:textId="6F8AB3C2" w:rsidR="00CB5517" w:rsidRPr="00DB733E" w:rsidRDefault="00DB733E" w:rsidP="00CB5517">
      <w:pPr>
        <w:pStyle w:val="ListParagraph"/>
        <w:numPr>
          <w:ilvl w:val="0"/>
          <w:numId w:val="11"/>
        </w:numPr>
        <w:rPr>
          <w:rFonts w:cs="Times New Roman"/>
        </w:rPr>
      </w:pPr>
      <w:r w:rsidRPr="00DB733E">
        <w:rPr>
          <w:rFonts w:cs="Times New Roman"/>
        </w:rPr>
        <w:lastRenderedPageBreak/>
        <w:t xml:space="preserve">Another </w:t>
      </w:r>
      <w:r w:rsidR="00CB5517">
        <w:rPr>
          <w:rFonts w:cs="Times New Roman"/>
        </w:rPr>
        <w:t xml:space="preserve">report from 2019 </w:t>
      </w:r>
      <w:r w:rsidR="00CB5517" w:rsidRPr="00DB733E">
        <w:rPr>
          <w:rFonts w:cs="Times New Roman"/>
        </w:rPr>
        <w:t>suggests that a protest movement against Saudi military presence emerged in 2018. Among the demands was the reinstatement of local authority management and “full empowerment” of the local authority</w:t>
      </w:r>
      <w:r w:rsidR="00CB5517">
        <w:rPr>
          <w:rFonts w:cs="Times New Roman"/>
        </w:rPr>
        <w:t xml:space="preserve">. The </w:t>
      </w:r>
      <w:r w:rsidR="00CB5517" w:rsidRPr="00DB733E">
        <w:rPr>
          <w:rFonts w:cs="Times New Roman"/>
        </w:rPr>
        <w:t>same source also suggests that Mahri representatives at a conference on the future of Yemen in ca 2014 declared their intention to become a separate autonomous region in a federal Yemen</w:t>
      </w:r>
      <w:r w:rsidR="00CB5517">
        <w:rPr>
          <w:rFonts w:cs="Times New Roman"/>
        </w:rPr>
        <w:t xml:space="preserve"> (al-</w:t>
      </w:r>
      <w:proofErr w:type="spellStart"/>
      <w:r w:rsidR="00CB5517">
        <w:rPr>
          <w:rFonts w:cs="Times New Roman"/>
        </w:rPr>
        <w:t>Sewahri</w:t>
      </w:r>
      <w:proofErr w:type="spellEnd"/>
      <w:r w:rsidR="00CB5517">
        <w:rPr>
          <w:rFonts w:cs="Times New Roman"/>
        </w:rPr>
        <w:t xml:space="preserve"> 2019)</w:t>
      </w:r>
      <w:r w:rsidR="00CB5517" w:rsidRPr="00DB733E">
        <w:rPr>
          <w:rFonts w:cs="Times New Roman"/>
        </w:rPr>
        <w:t>.</w:t>
      </w:r>
    </w:p>
    <w:bookmarkEnd w:id="0"/>
    <w:p w14:paraId="5C5FD201" w14:textId="704D9B4C" w:rsidR="00CB5517" w:rsidRDefault="00CB5517" w:rsidP="00CB5517">
      <w:pPr>
        <w:pStyle w:val="ListParagraph"/>
        <w:numPr>
          <w:ilvl w:val="0"/>
          <w:numId w:val="11"/>
        </w:numPr>
        <w:rPr>
          <w:rFonts w:cs="Times New Roman"/>
        </w:rPr>
      </w:pPr>
      <w:r w:rsidRPr="00550BD7">
        <w:rPr>
          <w:rFonts w:cs="Times New Roman"/>
        </w:rPr>
        <w:t xml:space="preserve">Overall, </w:t>
      </w:r>
      <w:r>
        <w:rPr>
          <w:rFonts w:cs="Times New Roman"/>
        </w:rPr>
        <w:t xml:space="preserve">we found evidence in several sources for separatist mobilization. </w:t>
      </w:r>
      <w:r w:rsidRPr="00550BD7">
        <w:rPr>
          <w:rFonts w:cs="Times New Roman"/>
        </w:rPr>
        <w:t xml:space="preserve"> </w:t>
      </w:r>
      <w:r>
        <w:rPr>
          <w:rFonts w:cs="Times New Roman"/>
        </w:rPr>
        <w:t>We code 201</w:t>
      </w:r>
      <w:r w:rsidR="00125EC1">
        <w:rPr>
          <w:rFonts w:cs="Times New Roman"/>
        </w:rPr>
        <w:t>2</w:t>
      </w:r>
      <w:r>
        <w:rPr>
          <w:rFonts w:cs="Times New Roman"/>
        </w:rPr>
        <w:t xml:space="preserve"> as the start date, coinciding with </w:t>
      </w:r>
      <w:r w:rsidR="00125EC1">
        <w:rPr>
          <w:rFonts w:cs="Times New Roman"/>
        </w:rPr>
        <w:t>the formation of the General Council. The movement is ongoing</w:t>
      </w:r>
      <w:r w:rsidR="00FD2BFE">
        <w:rPr>
          <w:rFonts w:cs="Times New Roman"/>
        </w:rPr>
        <w:t>. [start date: 201</w:t>
      </w:r>
      <w:r w:rsidR="00125EC1">
        <w:rPr>
          <w:rFonts w:cs="Times New Roman"/>
        </w:rPr>
        <w:t>2</w:t>
      </w:r>
      <w:r w:rsidR="00FD2BFE">
        <w:rPr>
          <w:rFonts w:cs="Times New Roman"/>
        </w:rPr>
        <w:t>; end date: ongoing]</w:t>
      </w:r>
    </w:p>
    <w:p w14:paraId="141D6356" w14:textId="77777777" w:rsidR="00550BD7" w:rsidRPr="006F657B" w:rsidRDefault="00550BD7" w:rsidP="00550BD7">
      <w:pPr>
        <w:rPr>
          <w:rFonts w:cs="Times New Roman"/>
          <w:szCs w:val="22"/>
        </w:rPr>
      </w:pPr>
    </w:p>
    <w:p w14:paraId="495C3A08" w14:textId="77777777" w:rsidR="00FD2BFE" w:rsidRDefault="00FD2BFE" w:rsidP="00550BD7">
      <w:pPr>
        <w:rPr>
          <w:rFonts w:cs="Times New Roman"/>
          <w:b/>
          <w:szCs w:val="22"/>
        </w:rPr>
      </w:pPr>
    </w:p>
    <w:p w14:paraId="1A2EC74B" w14:textId="77777777" w:rsidR="00EB2B82" w:rsidRPr="00BE5168" w:rsidRDefault="00EB2B82" w:rsidP="00EB2B82">
      <w:pPr>
        <w:rPr>
          <w:rFonts w:cs="Times New Roman"/>
          <w:b/>
          <w:szCs w:val="22"/>
        </w:rPr>
      </w:pPr>
      <w:r>
        <w:rPr>
          <w:rFonts w:cs="Times New Roman"/>
          <w:b/>
          <w:szCs w:val="22"/>
        </w:rPr>
        <w:t>Dominant claim</w:t>
      </w:r>
    </w:p>
    <w:p w14:paraId="0FA05294" w14:textId="77777777" w:rsidR="00EB2B82" w:rsidRDefault="00EB2B82" w:rsidP="00EB2B82">
      <w:pPr>
        <w:rPr>
          <w:rFonts w:cs="Times New Roman"/>
          <w:bCs/>
          <w:szCs w:val="22"/>
        </w:rPr>
      </w:pPr>
    </w:p>
    <w:p w14:paraId="148CB270" w14:textId="1FA6562B" w:rsidR="00EB2B82" w:rsidRDefault="00EB2B82" w:rsidP="00EB2B82">
      <w:pPr>
        <w:pStyle w:val="ListParagraph"/>
        <w:numPr>
          <w:ilvl w:val="0"/>
          <w:numId w:val="19"/>
        </w:numPr>
        <w:rPr>
          <w:rFonts w:cs="Times New Roman"/>
          <w:bCs/>
          <w:szCs w:val="22"/>
        </w:rPr>
      </w:pPr>
      <w:r w:rsidRPr="00024E3D">
        <w:rPr>
          <w:rFonts w:cs="Times New Roman"/>
          <w:bCs/>
          <w:szCs w:val="22"/>
        </w:rPr>
        <w:t xml:space="preserve">Mills (2020) suggests that, in November 2019, the sultan leading the General Council, the main organization associated with this movement, “switched from calling for a federal system to calling for independence”, and that he in doing so “represented the opinion of the General Council”. </w:t>
      </w:r>
      <w:proofErr w:type="spellStart"/>
      <w:r w:rsidRPr="00024E3D">
        <w:rPr>
          <w:rFonts w:cs="Times New Roman"/>
          <w:bCs/>
          <w:szCs w:val="22"/>
        </w:rPr>
        <w:t>Castelier</w:t>
      </w:r>
      <w:proofErr w:type="spellEnd"/>
      <w:r w:rsidRPr="00024E3D">
        <w:rPr>
          <w:rFonts w:cs="Times New Roman"/>
          <w:bCs/>
          <w:szCs w:val="22"/>
        </w:rPr>
        <w:t xml:space="preserve"> (2019) reports that al-Afar has remained open to an autonomy solution under certain conditions while Al-</w:t>
      </w:r>
      <w:proofErr w:type="spellStart"/>
      <w:r w:rsidRPr="00024E3D">
        <w:rPr>
          <w:rFonts w:cs="Times New Roman"/>
          <w:bCs/>
          <w:szCs w:val="22"/>
        </w:rPr>
        <w:t>Sewari</w:t>
      </w:r>
      <w:proofErr w:type="spellEnd"/>
      <w:r w:rsidRPr="00024E3D">
        <w:rPr>
          <w:rFonts w:cs="Times New Roman"/>
          <w:bCs/>
          <w:szCs w:val="22"/>
        </w:rPr>
        <w:t xml:space="preserve"> (2019) writes that ‘</w:t>
      </w:r>
      <w:proofErr w:type="spellStart"/>
      <w:r w:rsidRPr="00024E3D">
        <w:rPr>
          <w:rFonts w:cs="Times New Roman"/>
          <w:bCs/>
          <w:szCs w:val="22"/>
        </w:rPr>
        <w:t>Mahris</w:t>
      </w:r>
      <w:proofErr w:type="spellEnd"/>
      <w:r w:rsidRPr="00024E3D">
        <w:rPr>
          <w:rFonts w:cs="Times New Roman"/>
          <w:bCs/>
          <w:szCs w:val="22"/>
        </w:rPr>
        <w:t xml:space="preserve"> have a unique history of running their own affairs as well as a common vision of sovereignty within a federal system that has kept them remarkably unified’.</w:t>
      </w:r>
      <w:r>
        <w:rPr>
          <w:rFonts w:cs="Times New Roman"/>
          <w:bCs/>
          <w:szCs w:val="22"/>
        </w:rPr>
        <w:t xml:space="preserve"> Overall, it is therefore not fully clear whether the </w:t>
      </w:r>
      <w:r w:rsidR="003260A9">
        <w:rPr>
          <w:rFonts w:cs="Times New Roman"/>
          <w:bCs/>
          <w:szCs w:val="22"/>
        </w:rPr>
        <w:t xml:space="preserve">dominant </w:t>
      </w:r>
      <w:r>
        <w:rPr>
          <w:rFonts w:cs="Times New Roman"/>
          <w:bCs/>
          <w:szCs w:val="22"/>
        </w:rPr>
        <w:t>claim switched to independence in 2019. Still, in line with the codebook, we code the more radical claim for outright independence from 2020 onward. [2012-2019: autonomy claim; 2020: independence claim]</w:t>
      </w:r>
    </w:p>
    <w:p w14:paraId="74A62EC7" w14:textId="77777777" w:rsidR="00EB2B82" w:rsidRDefault="00EB2B82" w:rsidP="00EB2B82">
      <w:pPr>
        <w:rPr>
          <w:rFonts w:cs="Times New Roman"/>
          <w:bCs/>
          <w:szCs w:val="22"/>
        </w:rPr>
      </w:pPr>
    </w:p>
    <w:p w14:paraId="265D7C0F" w14:textId="77777777" w:rsidR="00EB2B82" w:rsidRPr="00024E3D" w:rsidRDefault="00EB2B82" w:rsidP="00EB2B82">
      <w:pPr>
        <w:rPr>
          <w:rFonts w:cs="Times New Roman"/>
          <w:bCs/>
          <w:szCs w:val="22"/>
        </w:rPr>
      </w:pPr>
    </w:p>
    <w:p w14:paraId="4D6013B3" w14:textId="77777777" w:rsidR="0039639A" w:rsidRPr="00BE5168" w:rsidRDefault="0039639A" w:rsidP="0039639A">
      <w:pPr>
        <w:rPr>
          <w:rFonts w:cs="Times New Roman"/>
          <w:b/>
          <w:szCs w:val="22"/>
        </w:rPr>
      </w:pPr>
      <w:r>
        <w:rPr>
          <w:rFonts w:cs="Times New Roman"/>
          <w:b/>
          <w:szCs w:val="22"/>
        </w:rPr>
        <w:t>Independence claims</w:t>
      </w:r>
    </w:p>
    <w:p w14:paraId="79E0A9D1" w14:textId="77777777" w:rsidR="0039639A" w:rsidRDefault="0039639A" w:rsidP="0039639A">
      <w:pPr>
        <w:rPr>
          <w:rFonts w:cs="Times New Roman"/>
          <w:bCs/>
          <w:szCs w:val="22"/>
        </w:rPr>
      </w:pPr>
    </w:p>
    <w:p w14:paraId="3ADFB76E" w14:textId="62C555A0" w:rsidR="0039639A" w:rsidRPr="003260A9" w:rsidRDefault="003260A9" w:rsidP="003260A9">
      <w:pPr>
        <w:pStyle w:val="ListParagraph"/>
        <w:numPr>
          <w:ilvl w:val="0"/>
          <w:numId w:val="11"/>
        </w:numPr>
        <w:rPr>
          <w:rFonts w:cs="Times New Roman"/>
        </w:rPr>
      </w:pPr>
      <w:r>
        <w:rPr>
          <w:rFonts w:cs="Times New Roman"/>
          <w:bCs/>
          <w:szCs w:val="22"/>
        </w:rPr>
        <w:t xml:space="preserve">See above. </w:t>
      </w:r>
      <w:r>
        <w:rPr>
          <w:rFonts w:cs="Times New Roman"/>
        </w:rPr>
        <w:t>[start date: 2019; end date: ongoing]</w:t>
      </w:r>
    </w:p>
    <w:p w14:paraId="338CBE38" w14:textId="77777777" w:rsidR="0039639A" w:rsidRDefault="0039639A" w:rsidP="0039639A">
      <w:pPr>
        <w:rPr>
          <w:rFonts w:cs="Times New Roman"/>
          <w:bCs/>
          <w:szCs w:val="22"/>
        </w:rPr>
      </w:pPr>
    </w:p>
    <w:p w14:paraId="396A3A38" w14:textId="77777777" w:rsidR="0039639A" w:rsidRDefault="0039639A" w:rsidP="0039639A">
      <w:pPr>
        <w:rPr>
          <w:rFonts w:cs="Times New Roman"/>
          <w:bCs/>
          <w:szCs w:val="22"/>
        </w:rPr>
      </w:pPr>
    </w:p>
    <w:p w14:paraId="3B4841F2" w14:textId="77777777" w:rsidR="0039639A" w:rsidRPr="00BE5168" w:rsidRDefault="0039639A" w:rsidP="0039639A">
      <w:pPr>
        <w:rPr>
          <w:rFonts w:cs="Times New Roman"/>
          <w:b/>
          <w:szCs w:val="22"/>
        </w:rPr>
      </w:pPr>
      <w:r>
        <w:rPr>
          <w:rFonts w:cs="Times New Roman"/>
          <w:b/>
          <w:szCs w:val="22"/>
        </w:rPr>
        <w:t>Irredentist claims</w:t>
      </w:r>
    </w:p>
    <w:p w14:paraId="5E16C551" w14:textId="77777777" w:rsidR="0039639A" w:rsidRDefault="0039639A" w:rsidP="0039639A">
      <w:pPr>
        <w:rPr>
          <w:rFonts w:cs="Times New Roman"/>
          <w:bCs/>
          <w:szCs w:val="22"/>
        </w:rPr>
      </w:pPr>
    </w:p>
    <w:p w14:paraId="2A9C9D8D" w14:textId="77777777" w:rsidR="0039639A" w:rsidRDefault="0039639A" w:rsidP="0039639A">
      <w:pPr>
        <w:rPr>
          <w:rFonts w:cs="Times New Roman"/>
          <w:bCs/>
          <w:szCs w:val="22"/>
        </w:rPr>
      </w:pPr>
      <w:r>
        <w:rPr>
          <w:rFonts w:cs="Times New Roman"/>
          <w:bCs/>
          <w:szCs w:val="22"/>
        </w:rPr>
        <w:t>NA</w:t>
      </w:r>
    </w:p>
    <w:p w14:paraId="5554FDFE" w14:textId="77777777" w:rsidR="0039639A" w:rsidRDefault="0039639A" w:rsidP="0039639A">
      <w:pPr>
        <w:rPr>
          <w:rFonts w:cs="Times New Roman"/>
          <w:bCs/>
          <w:szCs w:val="22"/>
        </w:rPr>
      </w:pPr>
    </w:p>
    <w:p w14:paraId="38A0D5F6" w14:textId="77777777" w:rsidR="0039639A" w:rsidRPr="009C6C8D" w:rsidRDefault="0039639A" w:rsidP="0039639A">
      <w:pPr>
        <w:rPr>
          <w:rFonts w:cs="Times New Roman"/>
          <w:bCs/>
          <w:szCs w:val="22"/>
        </w:rPr>
      </w:pPr>
    </w:p>
    <w:p w14:paraId="6B6D1759" w14:textId="77777777" w:rsidR="00EB2B82" w:rsidRPr="00904609" w:rsidRDefault="00EB2B82" w:rsidP="00EB2B82">
      <w:pPr>
        <w:rPr>
          <w:rFonts w:cs="Times New Roman"/>
        </w:rPr>
      </w:pPr>
      <w:r w:rsidRPr="007943A1">
        <w:rPr>
          <w:rFonts w:cs="Times New Roman"/>
          <w:b/>
        </w:rPr>
        <w:t xml:space="preserve">Claimed </w:t>
      </w:r>
      <w:proofErr w:type="gramStart"/>
      <w:r w:rsidRPr="007943A1">
        <w:rPr>
          <w:rFonts w:cs="Times New Roman"/>
          <w:b/>
        </w:rPr>
        <w:t>territory</w:t>
      </w:r>
      <w:proofErr w:type="gramEnd"/>
    </w:p>
    <w:p w14:paraId="5325B19C" w14:textId="77777777" w:rsidR="00EB2B82" w:rsidRPr="006F657B" w:rsidRDefault="00EB2B82" w:rsidP="00EB2B82">
      <w:pPr>
        <w:rPr>
          <w:rFonts w:cs="Times New Roman"/>
          <w:bCs/>
          <w:szCs w:val="22"/>
        </w:rPr>
      </w:pPr>
    </w:p>
    <w:p w14:paraId="681B864F" w14:textId="5690DA3C" w:rsidR="00EB2B82" w:rsidRPr="00681D6C" w:rsidRDefault="000B6063" w:rsidP="00EB2B82">
      <w:pPr>
        <w:pStyle w:val="ListParagraph"/>
        <w:numPr>
          <w:ilvl w:val="0"/>
          <w:numId w:val="11"/>
        </w:numPr>
        <w:rPr>
          <w:rFonts w:cs="Times New Roman"/>
          <w:bCs/>
          <w:szCs w:val="22"/>
        </w:rPr>
      </w:pPr>
      <w:r w:rsidRPr="000B6063">
        <w:rPr>
          <w:rFonts w:cs="Times New Roman"/>
        </w:rPr>
        <w:t xml:space="preserve">The movement’s territorial claim relates to the former Sultanate of Mahra (Kendall 2018: 78). The Mahra Sultanate was divided in 1967 upon the formation of South Yemen, whereby mainland Al Mahra became its own governorate while Socotra Island was administered by the Aden governorate. From 2004, Socotra was placed under Hadhramaut governorate and, in 2013, Socotra became its own governate (https://en.wikipedia.org/wiki/Mahra_Sultanate).  </w:t>
      </w:r>
      <w:r w:rsidRPr="00681D6C">
        <w:t>A map of Mahra is also available in al-</w:t>
      </w:r>
      <w:proofErr w:type="spellStart"/>
      <w:r w:rsidRPr="00681D6C">
        <w:t>Sewari</w:t>
      </w:r>
      <w:proofErr w:type="spellEnd"/>
      <w:r w:rsidRPr="00681D6C">
        <w:t xml:space="preserve"> (2019), Roy (2019) and Nagi (2020). </w:t>
      </w:r>
      <w:r w:rsidRPr="000B6063">
        <w:rPr>
          <w:rFonts w:cs="Times New Roman"/>
        </w:rPr>
        <w:t>We code this claim using data on admin units from GADM for polygon definition.</w:t>
      </w:r>
      <w:r>
        <w:rPr>
          <w:rFonts w:cs="Times New Roman"/>
        </w:rPr>
        <w:t xml:space="preserve"> </w:t>
      </w:r>
    </w:p>
    <w:p w14:paraId="0967AB57" w14:textId="77777777" w:rsidR="00EB2B82" w:rsidRDefault="00EB2B82" w:rsidP="00EB2B82">
      <w:pPr>
        <w:rPr>
          <w:rFonts w:cs="Times New Roman"/>
          <w:b/>
          <w:szCs w:val="22"/>
        </w:rPr>
      </w:pPr>
    </w:p>
    <w:p w14:paraId="4438F907" w14:textId="77777777" w:rsidR="00EB2B82" w:rsidRDefault="00EB2B82" w:rsidP="00EB2B82">
      <w:pPr>
        <w:rPr>
          <w:rFonts w:cs="Times New Roman"/>
          <w:b/>
          <w:szCs w:val="22"/>
        </w:rPr>
      </w:pPr>
    </w:p>
    <w:p w14:paraId="02FC8056" w14:textId="6924CF7E" w:rsidR="00EB2B82" w:rsidRPr="005E1083" w:rsidRDefault="00EB2B82" w:rsidP="00EB2B82">
      <w:pPr>
        <w:rPr>
          <w:rFonts w:cs="Times New Roman"/>
          <w:b/>
          <w:szCs w:val="22"/>
        </w:rPr>
      </w:pPr>
      <w:r w:rsidRPr="005E1083">
        <w:rPr>
          <w:rFonts w:cs="Times New Roman"/>
          <w:b/>
          <w:szCs w:val="22"/>
        </w:rPr>
        <w:t>Sovereignty declarations</w:t>
      </w:r>
    </w:p>
    <w:p w14:paraId="2BD40B7B" w14:textId="77777777" w:rsidR="00EB2B82" w:rsidRPr="005E1083" w:rsidRDefault="00EB2B82" w:rsidP="00EB2B82">
      <w:pPr>
        <w:rPr>
          <w:rFonts w:cs="Times New Roman"/>
          <w:szCs w:val="22"/>
        </w:rPr>
      </w:pPr>
    </w:p>
    <w:p w14:paraId="00C935EC" w14:textId="77777777" w:rsidR="00EB2B82" w:rsidRPr="00681D6C" w:rsidRDefault="00EB2B82" w:rsidP="00EB2B82">
      <w:pPr>
        <w:rPr>
          <w:rFonts w:cs="Times New Roman"/>
          <w:szCs w:val="22"/>
        </w:rPr>
      </w:pPr>
      <w:r w:rsidRPr="00681D6C">
        <w:rPr>
          <w:rFonts w:cs="Times New Roman"/>
          <w:szCs w:val="22"/>
        </w:rPr>
        <w:t>NA</w:t>
      </w:r>
    </w:p>
    <w:p w14:paraId="422646BF" w14:textId="77777777" w:rsidR="00EB2B82" w:rsidRDefault="00EB2B82" w:rsidP="00EB2B82">
      <w:pPr>
        <w:ind w:left="709" w:hanging="709"/>
        <w:rPr>
          <w:rFonts w:cs="Times New Roman"/>
          <w:szCs w:val="22"/>
        </w:rPr>
      </w:pPr>
    </w:p>
    <w:p w14:paraId="5174E714" w14:textId="77777777" w:rsidR="00EB2B82" w:rsidRPr="006F657B" w:rsidRDefault="00EB2B82" w:rsidP="00EB2B82">
      <w:pPr>
        <w:ind w:left="709" w:hanging="709"/>
        <w:rPr>
          <w:rFonts w:cs="Times New Roman"/>
          <w:szCs w:val="22"/>
        </w:rPr>
      </w:pPr>
    </w:p>
    <w:p w14:paraId="18B3CB19" w14:textId="722B2DA7" w:rsidR="00550BD7" w:rsidRDefault="00550BD7" w:rsidP="00550BD7">
      <w:pPr>
        <w:rPr>
          <w:rFonts w:cs="Times New Roman"/>
          <w:b/>
          <w:szCs w:val="22"/>
        </w:rPr>
      </w:pPr>
      <w:r>
        <w:rPr>
          <w:rFonts w:cs="Times New Roman"/>
          <w:b/>
          <w:szCs w:val="22"/>
        </w:rPr>
        <w:t>Separatist armed conflict</w:t>
      </w:r>
    </w:p>
    <w:p w14:paraId="44833BD3" w14:textId="77777777" w:rsidR="00550BD7" w:rsidRPr="006F657B" w:rsidRDefault="00550BD7" w:rsidP="00550BD7">
      <w:pPr>
        <w:rPr>
          <w:rFonts w:cs="Times New Roman"/>
          <w:szCs w:val="22"/>
        </w:rPr>
      </w:pPr>
    </w:p>
    <w:p w14:paraId="799ADAE6" w14:textId="5BFEA59F" w:rsidR="00550BD7" w:rsidRPr="003E667D" w:rsidRDefault="003E667D" w:rsidP="003E667D">
      <w:pPr>
        <w:pStyle w:val="ListParagraph"/>
        <w:numPr>
          <w:ilvl w:val="0"/>
          <w:numId w:val="14"/>
        </w:numPr>
        <w:rPr>
          <w:rFonts w:cs="Times New Roman"/>
        </w:rPr>
      </w:pPr>
      <w:r w:rsidRPr="00F61D56">
        <w:rPr>
          <w:rFonts w:cs="Times New Roman"/>
        </w:rPr>
        <w:t xml:space="preserve">We found no indications of separatist </w:t>
      </w:r>
      <w:proofErr w:type="gramStart"/>
      <w:r w:rsidRPr="00F61D56">
        <w:rPr>
          <w:rFonts w:cs="Times New Roman"/>
        </w:rPr>
        <w:t>vi</w:t>
      </w:r>
      <w:r>
        <w:rPr>
          <w:rFonts w:cs="Times New Roman"/>
        </w:rPr>
        <w:t>olence</w:t>
      </w:r>
      <w:proofErr w:type="gramEnd"/>
      <w:r>
        <w:rPr>
          <w:rFonts w:cs="Times New Roman"/>
        </w:rPr>
        <w:t xml:space="preserve"> so</w:t>
      </w:r>
      <w:r w:rsidRPr="00F61D56">
        <w:rPr>
          <w:rFonts w:cs="Times New Roman"/>
        </w:rPr>
        <w:t xml:space="preserve"> the movement is coded as NVIOLSD. [NVIOLSD]</w:t>
      </w:r>
    </w:p>
    <w:p w14:paraId="44CCB42C" w14:textId="6F2CD1E6" w:rsidR="00550BD7" w:rsidRDefault="00550BD7" w:rsidP="00550BD7">
      <w:pPr>
        <w:ind w:left="709" w:hanging="709"/>
        <w:rPr>
          <w:rFonts w:cs="Times New Roman"/>
          <w:b/>
        </w:rPr>
      </w:pPr>
    </w:p>
    <w:p w14:paraId="257D50AE" w14:textId="77777777" w:rsidR="0019784F" w:rsidRDefault="0019784F" w:rsidP="00550BD7">
      <w:pPr>
        <w:ind w:left="709" w:hanging="709"/>
        <w:rPr>
          <w:rFonts w:cs="Times New Roman"/>
          <w:b/>
        </w:rPr>
      </w:pPr>
    </w:p>
    <w:p w14:paraId="29E06C20" w14:textId="5B9B75BE" w:rsidR="00550BD7" w:rsidRPr="00BE5168" w:rsidRDefault="00550BD7" w:rsidP="00550BD7">
      <w:pPr>
        <w:rPr>
          <w:rFonts w:cs="Times New Roman"/>
          <w:szCs w:val="22"/>
        </w:rPr>
      </w:pPr>
      <w:r>
        <w:rPr>
          <w:rFonts w:cs="Times New Roman"/>
          <w:b/>
          <w:szCs w:val="22"/>
        </w:rPr>
        <w:lastRenderedPageBreak/>
        <w:t xml:space="preserve">Historical </w:t>
      </w:r>
      <w:r w:rsidR="00EB2B82">
        <w:rPr>
          <w:rFonts w:cs="Times New Roman"/>
          <w:b/>
          <w:szCs w:val="22"/>
        </w:rPr>
        <w:t>c</w:t>
      </w:r>
      <w:r>
        <w:rPr>
          <w:rFonts w:cs="Times New Roman"/>
          <w:b/>
          <w:szCs w:val="22"/>
        </w:rPr>
        <w:t>ontext</w:t>
      </w:r>
    </w:p>
    <w:p w14:paraId="21A0CEBC" w14:textId="77777777" w:rsidR="00550BD7" w:rsidRPr="006F657B" w:rsidRDefault="00550BD7" w:rsidP="00550BD7">
      <w:pPr>
        <w:rPr>
          <w:rFonts w:cs="Times New Roman"/>
          <w:szCs w:val="22"/>
        </w:rPr>
      </w:pPr>
    </w:p>
    <w:p w14:paraId="7F0DB47E" w14:textId="5F6E2D12" w:rsidR="00FB6D38" w:rsidRDefault="00884E1A" w:rsidP="003E667D">
      <w:pPr>
        <w:pStyle w:val="ListParagraph"/>
        <w:numPr>
          <w:ilvl w:val="0"/>
          <w:numId w:val="14"/>
        </w:numPr>
        <w:rPr>
          <w:rFonts w:cs="Times New Roman"/>
          <w:szCs w:val="22"/>
        </w:rPr>
      </w:pPr>
      <w:r>
        <w:rPr>
          <w:rFonts w:cs="Times New Roman"/>
          <w:szCs w:val="22"/>
        </w:rPr>
        <w:t>The Mahra Sultanate, which included the present-day governorate of Mahra and the Socotra archipelago, was formed in the early 16</w:t>
      </w:r>
      <w:r w:rsidRPr="00884E1A">
        <w:rPr>
          <w:rFonts w:cs="Times New Roman"/>
          <w:szCs w:val="22"/>
          <w:vertAlign w:val="superscript"/>
        </w:rPr>
        <w:t>th</w:t>
      </w:r>
      <w:r>
        <w:rPr>
          <w:rFonts w:cs="Times New Roman"/>
          <w:szCs w:val="22"/>
        </w:rPr>
        <w:t xml:space="preserve"> century. The Sultan was chosen by consensus among the Mahri tribes (Al-</w:t>
      </w:r>
      <w:proofErr w:type="spellStart"/>
      <w:r>
        <w:rPr>
          <w:rFonts w:cs="Times New Roman"/>
          <w:szCs w:val="22"/>
        </w:rPr>
        <w:t>Sewari</w:t>
      </w:r>
      <w:proofErr w:type="spellEnd"/>
      <w:r>
        <w:rPr>
          <w:rFonts w:cs="Times New Roman"/>
          <w:szCs w:val="22"/>
        </w:rPr>
        <w:t xml:space="preserve">, 2019). </w:t>
      </w:r>
      <w:r w:rsidR="00D52A7C">
        <w:rPr>
          <w:rFonts w:cs="Times New Roman"/>
          <w:szCs w:val="22"/>
        </w:rPr>
        <w:t xml:space="preserve">At times, the Mahra Sultanate was under the hegemony of Oman ‘but it remained an autonomous polity’ (Lewis, 2015). </w:t>
      </w:r>
    </w:p>
    <w:p w14:paraId="5AA35885" w14:textId="433FC3E2" w:rsidR="00884E1A" w:rsidRDefault="00FB6D38" w:rsidP="003E667D">
      <w:pPr>
        <w:pStyle w:val="ListParagraph"/>
        <w:numPr>
          <w:ilvl w:val="0"/>
          <w:numId w:val="14"/>
        </w:numPr>
        <w:rPr>
          <w:rFonts w:cs="Times New Roman"/>
          <w:szCs w:val="22"/>
        </w:rPr>
      </w:pPr>
      <w:r w:rsidRPr="00FB6D38">
        <w:rPr>
          <w:rFonts w:cs="Times New Roman"/>
          <w:szCs w:val="22"/>
          <w:shd w:val="clear" w:color="auto" w:fill="FFFFFF"/>
        </w:rPr>
        <w:t>Britain seized Aden, in the south of Yemen, in 1839. The city received considerable investment due to its role connecting Britain’s maritime empire with the Suez Canal, India, Singapore and London (Dresch, 2000:86, 10; Minahan, 1996:543). Britain’s influence in Aden’s tribal hinte</w:t>
      </w:r>
      <w:r>
        <w:rPr>
          <w:rFonts w:cs="Times New Roman"/>
          <w:szCs w:val="22"/>
          <w:shd w:val="clear" w:color="auto" w:fill="FFFFFF"/>
        </w:rPr>
        <w:t>rland, which included Mahra</w:t>
      </w:r>
      <w:r w:rsidRPr="00FB6D38">
        <w:rPr>
          <w:rFonts w:cs="Times New Roman"/>
          <w:szCs w:val="22"/>
          <w:shd w:val="clear" w:color="auto" w:fill="FFFFFF"/>
        </w:rPr>
        <w:t>, fluctuated; the imperial power expended a great deal of resources attempting to secure southern Yemen’s tribal areas, entering into a plethora of treaties offering protection, sponsoring leading sultans and sheikhs in a bid to secure their support, overlooking the need to collect taxes, and targeting rebellious areas with air raids (Dresch, 2000:35, 37; Clark, 2010:66-7, 72-3, 77-8).</w:t>
      </w:r>
      <w:r>
        <w:rPr>
          <w:rFonts w:cs="Times New Roman"/>
          <w:szCs w:val="22"/>
          <w:shd w:val="clear" w:color="auto" w:fill="FFFFFF"/>
        </w:rPr>
        <w:t xml:space="preserve"> </w:t>
      </w:r>
      <w:r w:rsidR="00884E1A" w:rsidRPr="00FB6D38">
        <w:rPr>
          <w:rFonts w:cs="Times New Roman"/>
          <w:szCs w:val="22"/>
        </w:rPr>
        <w:t xml:space="preserve">In </w:t>
      </w:r>
      <w:r w:rsidR="00884E1A">
        <w:rPr>
          <w:rFonts w:cs="Times New Roman"/>
          <w:szCs w:val="22"/>
        </w:rPr>
        <w:t xml:space="preserve">1886, the Sultanate became a British Protectorate but this did not lead to </w:t>
      </w:r>
      <w:r w:rsidR="00884E1A" w:rsidRPr="00FB6D38">
        <w:rPr>
          <w:rFonts w:cs="Times New Roman"/>
          <w:szCs w:val="22"/>
        </w:rPr>
        <w:t>direct</w:t>
      </w:r>
      <w:r w:rsidR="00884E1A">
        <w:rPr>
          <w:rFonts w:cs="Times New Roman"/>
          <w:szCs w:val="22"/>
        </w:rPr>
        <w:t xml:space="preserve"> British rule (Al-</w:t>
      </w:r>
      <w:proofErr w:type="spellStart"/>
      <w:r w:rsidR="00884E1A">
        <w:rPr>
          <w:rFonts w:cs="Times New Roman"/>
          <w:szCs w:val="22"/>
        </w:rPr>
        <w:t>Sewari</w:t>
      </w:r>
      <w:proofErr w:type="spellEnd"/>
      <w:r w:rsidR="00884E1A">
        <w:rPr>
          <w:rFonts w:cs="Times New Roman"/>
          <w:szCs w:val="22"/>
        </w:rPr>
        <w:t>, 2019</w:t>
      </w:r>
      <w:r w:rsidR="00D52A7C">
        <w:rPr>
          <w:rFonts w:cs="Times New Roman"/>
          <w:szCs w:val="22"/>
        </w:rPr>
        <w:t>; Lewis, 2015</w:t>
      </w:r>
      <w:r w:rsidR="00884E1A">
        <w:rPr>
          <w:rFonts w:cs="Times New Roman"/>
          <w:szCs w:val="22"/>
        </w:rPr>
        <w:t xml:space="preserve">). </w:t>
      </w:r>
    </w:p>
    <w:p w14:paraId="06C15836" w14:textId="0E8E0035" w:rsidR="00145619" w:rsidRPr="00187E12" w:rsidRDefault="00FB6D38" w:rsidP="00187E12">
      <w:pPr>
        <w:pStyle w:val="ListParagraph"/>
        <w:numPr>
          <w:ilvl w:val="0"/>
          <w:numId w:val="14"/>
        </w:numPr>
        <w:rPr>
          <w:rFonts w:cs="Times New Roman"/>
          <w:szCs w:val="22"/>
        </w:rPr>
      </w:pPr>
      <w:r w:rsidRPr="00FB6D38">
        <w:rPr>
          <w:rFonts w:cs="Times New Roman"/>
          <w:szCs w:val="22"/>
          <w:shd w:val="clear" w:color="auto" w:fill="FFFFFF"/>
        </w:rPr>
        <w:t>As the British prepared to leave the region, they created the Federation of South Arabia (Clark, 2010:79-81</w:t>
      </w:r>
      <w:r w:rsidRPr="000E0804">
        <w:rPr>
          <w:rFonts w:cs="Times New Roman"/>
          <w:szCs w:val="22"/>
          <w:shd w:val="clear" w:color="auto" w:fill="FFFFFF"/>
        </w:rPr>
        <w:t xml:space="preserve">). </w:t>
      </w:r>
      <w:r w:rsidR="000E0804" w:rsidRPr="000E0804">
        <w:rPr>
          <w:rFonts w:cs="Times New Roman"/>
          <w:szCs w:val="22"/>
          <w:shd w:val="clear" w:color="auto" w:fill="FFFFFF"/>
        </w:rPr>
        <w:t>Mahra</w:t>
      </w:r>
      <w:r w:rsidRPr="000E0804">
        <w:rPr>
          <w:rFonts w:cs="Times New Roman"/>
          <w:szCs w:val="22"/>
          <w:shd w:val="clear" w:color="auto" w:fill="FFFFFF"/>
        </w:rPr>
        <w:t xml:space="preserve"> refused to join the Federation (Salisbury, 2018).</w:t>
      </w:r>
      <w:r w:rsidRPr="00FB6D38">
        <w:rPr>
          <w:rFonts w:cs="Times New Roman"/>
          <w:szCs w:val="22"/>
          <w:shd w:val="clear" w:color="auto" w:fill="FFFFFF"/>
        </w:rPr>
        <w:t xml:space="preserve"> Moreover, less than a year later, an uprising in </w:t>
      </w:r>
      <w:proofErr w:type="spellStart"/>
      <w:r w:rsidRPr="00FB6D38">
        <w:rPr>
          <w:rFonts w:cs="Times New Roman"/>
          <w:szCs w:val="22"/>
          <w:shd w:val="clear" w:color="auto" w:fill="FFFFFF"/>
        </w:rPr>
        <w:t>Radfan</w:t>
      </w:r>
      <w:proofErr w:type="spellEnd"/>
      <w:r w:rsidRPr="00FB6D38">
        <w:rPr>
          <w:rFonts w:cs="Times New Roman"/>
          <w:szCs w:val="22"/>
          <w:shd w:val="clear" w:color="auto" w:fill="FFFFFF"/>
        </w:rPr>
        <w:t>, led by the National Liberation Front (NLF), ignited an insurgency which reached Aden (Clark, 2010:79-81). A state of emergency was declared in 1965; casualties soared, Britain employed harsh security measures, and the two dominant revolutionary factions in the south of Yemen, the NLF and the Front for the Liberation of Occupied South Yemen (FLOSY), also struggled violently against one another (Dresch, 2000:84-6; Hill, 2017:36; Minahan, 1996:544; Al-Hamdani and Lackner, 2020). Britain evacuated and handed power to the NLF (Dresch, 2000:84; Hill, 2017:37; Al-Hamdani and Lackner, 2020). The movement founded the People’s Democratic Republic of Yemen (PDRY) in 1967, declaring it ‘the first and only Marxist state in the Arab world’ (Hill, 2017:37; Minahan, 1996:544).</w:t>
      </w:r>
      <w:r w:rsidR="00187E12">
        <w:rPr>
          <w:rFonts w:cs="Times New Roman"/>
          <w:szCs w:val="22"/>
          <w:shd w:val="clear" w:color="auto" w:fill="FFFFFF"/>
        </w:rPr>
        <w:t xml:space="preserve"> </w:t>
      </w:r>
      <w:r w:rsidR="00145619" w:rsidRPr="00187E12">
        <w:rPr>
          <w:rFonts w:cs="Times New Roman"/>
          <w:szCs w:val="22"/>
        </w:rPr>
        <w:t>Mahra was incorporated into the People’s Democratic Republic of Yemen (PDRY) in 1967 (Kendall, 2018:72). This amalgamation was ‘not consensual’, with the region preferring ‘to retain its independence as the Mahra Sultanate under British protection’ (Kendall, 2018:73</w:t>
      </w:r>
      <w:r w:rsidR="005D21B0" w:rsidRPr="00187E12">
        <w:rPr>
          <w:rFonts w:cs="Times New Roman"/>
          <w:szCs w:val="22"/>
        </w:rPr>
        <w:t>; see also: Mills, 2020</w:t>
      </w:r>
      <w:r w:rsidR="00D52A7C" w:rsidRPr="00187E12">
        <w:rPr>
          <w:rFonts w:cs="Times New Roman"/>
          <w:szCs w:val="22"/>
        </w:rPr>
        <w:t>; Minahan, 2016:256</w:t>
      </w:r>
      <w:r w:rsidR="00145619" w:rsidRPr="00187E12">
        <w:rPr>
          <w:rFonts w:cs="Times New Roman"/>
          <w:szCs w:val="22"/>
        </w:rPr>
        <w:t>). Once the British evacuated, Mahra was left without protection and was overrun by the National Liberation Front (NLF) (Kendall, 2018:73</w:t>
      </w:r>
      <w:r w:rsidR="00884E1A" w:rsidRPr="00187E12">
        <w:rPr>
          <w:rFonts w:cs="Times New Roman"/>
          <w:szCs w:val="22"/>
        </w:rPr>
        <w:t>; Al-</w:t>
      </w:r>
      <w:proofErr w:type="spellStart"/>
      <w:r w:rsidR="00884E1A" w:rsidRPr="00187E12">
        <w:rPr>
          <w:rFonts w:cs="Times New Roman"/>
          <w:szCs w:val="22"/>
        </w:rPr>
        <w:t>Sewari</w:t>
      </w:r>
      <w:proofErr w:type="spellEnd"/>
      <w:r w:rsidR="00884E1A" w:rsidRPr="00187E12">
        <w:rPr>
          <w:rFonts w:cs="Times New Roman"/>
          <w:szCs w:val="22"/>
        </w:rPr>
        <w:t>, 2019</w:t>
      </w:r>
      <w:r w:rsidR="00145619" w:rsidRPr="00187E12">
        <w:rPr>
          <w:rFonts w:cs="Times New Roman"/>
          <w:szCs w:val="22"/>
        </w:rPr>
        <w:t xml:space="preserve">). </w:t>
      </w:r>
      <w:r w:rsidR="00D52A7C" w:rsidRPr="00187E12">
        <w:rPr>
          <w:rFonts w:cs="Times New Roman"/>
          <w:szCs w:val="22"/>
        </w:rPr>
        <w:t xml:space="preserve">There was a sense of betrayal, by the British, in Mahra (Lewis, 2015). </w:t>
      </w:r>
    </w:p>
    <w:p w14:paraId="6DC17592" w14:textId="554D7AFA" w:rsidR="00FF4CEF" w:rsidRPr="004245A0" w:rsidRDefault="00FB6D38" w:rsidP="004245A0">
      <w:pPr>
        <w:pStyle w:val="ListParagraph"/>
        <w:numPr>
          <w:ilvl w:val="0"/>
          <w:numId w:val="14"/>
        </w:numPr>
        <w:rPr>
          <w:rFonts w:cs="Times New Roman"/>
          <w:szCs w:val="22"/>
        </w:rPr>
      </w:pPr>
      <w:r w:rsidRPr="00FB6D38">
        <w:rPr>
          <w:rFonts w:cs="Times New Roman"/>
          <w:szCs w:val="22"/>
          <w:shd w:val="clear" w:color="auto" w:fill="FFFFFF"/>
        </w:rPr>
        <w:t xml:space="preserve">The NLF, now the Yemeni Socialist party (YSP), became </w:t>
      </w:r>
      <w:r w:rsidR="00A14B7E">
        <w:rPr>
          <w:rFonts w:cs="Times New Roman"/>
          <w:szCs w:val="22"/>
          <w:shd w:val="clear" w:color="auto" w:fill="FFFFFF"/>
        </w:rPr>
        <w:t>rife</w:t>
      </w:r>
      <w:r w:rsidRPr="00FB6D38">
        <w:rPr>
          <w:rFonts w:cs="Times New Roman"/>
          <w:szCs w:val="22"/>
          <w:shd w:val="clear" w:color="auto" w:fill="FFFFFF"/>
        </w:rPr>
        <w:t xml:space="preserve"> with internal conflict; in 1986, two conflicting factions took up arms against one another, leading to the deaths of thousands (Dresch, 2000:169; Al-Hamdani and Lackner, 2020). When the clashes subsided, politicians from </w:t>
      </w:r>
      <w:proofErr w:type="spellStart"/>
      <w:r w:rsidRPr="00FB6D38">
        <w:rPr>
          <w:rFonts w:cs="Times New Roman"/>
          <w:szCs w:val="22"/>
          <w:shd w:val="clear" w:color="auto" w:fill="FFFFFF"/>
        </w:rPr>
        <w:t>Hadhramawt</w:t>
      </w:r>
      <w:proofErr w:type="spellEnd"/>
      <w:r w:rsidRPr="00FB6D38">
        <w:rPr>
          <w:rFonts w:cs="Times New Roman"/>
          <w:szCs w:val="22"/>
          <w:shd w:val="clear" w:color="auto" w:fill="FFFFFF"/>
        </w:rPr>
        <w:t xml:space="preserve"> dominated the new government but their attempts to rebuild the state’s economy were unsuccessful and, </w:t>
      </w:r>
      <w:r w:rsidRPr="004629D0">
        <w:rPr>
          <w:rFonts w:cs="Times New Roman"/>
          <w:szCs w:val="22"/>
          <w:shd w:val="clear" w:color="auto" w:fill="FFFFFF"/>
        </w:rPr>
        <w:t>with</w:t>
      </w:r>
      <w:r w:rsidRPr="00FB6D38">
        <w:rPr>
          <w:rFonts w:cs="Times New Roman"/>
          <w:szCs w:val="22"/>
          <w:shd w:val="clear" w:color="auto" w:fill="FFFFFF"/>
        </w:rPr>
        <w:t xml:space="preserve"> Moscow no longer able to support the nascent republic following the collapse of the Soviet Union, the PDRY found itself on the verge of bankruptcy (Hill, 2017:46). Unification with the </w:t>
      </w:r>
      <w:r w:rsidRPr="004629D0">
        <w:rPr>
          <w:rFonts w:cs="Times New Roman"/>
          <w:szCs w:val="22"/>
          <w:shd w:val="clear" w:color="auto" w:fill="FFFFFF"/>
        </w:rPr>
        <w:t>North</w:t>
      </w:r>
      <w:r w:rsidRPr="00FB6D38">
        <w:rPr>
          <w:rFonts w:cs="Times New Roman"/>
          <w:szCs w:val="22"/>
          <w:shd w:val="clear" w:color="auto" w:fill="FFFFFF"/>
        </w:rPr>
        <w:t xml:space="preserve"> was perceived as the only viable path and, in May 1990, Ali Abdullah Saleh assumed the title of President of the United Republic of Yemen (Hill, 2017:46; Minahan, 2016:396; Roth, 2015:214).</w:t>
      </w:r>
      <w:r w:rsidR="004245A0">
        <w:rPr>
          <w:rFonts w:cs="Times New Roman"/>
          <w:szCs w:val="22"/>
          <w:shd w:val="clear" w:color="auto" w:fill="FFFFFF"/>
        </w:rPr>
        <w:t xml:space="preserve"> </w:t>
      </w:r>
      <w:r w:rsidR="00FF4CEF" w:rsidRPr="004245A0">
        <w:rPr>
          <w:rFonts w:cs="Times New Roman"/>
          <w:szCs w:val="22"/>
        </w:rPr>
        <w:t xml:space="preserve">Prior to unification in 1990, Mahra was administered from </w:t>
      </w:r>
      <w:proofErr w:type="spellStart"/>
      <w:r w:rsidR="00FF4CEF" w:rsidRPr="004245A0">
        <w:rPr>
          <w:rFonts w:cs="Times New Roman"/>
          <w:szCs w:val="22"/>
        </w:rPr>
        <w:t>Hadhramawt</w:t>
      </w:r>
      <w:proofErr w:type="spellEnd"/>
      <w:r w:rsidR="00FF4CEF" w:rsidRPr="004245A0">
        <w:rPr>
          <w:rFonts w:cs="Times New Roman"/>
          <w:szCs w:val="22"/>
        </w:rPr>
        <w:t xml:space="preserve"> (Kendall, 2018:77). </w:t>
      </w:r>
    </w:p>
    <w:p w14:paraId="5F8B1FCB" w14:textId="6DDE7335" w:rsidR="00FB6D38" w:rsidRPr="00FB6D38" w:rsidRDefault="00FB6D38" w:rsidP="003E667D">
      <w:pPr>
        <w:pStyle w:val="ListParagraph"/>
        <w:numPr>
          <w:ilvl w:val="0"/>
          <w:numId w:val="14"/>
        </w:numPr>
        <w:rPr>
          <w:rFonts w:cs="Times New Roman"/>
          <w:szCs w:val="22"/>
        </w:rPr>
      </w:pPr>
      <w:r w:rsidRPr="00FB6D38">
        <w:rPr>
          <w:rFonts w:cs="Times New Roman"/>
          <w:szCs w:val="22"/>
          <w:shd w:val="clear" w:color="auto" w:fill="FFFFFF"/>
        </w:rPr>
        <w:t>In the years following unification, Saleh and other northerners retained firm control of the most important levels of power, with deep distrust pervading the relationship between the bureaucracies and militaries of the south and the north (Clark, 2010:135, 138; Hill, 2017:48; Hewitt and Cheetham, 2000). During the official three-year transition period, there was a rapid decline in living standards in the sout</w:t>
      </w:r>
      <w:r w:rsidR="000E0804">
        <w:rPr>
          <w:rFonts w:cs="Times New Roman"/>
          <w:szCs w:val="22"/>
          <w:shd w:val="clear" w:color="auto" w:fill="FFFFFF"/>
        </w:rPr>
        <w:t>h (Al-Hamdani and L</w:t>
      </w:r>
      <w:r w:rsidRPr="00FB6D38">
        <w:rPr>
          <w:rFonts w:cs="Times New Roman"/>
          <w:szCs w:val="22"/>
          <w:shd w:val="clear" w:color="auto" w:fill="FFFFFF"/>
        </w:rPr>
        <w:t xml:space="preserve">ackner, 2020). Following the discovery of oil in </w:t>
      </w:r>
      <w:proofErr w:type="spellStart"/>
      <w:r w:rsidRPr="00FB6D38">
        <w:rPr>
          <w:rFonts w:cs="Times New Roman"/>
          <w:szCs w:val="22"/>
          <w:shd w:val="clear" w:color="auto" w:fill="FFFFFF"/>
        </w:rPr>
        <w:t>Hadhramawt</w:t>
      </w:r>
      <w:proofErr w:type="spellEnd"/>
      <w:r w:rsidRPr="00FB6D38">
        <w:rPr>
          <w:rFonts w:cs="Times New Roman"/>
          <w:szCs w:val="22"/>
          <w:shd w:val="clear" w:color="auto" w:fill="FFFFFF"/>
        </w:rPr>
        <w:t xml:space="preserve">, the sense that the north was draining the resources of the south, and the exclusion of southerners from Saleh’s newly enriched networks of patronage, fostered resentment, prompting a descent into civil war (Hill, 2017:48; Lackner, 2017:119; Dresch, 2000:193-4; Minahan, 1996:544). A southern separatist bid, which enjoyed Saudi support, proved unsuccessful; northern tanks rolled into Aden in 1994 (Dresch, 2000:197; Roth, 2015:215; Minahan, 1996:544). Appalling misconduct by the northern military was reported (Dresch, 2000:197) and, following the conflict, the constitution was altered, granting Saleh greater power (Clark, 2010:144). In the years following the conflict, the Southerners ‘saw their economic </w:t>
      </w:r>
      <w:r w:rsidRPr="00FB6D38">
        <w:rPr>
          <w:rFonts w:cs="Times New Roman"/>
          <w:szCs w:val="22"/>
          <w:shd w:val="clear" w:color="auto" w:fill="FFFFFF"/>
        </w:rPr>
        <w:lastRenderedPageBreak/>
        <w:t>situation deteriorate and their social lives increasingly fall under influence of conservative religious norms which particularly affected women’ (Al-Hamdani and Lackner, 2020).</w:t>
      </w:r>
    </w:p>
    <w:p w14:paraId="41BAB515" w14:textId="1D8C2829" w:rsidR="00FB6D38" w:rsidRPr="00FB6D38" w:rsidRDefault="00FB6D38" w:rsidP="003E667D">
      <w:pPr>
        <w:pStyle w:val="ListParagraph"/>
        <w:numPr>
          <w:ilvl w:val="0"/>
          <w:numId w:val="14"/>
        </w:numPr>
        <w:rPr>
          <w:rFonts w:cs="Times New Roman"/>
          <w:szCs w:val="22"/>
        </w:rPr>
      </w:pPr>
      <w:r w:rsidRPr="00FB6D38">
        <w:rPr>
          <w:rFonts w:cs="Times New Roman"/>
          <w:szCs w:val="22"/>
          <w:shd w:val="clear" w:color="auto" w:fill="FFFFFF"/>
        </w:rPr>
        <w:t>In 2011, a revolution broke out in Yemen which forced President Saleh from power and saw President Hadi assume the role of caretaker President following a referendum.</w:t>
      </w:r>
    </w:p>
    <w:p w14:paraId="5DA005A4" w14:textId="1990DE12" w:rsidR="00550BD7" w:rsidRDefault="00550BD7" w:rsidP="00550BD7">
      <w:pPr>
        <w:rPr>
          <w:rFonts w:cs="Times New Roman"/>
          <w:szCs w:val="22"/>
        </w:rPr>
      </w:pPr>
    </w:p>
    <w:p w14:paraId="65A41A79" w14:textId="77777777" w:rsidR="00FE0C72" w:rsidRPr="006F657B" w:rsidRDefault="00FE0C72" w:rsidP="00550BD7">
      <w:pPr>
        <w:rPr>
          <w:rFonts w:cs="Times New Roman"/>
          <w:szCs w:val="22"/>
        </w:rPr>
      </w:pPr>
    </w:p>
    <w:p w14:paraId="5F05483B" w14:textId="77777777" w:rsidR="00550BD7" w:rsidRPr="00BE5168" w:rsidRDefault="00550BD7" w:rsidP="00550BD7">
      <w:pPr>
        <w:rPr>
          <w:rFonts w:cs="Times New Roman"/>
          <w:b/>
          <w:szCs w:val="22"/>
        </w:rPr>
      </w:pPr>
      <w:r w:rsidRPr="00BE5168">
        <w:rPr>
          <w:rFonts w:cs="Times New Roman"/>
          <w:b/>
          <w:szCs w:val="22"/>
        </w:rPr>
        <w:t>Concessions and restrictions</w:t>
      </w:r>
    </w:p>
    <w:p w14:paraId="68B0EF99" w14:textId="77777777" w:rsidR="00550BD7" w:rsidRPr="006F657B" w:rsidRDefault="00550BD7" w:rsidP="00550BD7">
      <w:pPr>
        <w:rPr>
          <w:rFonts w:cs="Times New Roman"/>
          <w:szCs w:val="22"/>
        </w:rPr>
      </w:pPr>
    </w:p>
    <w:p w14:paraId="096E3F45" w14:textId="61AE87E6" w:rsidR="00125EC1" w:rsidRDefault="00125EC1" w:rsidP="00125EC1">
      <w:pPr>
        <w:pStyle w:val="ListParagraph"/>
        <w:numPr>
          <w:ilvl w:val="0"/>
          <w:numId w:val="21"/>
        </w:numPr>
        <w:rPr>
          <w:rFonts w:cs="Times New Roman"/>
          <w:szCs w:val="22"/>
        </w:rPr>
      </w:pPr>
      <w:r>
        <w:rPr>
          <w:rFonts w:cs="Times New Roman"/>
          <w:szCs w:val="22"/>
        </w:rPr>
        <w:t>As the state collapsed during the war, ‘the local authority in Mahra began to develop independent solutions to ensure the governorate’s economic stability’; for instance, by creating the Committee of Petroleum Products which allowed traders to import and sell oil in return for paying taxes to the local authority (Al-</w:t>
      </w:r>
      <w:proofErr w:type="spellStart"/>
      <w:r>
        <w:rPr>
          <w:rFonts w:cs="Times New Roman"/>
          <w:szCs w:val="22"/>
        </w:rPr>
        <w:t>Sewari</w:t>
      </w:r>
      <w:proofErr w:type="spellEnd"/>
      <w:r>
        <w:rPr>
          <w:rFonts w:cs="Times New Roman"/>
          <w:szCs w:val="22"/>
        </w:rPr>
        <w:t xml:space="preserve">, 2019). </w:t>
      </w:r>
    </w:p>
    <w:p w14:paraId="49C5752B" w14:textId="77777777" w:rsidR="00125EC1" w:rsidRPr="004629D0" w:rsidRDefault="00125EC1" w:rsidP="00125EC1">
      <w:pPr>
        <w:pStyle w:val="ListParagraph"/>
        <w:numPr>
          <w:ilvl w:val="0"/>
          <w:numId w:val="21"/>
        </w:numPr>
        <w:rPr>
          <w:rFonts w:cs="Times New Roman"/>
          <w:szCs w:val="22"/>
        </w:rPr>
      </w:pPr>
      <w:r w:rsidRPr="004629D0">
        <w:rPr>
          <w:rFonts w:cs="Times New Roman"/>
          <w:szCs w:val="22"/>
          <w:shd w:val="clear" w:color="auto" w:fill="FFFFFF"/>
        </w:rPr>
        <w:t xml:space="preserve">Between 2013 and 2014, a National Dialogue Conference (NDC) was convened </w:t>
      </w:r>
      <w:proofErr w:type="gramStart"/>
      <w:r w:rsidRPr="004629D0">
        <w:rPr>
          <w:rFonts w:cs="Times New Roman"/>
          <w:szCs w:val="22"/>
          <w:shd w:val="clear" w:color="auto" w:fill="FFFFFF"/>
        </w:rPr>
        <w:t>in an attempt to</w:t>
      </w:r>
      <w:proofErr w:type="gramEnd"/>
      <w:r w:rsidRPr="004629D0">
        <w:rPr>
          <w:rFonts w:cs="Times New Roman"/>
          <w:szCs w:val="22"/>
          <w:shd w:val="clear" w:color="auto" w:fill="FFFFFF"/>
        </w:rPr>
        <w:t xml:space="preserve"> resolve the political crisis in Yemen. At the conference, it was agreed that Yemen would be </w:t>
      </w:r>
      <w:proofErr w:type="gramStart"/>
      <w:r w:rsidRPr="004629D0">
        <w:rPr>
          <w:rFonts w:cs="Times New Roman"/>
          <w:szCs w:val="22"/>
          <w:shd w:val="clear" w:color="auto" w:fill="FFFFFF"/>
        </w:rPr>
        <w:t>federalized</w:t>
      </w:r>
      <w:proofErr w:type="gramEnd"/>
      <w:r w:rsidRPr="004629D0">
        <w:rPr>
          <w:rFonts w:cs="Times New Roman"/>
          <w:szCs w:val="22"/>
          <w:shd w:val="clear" w:color="auto" w:fill="FFFFFF"/>
        </w:rPr>
        <w:t xml:space="preserve"> and a committee was established to decide the precise shape of federalism in Yemen. It was decided that Mahra would be joined with </w:t>
      </w:r>
      <w:proofErr w:type="spellStart"/>
      <w:r w:rsidRPr="004629D0">
        <w:rPr>
          <w:rFonts w:cs="Times New Roman"/>
          <w:szCs w:val="22"/>
          <w:shd w:val="clear" w:color="auto" w:fill="FFFFFF"/>
        </w:rPr>
        <w:t>Hadhramawt</w:t>
      </w:r>
      <w:proofErr w:type="spellEnd"/>
      <w:r w:rsidRPr="004629D0">
        <w:rPr>
          <w:rFonts w:cs="Times New Roman"/>
          <w:szCs w:val="22"/>
          <w:shd w:val="clear" w:color="auto" w:fill="FFFFFF"/>
        </w:rPr>
        <w:t xml:space="preserve"> to create one of six regions, and this was strongly rejected in Mahra (Lewis, 2015</w:t>
      </w:r>
      <w:r>
        <w:rPr>
          <w:rFonts w:cs="Times New Roman"/>
          <w:szCs w:val="22"/>
          <w:shd w:val="clear" w:color="auto" w:fill="FFFFFF"/>
        </w:rPr>
        <w:t>; see also: Minahan, 2016:256</w:t>
      </w:r>
      <w:r w:rsidRPr="004629D0">
        <w:rPr>
          <w:rFonts w:cs="Times New Roman"/>
          <w:szCs w:val="22"/>
          <w:shd w:val="clear" w:color="auto" w:fill="FFFFFF"/>
        </w:rPr>
        <w:t xml:space="preserve">). However, federalization was never implemented; just one year following the conclusion of the NDC, the northern </w:t>
      </w:r>
      <w:proofErr w:type="spellStart"/>
      <w:r w:rsidRPr="004629D0">
        <w:rPr>
          <w:rFonts w:cs="Times New Roman"/>
          <w:szCs w:val="22"/>
          <w:shd w:val="clear" w:color="auto" w:fill="FFFFFF"/>
        </w:rPr>
        <w:t>Huthi</w:t>
      </w:r>
      <w:proofErr w:type="spellEnd"/>
      <w:r w:rsidRPr="004629D0">
        <w:rPr>
          <w:rFonts w:cs="Times New Roman"/>
          <w:szCs w:val="22"/>
          <w:shd w:val="clear" w:color="auto" w:fill="FFFFFF"/>
        </w:rPr>
        <w:t xml:space="preserve"> movement marched into the capital, Sana’a, triggering a fierce civil war. Baron and </w:t>
      </w:r>
      <w:proofErr w:type="spellStart"/>
      <w:r w:rsidRPr="004629D0">
        <w:rPr>
          <w:rFonts w:cs="Times New Roman"/>
          <w:szCs w:val="22"/>
          <w:shd w:val="clear" w:color="auto" w:fill="FFFFFF"/>
        </w:rPr>
        <w:t>Basalma</w:t>
      </w:r>
      <w:proofErr w:type="spellEnd"/>
      <w:r w:rsidRPr="004629D0">
        <w:rPr>
          <w:rFonts w:cs="Times New Roman"/>
          <w:szCs w:val="22"/>
          <w:shd w:val="clear" w:color="auto" w:fill="FFFFFF"/>
        </w:rPr>
        <w:t xml:space="preserve"> (2021) argue that ‘the war has fragmented Yemen’s political system and created a power vacuum to an extent that has arguably never been seen in the country’s modern history’. </w:t>
      </w:r>
    </w:p>
    <w:p w14:paraId="657DF28F" w14:textId="77777777" w:rsidR="00125EC1" w:rsidRDefault="00125EC1" w:rsidP="00125EC1">
      <w:pPr>
        <w:pStyle w:val="ListParagraph"/>
        <w:numPr>
          <w:ilvl w:val="0"/>
          <w:numId w:val="21"/>
        </w:numPr>
        <w:rPr>
          <w:rFonts w:cs="Times New Roman"/>
          <w:szCs w:val="22"/>
        </w:rPr>
      </w:pPr>
      <w:r>
        <w:rPr>
          <w:rFonts w:cs="Times New Roman"/>
          <w:szCs w:val="22"/>
        </w:rPr>
        <w:t xml:space="preserve">From August 2015 to late 2017, the UAE operated limited military forces in the region, and attempted to create a local security force under its direction (Mills, 2020). </w:t>
      </w:r>
    </w:p>
    <w:p w14:paraId="2BCF5681" w14:textId="77777777" w:rsidR="00125EC1" w:rsidRDefault="00125EC1" w:rsidP="00125EC1">
      <w:pPr>
        <w:pStyle w:val="ListParagraph"/>
        <w:numPr>
          <w:ilvl w:val="0"/>
          <w:numId w:val="21"/>
        </w:numPr>
        <w:rPr>
          <w:rFonts w:cs="Times New Roman"/>
          <w:szCs w:val="22"/>
        </w:rPr>
      </w:pPr>
      <w:r>
        <w:rPr>
          <w:rFonts w:cs="Times New Roman"/>
          <w:szCs w:val="22"/>
        </w:rPr>
        <w:t xml:space="preserve">In 2017, Saudi-backed forces moved into Mahra and came to dominate nine districts, building several military compounds. In response, Oman began supporting ‘local tribes standing against the Saudis’ (Nagi, 2020; Mills, 2020). </w:t>
      </w:r>
    </w:p>
    <w:p w14:paraId="4C3664AF" w14:textId="2FA76BBE" w:rsidR="00125EC1" w:rsidRDefault="00125EC1" w:rsidP="00125EC1">
      <w:pPr>
        <w:pStyle w:val="ListParagraph"/>
        <w:numPr>
          <w:ilvl w:val="0"/>
          <w:numId w:val="21"/>
        </w:numPr>
        <w:rPr>
          <w:rFonts w:cs="Times New Roman"/>
          <w:szCs w:val="22"/>
        </w:rPr>
      </w:pPr>
      <w:r>
        <w:rPr>
          <w:rFonts w:cs="Times New Roman"/>
          <w:szCs w:val="22"/>
        </w:rPr>
        <w:t xml:space="preserve">In 2017, the then-governor of Mahra, Mohammed Kudda, began to organize a conference, to promote investment opportunities in Mahra. However, at the Saudis’ request, President Hadi dismissed the governor, who had been </w:t>
      </w:r>
      <w:proofErr w:type="spellStart"/>
      <w:r>
        <w:rPr>
          <w:rFonts w:cs="Times New Roman"/>
          <w:szCs w:val="22"/>
        </w:rPr>
        <w:t>criticial</w:t>
      </w:r>
      <w:proofErr w:type="spellEnd"/>
      <w:r>
        <w:rPr>
          <w:rFonts w:cs="Times New Roman"/>
          <w:szCs w:val="22"/>
        </w:rPr>
        <w:t xml:space="preserve"> of Saudi intervention in Mahra. Hadi then installed a replacement, Rajih Bakrit, deemed loyal to the Saudis, whose first decision was to cancel the conference (Nagi, 2020). </w:t>
      </w:r>
      <w:r w:rsidR="00F32CE8">
        <w:rPr>
          <w:rFonts w:cs="Times New Roman"/>
          <w:szCs w:val="22"/>
        </w:rPr>
        <w:t>It is ambiguous whether this constitutes a restriction as defined here.</w:t>
      </w:r>
    </w:p>
    <w:p w14:paraId="3EAD0B37" w14:textId="43066D45" w:rsidR="00547E46" w:rsidRDefault="000E0804" w:rsidP="00FF4CEF">
      <w:pPr>
        <w:pStyle w:val="ListParagraph"/>
        <w:numPr>
          <w:ilvl w:val="0"/>
          <w:numId w:val="21"/>
        </w:numPr>
        <w:rPr>
          <w:rFonts w:cs="Times New Roman"/>
          <w:szCs w:val="22"/>
        </w:rPr>
      </w:pPr>
      <w:r>
        <w:rPr>
          <w:rFonts w:cs="Times New Roman"/>
          <w:szCs w:val="22"/>
        </w:rPr>
        <w:t xml:space="preserve">As noted above, </w:t>
      </w:r>
      <w:r w:rsidR="00FF4CEF">
        <w:rPr>
          <w:rFonts w:cs="Times New Roman"/>
          <w:szCs w:val="22"/>
        </w:rPr>
        <w:t>Saudi Arabia ‘controls the governorate’s airport, border crossings and main seaport, and has established more than a dozen military bases around the governorate where it has stationed thousands of its own troops and Yemeni proxy forces imported from other southern governorates’ (Al-</w:t>
      </w:r>
      <w:proofErr w:type="spellStart"/>
      <w:r w:rsidR="00FF4CEF">
        <w:rPr>
          <w:rFonts w:cs="Times New Roman"/>
          <w:szCs w:val="22"/>
        </w:rPr>
        <w:t>Sewari</w:t>
      </w:r>
      <w:proofErr w:type="spellEnd"/>
      <w:r w:rsidR="00FF4CEF">
        <w:rPr>
          <w:rFonts w:cs="Times New Roman"/>
          <w:szCs w:val="22"/>
        </w:rPr>
        <w:t>, 2019). There is ‘a growing opposition movement to the Saudi presence’, supported by Oman and, ‘in more recent months there have been clashes with Saudi forces, with the Saudi air force carrying out airstrikes against Mahri tribesmen’ (Al-</w:t>
      </w:r>
      <w:proofErr w:type="spellStart"/>
      <w:r w:rsidR="00FF4CEF">
        <w:rPr>
          <w:rFonts w:cs="Times New Roman"/>
          <w:szCs w:val="22"/>
        </w:rPr>
        <w:t>Sewari</w:t>
      </w:r>
      <w:proofErr w:type="spellEnd"/>
      <w:r w:rsidR="00FF4CEF">
        <w:rPr>
          <w:rFonts w:cs="Times New Roman"/>
          <w:szCs w:val="22"/>
        </w:rPr>
        <w:t>, 2019).</w:t>
      </w:r>
      <w:r w:rsidR="004C4ACB">
        <w:rPr>
          <w:rFonts w:cs="Times New Roman"/>
          <w:szCs w:val="22"/>
        </w:rPr>
        <w:t xml:space="preserve"> However, this constitutes neither a concession nor a restriction. </w:t>
      </w:r>
    </w:p>
    <w:p w14:paraId="66E4BD8F" w14:textId="601FEC9B" w:rsidR="00550BD7" w:rsidRDefault="00547E46" w:rsidP="00FF4CEF">
      <w:pPr>
        <w:pStyle w:val="ListParagraph"/>
        <w:numPr>
          <w:ilvl w:val="0"/>
          <w:numId w:val="21"/>
        </w:numPr>
        <w:rPr>
          <w:rFonts w:cs="Times New Roman"/>
          <w:szCs w:val="22"/>
        </w:rPr>
      </w:pPr>
      <w:r>
        <w:rPr>
          <w:rFonts w:cs="Times New Roman"/>
          <w:szCs w:val="22"/>
        </w:rPr>
        <w:t xml:space="preserve">In September 2019, </w:t>
      </w:r>
      <w:proofErr w:type="spellStart"/>
      <w:r>
        <w:rPr>
          <w:rFonts w:cs="Times New Roman"/>
          <w:szCs w:val="22"/>
        </w:rPr>
        <w:t>Mahris</w:t>
      </w:r>
      <w:proofErr w:type="spellEnd"/>
      <w:r>
        <w:rPr>
          <w:rFonts w:cs="Times New Roman"/>
          <w:szCs w:val="22"/>
        </w:rPr>
        <w:t xml:space="preserve"> created the Southern National Salvation Council to counter the UAE-backed Southern Transitional Council (STC) and to expel the Saudi-led coalition’s military forces from Mahra and from South Yemen more broadly. The Southern National Salvation Council was backed by Oman (Nagi, 2020).</w:t>
      </w:r>
      <w:r w:rsidR="004245A0">
        <w:rPr>
          <w:rFonts w:cs="Times New Roman"/>
          <w:szCs w:val="22"/>
        </w:rPr>
        <w:t xml:space="preserve"> This also constitutes neither a concession nor a restriction.</w:t>
      </w:r>
      <w:r>
        <w:rPr>
          <w:rFonts w:cs="Times New Roman"/>
          <w:szCs w:val="22"/>
        </w:rPr>
        <w:t xml:space="preserve"> </w:t>
      </w:r>
      <w:r w:rsidR="00FF4CEF">
        <w:rPr>
          <w:rFonts w:cs="Times New Roman"/>
          <w:szCs w:val="22"/>
        </w:rPr>
        <w:t xml:space="preserve"> </w:t>
      </w:r>
    </w:p>
    <w:p w14:paraId="70491640" w14:textId="63988E2A" w:rsidR="00550BD7" w:rsidRDefault="00550BD7" w:rsidP="00550BD7">
      <w:pPr>
        <w:rPr>
          <w:rFonts w:cs="Times New Roman"/>
          <w:szCs w:val="22"/>
        </w:rPr>
      </w:pPr>
    </w:p>
    <w:p w14:paraId="6E92C4E9" w14:textId="77777777" w:rsidR="00FE0C72" w:rsidRPr="006F657B" w:rsidRDefault="00FE0C72" w:rsidP="00550BD7">
      <w:pPr>
        <w:rPr>
          <w:rFonts w:cs="Times New Roman"/>
          <w:szCs w:val="22"/>
        </w:rPr>
      </w:pPr>
    </w:p>
    <w:p w14:paraId="3EE78664" w14:textId="77777777" w:rsidR="00550BD7" w:rsidRPr="00BE5168" w:rsidRDefault="00550BD7" w:rsidP="00550BD7">
      <w:pPr>
        <w:rPr>
          <w:rFonts w:cs="Times New Roman"/>
          <w:b/>
          <w:szCs w:val="22"/>
        </w:rPr>
      </w:pPr>
      <w:r>
        <w:rPr>
          <w:rFonts w:cs="Times New Roman"/>
          <w:b/>
          <w:szCs w:val="22"/>
        </w:rPr>
        <w:t xml:space="preserve">Regional autonomy </w:t>
      </w:r>
    </w:p>
    <w:p w14:paraId="531B8EF5" w14:textId="77777777" w:rsidR="00550BD7" w:rsidRPr="006F657B" w:rsidRDefault="00550BD7" w:rsidP="00550BD7">
      <w:pPr>
        <w:rPr>
          <w:rFonts w:cs="Times New Roman"/>
          <w:szCs w:val="22"/>
        </w:rPr>
      </w:pPr>
    </w:p>
    <w:p w14:paraId="43344193" w14:textId="79A213E9" w:rsidR="00681D6C" w:rsidRDefault="00681D6C" w:rsidP="00681D6C">
      <w:pPr>
        <w:pStyle w:val="ListParagraph"/>
        <w:numPr>
          <w:ilvl w:val="0"/>
          <w:numId w:val="15"/>
        </w:numPr>
        <w:rPr>
          <w:rFonts w:cs="Times New Roman"/>
          <w:szCs w:val="22"/>
        </w:rPr>
      </w:pPr>
      <w:r w:rsidRPr="00681D6C">
        <w:rPr>
          <w:rFonts w:cs="Times New Roman"/>
          <w:szCs w:val="22"/>
        </w:rPr>
        <w:t xml:space="preserve">In 1998, Yemen was divided into ten provinces – called governates – each of which was further divided into districts. The central government appoints a governor as well as district heads (Baron et al., 2016:4f). Baron et al. (2016:4) suggest that as a result, ‘there was, for all intents and purposes, no local representation in local governance, with all power and decision-making authority centralized in the capital’. Since the outbreak of war, ‘the ability of local councils to provide services and govern weakened substantially, as their sources of financial funding, as well as the wider economy, began to collapse’ (Baron et al., 2016:8). Overall, the evidence we found suggests that governates, such as Mahra, have relatively little autonomy. Notably, foreign states </w:t>
      </w:r>
      <w:r w:rsidRPr="00681D6C">
        <w:rPr>
          <w:rFonts w:cs="Times New Roman"/>
          <w:szCs w:val="22"/>
        </w:rPr>
        <w:lastRenderedPageBreak/>
        <w:t xml:space="preserve">including Saudi Arabia, UAE, and Oman, </w:t>
      </w:r>
      <w:r w:rsidR="004C4ACB" w:rsidRPr="00681D6C">
        <w:rPr>
          <w:rFonts w:cs="Times New Roman"/>
          <w:szCs w:val="22"/>
        </w:rPr>
        <w:t xml:space="preserve">have wielded varying levels of control over </w:t>
      </w:r>
      <w:r w:rsidRPr="00681D6C">
        <w:rPr>
          <w:rFonts w:cs="Times New Roman"/>
          <w:szCs w:val="22"/>
        </w:rPr>
        <w:t>Mahra</w:t>
      </w:r>
      <w:r w:rsidR="004C4ACB" w:rsidRPr="00681D6C">
        <w:rPr>
          <w:rFonts w:cs="Times New Roman"/>
          <w:szCs w:val="22"/>
        </w:rPr>
        <w:t xml:space="preserve"> (Nagi, 2020, Al-</w:t>
      </w:r>
      <w:proofErr w:type="spellStart"/>
      <w:r w:rsidR="004C4ACB" w:rsidRPr="00681D6C">
        <w:rPr>
          <w:rFonts w:cs="Times New Roman"/>
          <w:szCs w:val="22"/>
        </w:rPr>
        <w:t>Sewari</w:t>
      </w:r>
      <w:proofErr w:type="spellEnd"/>
      <w:r w:rsidR="004C4ACB" w:rsidRPr="00681D6C">
        <w:rPr>
          <w:rFonts w:cs="Times New Roman"/>
          <w:szCs w:val="22"/>
        </w:rPr>
        <w:t>, 2019; Mills, 2020).</w:t>
      </w:r>
      <w:r w:rsidRPr="00681D6C">
        <w:rPr>
          <w:rFonts w:cs="Times New Roman"/>
          <w:szCs w:val="22"/>
        </w:rPr>
        <w:t xml:space="preserve"> </w:t>
      </w:r>
      <w:r>
        <w:rPr>
          <w:rFonts w:cs="Times New Roman"/>
          <w:szCs w:val="22"/>
        </w:rPr>
        <w:t>[no autonomy]</w:t>
      </w:r>
    </w:p>
    <w:p w14:paraId="72B25544" w14:textId="77777777" w:rsidR="00F32CE8" w:rsidRDefault="00F32CE8" w:rsidP="00550BD7">
      <w:pPr>
        <w:rPr>
          <w:rFonts w:cs="Times New Roman"/>
          <w:b/>
          <w:szCs w:val="22"/>
        </w:rPr>
      </w:pPr>
    </w:p>
    <w:p w14:paraId="068FF6E0" w14:textId="77777777" w:rsidR="00F32CE8" w:rsidRDefault="00F32CE8" w:rsidP="00550BD7">
      <w:pPr>
        <w:rPr>
          <w:rFonts w:cs="Times New Roman"/>
          <w:b/>
          <w:szCs w:val="22"/>
        </w:rPr>
      </w:pPr>
    </w:p>
    <w:p w14:paraId="435685A3" w14:textId="3E7E18F3" w:rsidR="00550BD7" w:rsidRPr="0088796E" w:rsidRDefault="00550BD7" w:rsidP="00550BD7">
      <w:pPr>
        <w:rPr>
          <w:rFonts w:cs="Times New Roman"/>
          <w:b/>
          <w:szCs w:val="22"/>
        </w:rPr>
      </w:pPr>
      <w:r>
        <w:rPr>
          <w:rFonts w:cs="Times New Roman"/>
          <w:b/>
          <w:szCs w:val="22"/>
        </w:rPr>
        <w:t>De facto i</w:t>
      </w:r>
      <w:r w:rsidRPr="0088796E">
        <w:rPr>
          <w:rFonts w:cs="Times New Roman"/>
          <w:b/>
          <w:szCs w:val="22"/>
        </w:rPr>
        <w:t>ndependence</w:t>
      </w:r>
    </w:p>
    <w:p w14:paraId="6951A7F0" w14:textId="77777777" w:rsidR="00550BD7" w:rsidRPr="006F657B" w:rsidRDefault="00550BD7" w:rsidP="00550BD7">
      <w:pPr>
        <w:rPr>
          <w:rFonts w:cs="Times New Roman"/>
          <w:bCs/>
          <w:szCs w:val="22"/>
        </w:rPr>
      </w:pPr>
    </w:p>
    <w:p w14:paraId="7CA48756" w14:textId="173C5CC1" w:rsidR="00550BD7" w:rsidRPr="00681D6C" w:rsidRDefault="004C4ACB" w:rsidP="00681D6C">
      <w:pPr>
        <w:rPr>
          <w:rFonts w:cs="Times New Roman"/>
          <w:bCs/>
          <w:szCs w:val="22"/>
        </w:rPr>
      </w:pPr>
      <w:r w:rsidRPr="00681D6C">
        <w:rPr>
          <w:rFonts w:cs="Times New Roman"/>
          <w:bCs/>
          <w:szCs w:val="22"/>
        </w:rPr>
        <w:t>NA</w:t>
      </w:r>
    </w:p>
    <w:p w14:paraId="4EE8F6B0" w14:textId="129DEE16" w:rsidR="00550BD7" w:rsidRDefault="00550BD7" w:rsidP="00550BD7">
      <w:pPr>
        <w:rPr>
          <w:rFonts w:cs="Times New Roman"/>
          <w:bCs/>
          <w:szCs w:val="22"/>
        </w:rPr>
      </w:pPr>
    </w:p>
    <w:p w14:paraId="4FC36D13" w14:textId="77777777" w:rsidR="00681D6C" w:rsidRPr="006F657B" w:rsidRDefault="00681D6C" w:rsidP="00550BD7">
      <w:pPr>
        <w:rPr>
          <w:rFonts w:cs="Times New Roman"/>
          <w:bCs/>
          <w:szCs w:val="22"/>
        </w:rPr>
      </w:pPr>
    </w:p>
    <w:p w14:paraId="5A4C8EEF" w14:textId="77777777" w:rsidR="00550BD7" w:rsidRPr="00BE5168" w:rsidRDefault="00550BD7" w:rsidP="00550BD7">
      <w:pPr>
        <w:rPr>
          <w:rFonts w:cs="Times New Roman"/>
          <w:b/>
          <w:szCs w:val="22"/>
        </w:rPr>
      </w:pPr>
      <w:r w:rsidRPr="007943A1">
        <w:rPr>
          <w:rFonts w:cs="Times New Roman"/>
          <w:b/>
          <w:szCs w:val="22"/>
        </w:rPr>
        <w:t>Major territorial changes</w:t>
      </w:r>
    </w:p>
    <w:p w14:paraId="46144E3A" w14:textId="77777777" w:rsidR="00550BD7" w:rsidRPr="006F657B" w:rsidRDefault="00550BD7" w:rsidP="00550BD7">
      <w:pPr>
        <w:rPr>
          <w:rFonts w:cs="Times New Roman"/>
          <w:bCs/>
          <w:szCs w:val="22"/>
        </w:rPr>
      </w:pPr>
    </w:p>
    <w:p w14:paraId="1409D406" w14:textId="4F2EC14E" w:rsidR="00550BD7" w:rsidRPr="00681D6C" w:rsidRDefault="004C4ACB" w:rsidP="00681D6C">
      <w:pPr>
        <w:rPr>
          <w:rFonts w:cs="Times New Roman"/>
          <w:bCs/>
          <w:szCs w:val="22"/>
        </w:rPr>
      </w:pPr>
      <w:r w:rsidRPr="00681D6C">
        <w:rPr>
          <w:rFonts w:cs="Times New Roman"/>
          <w:bCs/>
          <w:szCs w:val="22"/>
        </w:rPr>
        <w:t>N</w:t>
      </w:r>
      <w:r w:rsidR="00681D6C">
        <w:rPr>
          <w:rFonts w:cs="Times New Roman"/>
          <w:bCs/>
          <w:szCs w:val="22"/>
        </w:rPr>
        <w:t>A</w:t>
      </w:r>
    </w:p>
    <w:p w14:paraId="5817B28F" w14:textId="4FBAACA5" w:rsidR="00550BD7" w:rsidRDefault="00550BD7" w:rsidP="00550BD7">
      <w:pPr>
        <w:rPr>
          <w:rFonts w:cs="Times New Roman"/>
          <w:bCs/>
          <w:szCs w:val="22"/>
        </w:rPr>
      </w:pPr>
    </w:p>
    <w:p w14:paraId="477E1194" w14:textId="77777777" w:rsidR="00681D6C" w:rsidRPr="006F657B" w:rsidRDefault="00681D6C" w:rsidP="00550BD7">
      <w:pPr>
        <w:rPr>
          <w:rFonts w:cs="Times New Roman"/>
          <w:bCs/>
          <w:szCs w:val="22"/>
        </w:rPr>
      </w:pPr>
    </w:p>
    <w:p w14:paraId="2C489A81" w14:textId="77777777" w:rsidR="00A53EBA" w:rsidRPr="00D251DF" w:rsidRDefault="00A53EBA" w:rsidP="00A53EBA">
      <w:pPr>
        <w:ind w:left="709" w:hanging="709"/>
        <w:rPr>
          <w:rFonts w:cs="Times New Roman"/>
          <w:b/>
        </w:rPr>
      </w:pPr>
      <w:r w:rsidRPr="00D251DF">
        <w:rPr>
          <w:rFonts w:cs="Times New Roman"/>
          <w:b/>
        </w:rPr>
        <w:t>EPR2SDM</w:t>
      </w:r>
    </w:p>
    <w:p w14:paraId="785BFFBB" w14:textId="77777777" w:rsidR="00A53EBA" w:rsidRPr="00D251DF" w:rsidRDefault="00A53EBA" w:rsidP="00A53EBA">
      <w:pPr>
        <w:ind w:left="709" w:hanging="709"/>
        <w:rPr>
          <w:rFonts w:cs="Times New Roman"/>
          <w:b/>
        </w:rPr>
      </w:pPr>
    </w:p>
    <w:tbl>
      <w:tblPr>
        <w:tblStyle w:val="Tabellenraster1"/>
        <w:tblW w:w="5000" w:type="pct"/>
        <w:tblLook w:val="04A0" w:firstRow="1" w:lastRow="0" w:firstColumn="1" w:lastColumn="0" w:noHBand="0" w:noVBand="1"/>
      </w:tblPr>
      <w:tblGrid>
        <w:gridCol w:w="4678"/>
        <w:gridCol w:w="4666"/>
      </w:tblGrid>
      <w:tr w:rsidR="00A53EBA" w:rsidRPr="00D251DF" w14:paraId="62BE65B7" w14:textId="77777777" w:rsidTr="0078107C">
        <w:trPr>
          <w:trHeight w:val="284"/>
        </w:trPr>
        <w:tc>
          <w:tcPr>
            <w:tcW w:w="4678" w:type="dxa"/>
            <w:vAlign w:val="center"/>
          </w:tcPr>
          <w:p w14:paraId="7C6EA3F6" w14:textId="77777777" w:rsidR="00A53EBA" w:rsidRPr="00D251DF" w:rsidRDefault="00A53EBA" w:rsidP="0078107C">
            <w:pPr>
              <w:rPr>
                <w:i/>
              </w:rPr>
            </w:pPr>
            <w:r w:rsidRPr="00D251DF">
              <w:rPr>
                <w:i/>
              </w:rPr>
              <w:t>Movement</w:t>
            </w:r>
          </w:p>
        </w:tc>
        <w:tc>
          <w:tcPr>
            <w:tcW w:w="4666" w:type="dxa"/>
            <w:vAlign w:val="center"/>
          </w:tcPr>
          <w:p w14:paraId="3B951E76" w14:textId="77777777" w:rsidR="00A53EBA" w:rsidRPr="00D251DF" w:rsidRDefault="00A53EBA" w:rsidP="0078107C">
            <w:proofErr w:type="spellStart"/>
            <w:r>
              <w:t>Mahrans</w:t>
            </w:r>
            <w:proofErr w:type="spellEnd"/>
          </w:p>
        </w:tc>
      </w:tr>
      <w:tr w:rsidR="00A53EBA" w:rsidRPr="00D251DF" w14:paraId="39CC34CE" w14:textId="77777777" w:rsidTr="0078107C">
        <w:trPr>
          <w:trHeight w:val="284"/>
        </w:trPr>
        <w:tc>
          <w:tcPr>
            <w:tcW w:w="4678" w:type="dxa"/>
            <w:vAlign w:val="center"/>
          </w:tcPr>
          <w:p w14:paraId="3D50F6F2" w14:textId="77777777" w:rsidR="00A53EBA" w:rsidRPr="00D251DF" w:rsidRDefault="00A53EBA" w:rsidP="0078107C">
            <w:pPr>
              <w:rPr>
                <w:i/>
              </w:rPr>
            </w:pPr>
            <w:r w:rsidRPr="00D251DF">
              <w:rPr>
                <w:i/>
              </w:rPr>
              <w:t>Scenario</w:t>
            </w:r>
          </w:p>
        </w:tc>
        <w:tc>
          <w:tcPr>
            <w:tcW w:w="4666" w:type="dxa"/>
            <w:vAlign w:val="center"/>
          </w:tcPr>
          <w:p w14:paraId="661E771B" w14:textId="77777777" w:rsidR="00A53EBA" w:rsidRPr="00D251DF" w:rsidRDefault="00A53EBA" w:rsidP="0078107C">
            <w:r>
              <w:t>n:1</w:t>
            </w:r>
          </w:p>
        </w:tc>
      </w:tr>
      <w:tr w:rsidR="00A53EBA" w:rsidRPr="00D251DF" w14:paraId="18ADD564" w14:textId="77777777" w:rsidTr="0078107C">
        <w:trPr>
          <w:trHeight w:val="284"/>
        </w:trPr>
        <w:tc>
          <w:tcPr>
            <w:tcW w:w="4678" w:type="dxa"/>
            <w:vAlign w:val="center"/>
          </w:tcPr>
          <w:p w14:paraId="6A128F30" w14:textId="77777777" w:rsidR="00A53EBA" w:rsidRPr="00D251DF" w:rsidRDefault="00A53EBA" w:rsidP="0078107C">
            <w:pPr>
              <w:rPr>
                <w:i/>
              </w:rPr>
            </w:pPr>
            <w:r w:rsidRPr="00D251DF">
              <w:rPr>
                <w:i/>
              </w:rPr>
              <w:t>EPR group(s)</w:t>
            </w:r>
          </w:p>
        </w:tc>
        <w:tc>
          <w:tcPr>
            <w:tcW w:w="4666" w:type="dxa"/>
            <w:vAlign w:val="center"/>
          </w:tcPr>
          <w:p w14:paraId="650C01CC" w14:textId="77777777" w:rsidR="00A53EBA" w:rsidRPr="00D251DF" w:rsidRDefault="00A53EBA" w:rsidP="0078107C">
            <w:r>
              <w:t xml:space="preserve">Southern </w:t>
            </w:r>
            <w:proofErr w:type="spellStart"/>
            <w:r>
              <w:t>Shafi’i</w:t>
            </w:r>
            <w:proofErr w:type="spellEnd"/>
          </w:p>
        </w:tc>
      </w:tr>
      <w:tr w:rsidR="00A53EBA" w:rsidRPr="00D251DF" w14:paraId="3E550202" w14:textId="77777777" w:rsidTr="0078107C">
        <w:trPr>
          <w:trHeight w:val="284"/>
        </w:trPr>
        <w:tc>
          <w:tcPr>
            <w:tcW w:w="4678" w:type="dxa"/>
            <w:vAlign w:val="center"/>
          </w:tcPr>
          <w:p w14:paraId="5FE00E7B" w14:textId="77777777" w:rsidR="00A53EBA" w:rsidRPr="00D251DF" w:rsidRDefault="00A53EBA" w:rsidP="0078107C">
            <w:pPr>
              <w:rPr>
                <w:i/>
              </w:rPr>
            </w:pPr>
            <w:proofErr w:type="spellStart"/>
            <w:r>
              <w:rPr>
                <w:i/>
              </w:rPr>
              <w:t>Gwgroupid</w:t>
            </w:r>
            <w:proofErr w:type="spellEnd"/>
            <w:r>
              <w:rPr>
                <w:i/>
              </w:rPr>
              <w:t>(s)</w:t>
            </w:r>
          </w:p>
        </w:tc>
        <w:tc>
          <w:tcPr>
            <w:tcW w:w="4666" w:type="dxa"/>
            <w:vAlign w:val="center"/>
          </w:tcPr>
          <w:p w14:paraId="31986485" w14:textId="77777777" w:rsidR="00A53EBA" w:rsidRPr="00457513" w:rsidRDefault="00A53EBA" w:rsidP="0078107C">
            <w:r>
              <w:t>67807000</w:t>
            </w:r>
          </w:p>
        </w:tc>
      </w:tr>
    </w:tbl>
    <w:p w14:paraId="5E3AC956" w14:textId="77777777" w:rsidR="00A53EBA" w:rsidRDefault="00A53EBA" w:rsidP="00A53EBA">
      <w:pPr>
        <w:rPr>
          <w:rFonts w:cs="Times New Roman"/>
          <w:b/>
          <w:szCs w:val="22"/>
        </w:rPr>
      </w:pPr>
    </w:p>
    <w:p w14:paraId="104AD471" w14:textId="77777777" w:rsidR="00A53EBA" w:rsidRDefault="00A53EBA" w:rsidP="00A53EBA">
      <w:pPr>
        <w:rPr>
          <w:rFonts w:cs="Times New Roman"/>
          <w:b/>
          <w:szCs w:val="22"/>
        </w:rPr>
      </w:pPr>
    </w:p>
    <w:p w14:paraId="074FC393" w14:textId="77777777" w:rsidR="00550BD7" w:rsidRDefault="00550BD7" w:rsidP="00550BD7">
      <w:pPr>
        <w:ind w:left="709" w:hanging="709"/>
        <w:rPr>
          <w:rFonts w:cs="Times New Roman"/>
          <w:b/>
          <w:szCs w:val="22"/>
        </w:rPr>
      </w:pPr>
      <w:r>
        <w:rPr>
          <w:rFonts w:cs="Times New Roman"/>
          <w:b/>
          <w:szCs w:val="22"/>
        </w:rPr>
        <w:t>Power access</w:t>
      </w:r>
    </w:p>
    <w:p w14:paraId="1A0E9B06" w14:textId="77777777" w:rsidR="00550BD7" w:rsidRPr="006F657B" w:rsidRDefault="00550BD7" w:rsidP="00550BD7">
      <w:pPr>
        <w:ind w:left="709" w:hanging="709"/>
        <w:rPr>
          <w:rFonts w:cs="Times New Roman"/>
          <w:bCs/>
          <w:szCs w:val="22"/>
        </w:rPr>
      </w:pPr>
    </w:p>
    <w:p w14:paraId="5E495D3C" w14:textId="232AE892" w:rsidR="00B91DB4" w:rsidRDefault="00B91DB4" w:rsidP="00B91DB4">
      <w:pPr>
        <w:pStyle w:val="ListParagraph"/>
        <w:numPr>
          <w:ilvl w:val="0"/>
          <w:numId w:val="16"/>
        </w:numPr>
        <w:rPr>
          <w:rFonts w:cs="Times New Roman"/>
          <w:bCs/>
          <w:szCs w:val="22"/>
        </w:rPr>
      </w:pPr>
      <w:r>
        <w:rPr>
          <w:rFonts w:cs="Times New Roman"/>
          <w:bCs/>
          <w:szCs w:val="22"/>
        </w:rPr>
        <w:t xml:space="preserve">EPR does not include the </w:t>
      </w:r>
      <w:proofErr w:type="spellStart"/>
      <w:r>
        <w:rPr>
          <w:rFonts w:cs="Times New Roman"/>
          <w:bCs/>
          <w:szCs w:val="22"/>
        </w:rPr>
        <w:t>Mahrans</w:t>
      </w:r>
      <w:proofErr w:type="spellEnd"/>
      <w:r>
        <w:rPr>
          <w:rFonts w:cs="Times New Roman"/>
          <w:bCs/>
          <w:szCs w:val="22"/>
        </w:rPr>
        <w:t xml:space="preserve"> as a separate group, but codes them together with the Southerners, who are coded as junior partner throughout 201</w:t>
      </w:r>
      <w:r w:rsidR="00125EC1">
        <w:rPr>
          <w:rFonts w:cs="Times New Roman"/>
          <w:bCs/>
          <w:szCs w:val="22"/>
        </w:rPr>
        <w:t>2</w:t>
      </w:r>
      <w:r>
        <w:rPr>
          <w:rFonts w:cs="Times New Roman"/>
          <w:bCs/>
          <w:szCs w:val="22"/>
        </w:rPr>
        <w:t xml:space="preserve">-2020. Unfortunately, we were not able to establish to what extent </w:t>
      </w:r>
      <w:proofErr w:type="spellStart"/>
      <w:r>
        <w:rPr>
          <w:rFonts w:cs="Times New Roman"/>
          <w:bCs/>
          <w:szCs w:val="22"/>
        </w:rPr>
        <w:t>Madhrans</w:t>
      </w:r>
      <w:proofErr w:type="spellEnd"/>
      <w:r>
        <w:rPr>
          <w:rFonts w:cs="Times New Roman"/>
          <w:bCs/>
          <w:szCs w:val="22"/>
        </w:rPr>
        <w:t xml:space="preserve"> were represented in the cabinet before that. However, Jalal (2021) suggests that 70% of the central government consisted of S</w:t>
      </w:r>
      <w:r w:rsidRPr="00294319">
        <w:rPr>
          <w:rFonts w:cs="Times New Roman"/>
          <w:bCs/>
          <w:szCs w:val="22"/>
        </w:rPr>
        <w:t>outherners</w:t>
      </w:r>
      <w:r>
        <w:rPr>
          <w:rFonts w:cs="Times New Roman"/>
          <w:bCs/>
          <w:szCs w:val="22"/>
        </w:rPr>
        <w:t xml:space="preserve"> during the movement’s years of activity. We apply a junior partner 201</w:t>
      </w:r>
      <w:r w:rsidR="00125EC1">
        <w:rPr>
          <w:rFonts w:cs="Times New Roman"/>
          <w:bCs/>
          <w:szCs w:val="22"/>
        </w:rPr>
        <w:t>2</w:t>
      </w:r>
      <w:r>
        <w:rPr>
          <w:rFonts w:cs="Times New Roman"/>
          <w:bCs/>
          <w:szCs w:val="22"/>
        </w:rPr>
        <w:t>-2020, noting that this case would profit from more research. [201</w:t>
      </w:r>
      <w:r w:rsidR="00125EC1">
        <w:rPr>
          <w:rFonts w:cs="Times New Roman"/>
          <w:bCs/>
          <w:szCs w:val="22"/>
        </w:rPr>
        <w:t>2</w:t>
      </w:r>
      <w:r>
        <w:rPr>
          <w:rFonts w:cs="Times New Roman"/>
          <w:bCs/>
          <w:szCs w:val="22"/>
        </w:rPr>
        <w:t>-2020: junior partner]</w:t>
      </w:r>
    </w:p>
    <w:p w14:paraId="5665AA32" w14:textId="51DBA7B2" w:rsidR="00550BD7" w:rsidRDefault="00550BD7" w:rsidP="00550BD7">
      <w:pPr>
        <w:ind w:left="709" w:hanging="709"/>
        <w:rPr>
          <w:rFonts w:cs="Times New Roman"/>
          <w:bCs/>
          <w:szCs w:val="22"/>
        </w:rPr>
      </w:pPr>
    </w:p>
    <w:p w14:paraId="72BD2BE1" w14:textId="77777777" w:rsidR="00B91DB4" w:rsidRPr="006F657B" w:rsidRDefault="00B91DB4" w:rsidP="00550BD7">
      <w:pPr>
        <w:ind w:left="709" w:hanging="709"/>
        <w:rPr>
          <w:rFonts w:cs="Times New Roman"/>
          <w:bCs/>
          <w:szCs w:val="22"/>
        </w:rPr>
      </w:pPr>
    </w:p>
    <w:p w14:paraId="153F15BC" w14:textId="77777777" w:rsidR="00550BD7" w:rsidRDefault="00550BD7" w:rsidP="00550BD7">
      <w:pPr>
        <w:ind w:left="709" w:hanging="709"/>
        <w:rPr>
          <w:rFonts w:cs="Times New Roman"/>
          <w:b/>
          <w:szCs w:val="22"/>
        </w:rPr>
      </w:pPr>
      <w:r>
        <w:rPr>
          <w:rFonts w:cs="Times New Roman"/>
          <w:b/>
          <w:szCs w:val="22"/>
        </w:rPr>
        <w:t>Group size</w:t>
      </w:r>
    </w:p>
    <w:p w14:paraId="30319168" w14:textId="77777777" w:rsidR="00550BD7" w:rsidRDefault="00550BD7" w:rsidP="00550BD7">
      <w:pPr>
        <w:rPr>
          <w:rFonts w:cs="Times New Roman"/>
        </w:rPr>
      </w:pPr>
    </w:p>
    <w:p w14:paraId="108C02E8" w14:textId="7F19D1B2" w:rsidR="00E85A30" w:rsidRPr="00B91DB4" w:rsidRDefault="00E85A30" w:rsidP="00E85A30">
      <w:pPr>
        <w:pStyle w:val="ListParagraph"/>
        <w:numPr>
          <w:ilvl w:val="0"/>
          <w:numId w:val="14"/>
        </w:numPr>
        <w:rPr>
          <w:rFonts w:cs="Times New Roman"/>
          <w:szCs w:val="22"/>
        </w:rPr>
      </w:pPr>
      <w:r w:rsidRPr="00B91DB4">
        <w:rPr>
          <w:rFonts w:cs="Times New Roman"/>
          <w:szCs w:val="22"/>
        </w:rPr>
        <w:t>The UN Office for the Coordination of Humanitarian Affairs estimated in 2017 that the governorate has 150,000 residents but academic estimates have claimed that the figure is closer to 350,000 while the governor of Mahra has claimed that the population, including internally displaced persons (IDPs), is 650,000</w:t>
      </w:r>
      <w:r w:rsidR="00B91DB4" w:rsidRPr="00B91DB4">
        <w:rPr>
          <w:rFonts w:cs="Times New Roman"/>
          <w:szCs w:val="22"/>
        </w:rPr>
        <w:t xml:space="preserve"> </w:t>
      </w:r>
      <w:r w:rsidRPr="00B91DB4">
        <w:rPr>
          <w:rFonts w:cs="Times New Roman"/>
          <w:szCs w:val="22"/>
        </w:rPr>
        <w:t>(Al-</w:t>
      </w:r>
      <w:proofErr w:type="spellStart"/>
      <w:r w:rsidRPr="00B91DB4">
        <w:rPr>
          <w:rFonts w:cs="Times New Roman"/>
          <w:szCs w:val="22"/>
        </w:rPr>
        <w:t>Sewari</w:t>
      </w:r>
      <w:proofErr w:type="spellEnd"/>
      <w:r w:rsidRPr="00B91DB4">
        <w:rPr>
          <w:rFonts w:cs="Times New Roman"/>
          <w:szCs w:val="22"/>
        </w:rPr>
        <w:t xml:space="preserve">, 2019; </w:t>
      </w:r>
      <w:r w:rsidR="00B91DB4" w:rsidRPr="00B91DB4">
        <w:rPr>
          <w:rFonts w:cs="Times New Roman"/>
          <w:szCs w:val="22"/>
        </w:rPr>
        <w:t>also see</w:t>
      </w:r>
      <w:r w:rsidRPr="00B91DB4">
        <w:rPr>
          <w:rFonts w:cs="Times New Roman"/>
          <w:szCs w:val="22"/>
        </w:rPr>
        <w:t xml:space="preserve">: Nagi, 2020). </w:t>
      </w:r>
      <w:r w:rsidR="00B91DB4" w:rsidRPr="00B91DB4">
        <w:rPr>
          <w:rFonts w:cs="Times New Roman"/>
          <w:szCs w:val="22"/>
        </w:rPr>
        <w:t xml:space="preserve">We rely on the academic estimates and use </w:t>
      </w:r>
      <w:proofErr w:type="spellStart"/>
      <w:r w:rsidR="00B91DB4" w:rsidRPr="00B91DB4">
        <w:rPr>
          <w:rFonts w:cs="Times New Roman"/>
          <w:bCs/>
          <w:szCs w:val="22"/>
        </w:rPr>
        <w:t>use</w:t>
      </w:r>
      <w:proofErr w:type="spellEnd"/>
      <w:r w:rsidR="00B91DB4" w:rsidRPr="00B91DB4">
        <w:rPr>
          <w:rFonts w:cs="Times New Roman"/>
          <w:bCs/>
          <w:szCs w:val="22"/>
        </w:rPr>
        <w:t xml:space="preserve"> the 2017 World Bank Yemen population estimate (27,834,811) as the reference figure. </w:t>
      </w:r>
      <w:r w:rsidRPr="00B91DB4">
        <w:rPr>
          <w:rFonts w:cs="Times New Roman"/>
          <w:szCs w:val="22"/>
        </w:rPr>
        <w:t>[</w:t>
      </w:r>
      <w:r w:rsidR="00B91DB4" w:rsidRPr="00B91DB4">
        <w:rPr>
          <w:rFonts w:cs="Times New Roman"/>
          <w:szCs w:val="22"/>
        </w:rPr>
        <w:t>0.01</w:t>
      </w:r>
      <w:r w:rsidRPr="00B91DB4">
        <w:rPr>
          <w:rFonts w:cs="Times New Roman"/>
          <w:szCs w:val="22"/>
        </w:rPr>
        <w:t>]</w:t>
      </w:r>
    </w:p>
    <w:p w14:paraId="78A420E3" w14:textId="77777777" w:rsidR="00550BD7" w:rsidRPr="00D677D8" w:rsidRDefault="00550BD7" w:rsidP="00550BD7">
      <w:pPr>
        <w:rPr>
          <w:rFonts w:cs="Times New Roman"/>
          <w:bCs/>
          <w:szCs w:val="22"/>
        </w:rPr>
      </w:pPr>
    </w:p>
    <w:p w14:paraId="4B8EAA10" w14:textId="77777777" w:rsidR="00550BD7" w:rsidRDefault="00550BD7" w:rsidP="00550BD7">
      <w:pPr>
        <w:rPr>
          <w:rFonts w:cs="Times New Roman"/>
        </w:rPr>
      </w:pPr>
    </w:p>
    <w:p w14:paraId="3B1EFC8F" w14:textId="77777777" w:rsidR="00550BD7" w:rsidRPr="00C524D6" w:rsidRDefault="00550BD7" w:rsidP="00550BD7">
      <w:pPr>
        <w:rPr>
          <w:rFonts w:cs="Times New Roman"/>
          <w:b/>
          <w:bCs/>
        </w:rPr>
      </w:pPr>
      <w:r w:rsidRPr="00C524D6">
        <w:rPr>
          <w:rFonts w:cs="Times New Roman"/>
          <w:b/>
          <w:bCs/>
        </w:rPr>
        <w:t>Regional concentration</w:t>
      </w:r>
    </w:p>
    <w:p w14:paraId="2ECBBE23" w14:textId="6755972E" w:rsidR="00550BD7" w:rsidRDefault="00550BD7" w:rsidP="00550BD7">
      <w:pPr>
        <w:rPr>
          <w:rFonts w:cs="Times New Roman"/>
        </w:rPr>
      </w:pPr>
    </w:p>
    <w:p w14:paraId="2F93F518" w14:textId="4028F085" w:rsidR="00B91DB4" w:rsidRPr="00AB2AF1" w:rsidRDefault="00B91DB4" w:rsidP="00B91DB4">
      <w:pPr>
        <w:pStyle w:val="ListParagraph"/>
        <w:numPr>
          <w:ilvl w:val="0"/>
          <w:numId w:val="16"/>
        </w:numPr>
        <w:rPr>
          <w:rFonts w:cs="Times New Roman"/>
        </w:rPr>
      </w:pPr>
      <w:r>
        <w:rPr>
          <w:rFonts w:cs="Times New Roman"/>
        </w:rPr>
        <w:t xml:space="preserve">As this is a regional movement, we assume regional concentration. It </w:t>
      </w:r>
      <w:proofErr w:type="spellStart"/>
      <w:r>
        <w:rPr>
          <w:rFonts w:cs="Times New Roman"/>
        </w:rPr>
        <w:t>it</w:t>
      </w:r>
      <w:proofErr w:type="spellEnd"/>
      <w:r>
        <w:rPr>
          <w:rFonts w:cs="Times New Roman"/>
        </w:rPr>
        <w:t xml:space="preserve"> is important to note that this is not based on empirical data on the number of self-identified </w:t>
      </w:r>
      <w:proofErr w:type="spellStart"/>
      <w:r>
        <w:rPr>
          <w:rFonts w:cs="Times New Roman"/>
        </w:rPr>
        <w:t>Mahrans</w:t>
      </w:r>
      <w:proofErr w:type="spellEnd"/>
      <w:r>
        <w:rPr>
          <w:rFonts w:cs="Times New Roman"/>
        </w:rPr>
        <w:t xml:space="preserve"> in and outside of their homeland, as we could not find such data</w:t>
      </w:r>
      <w:r w:rsidRPr="00AB2AF1">
        <w:rPr>
          <w:rFonts w:cs="Times New Roman"/>
        </w:rPr>
        <w:t>. [regional concentration]</w:t>
      </w:r>
    </w:p>
    <w:p w14:paraId="594A036E" w14:textId="0B951FDA" w:rsidR="00550BD7" w:rsidRDefault="00550BD7" w:rsidP="00550BD7">
      <w:pPr>
        <w:rPr>
          <w:rFonts w:cs="Times New Roman"/>
        </w:rPr>
      </w:pPr>
    </w:p>
    <w:p w14:paraId="72F39D3F" w14:textId="77777777" w:rsidR="00B91DB4" w:rsidRDefault="00B91DB4" w:rsidP="00550BD7">
      <w:pPr>
        <w:rPr>
          <w:rFonts w:cs="Times New Roman"/>
        </w:rPr>
      </w:pPr>
    </w:p>
    <w:p w14:paraId="07726E14" w14:textId="77777777" w:rsidR="00550BD7" w:rsidRDefault="00550BD7" w:rsidP="00550BD7">
      <w:pPr>
        <w:rPr>
          <w:rFonts w:cs="Times New Roman"/>
          <w:b/>
        </w:rPr>
      </w:pPr>
      <w:r>
        <w:rPr>
          <w:rFonts w:cs="Times New Roman"/>
          <w:b/>
        </w:rPr>
        <w:t>Kin</w:t>
      </w:r>
    </w:p>
    <w:p w14:paraId="4BF5A3F2" w14:textId="77777777" w:rsidR="00550BD7" w:rsidRPr="006F657B" w:rsidRDefault="00550BD7" w:rsidP="00550BD7">
      <w:pPr>
        <w:rPr>
          <w:rFonts w:cs="Times New Roman"/>
          <w:bCs/>
        </w:rPr>
      </w:pPr>
    </w:p>
    <w:p w14:paraId="299F5AF9" w14:textId="08C86991" w:rsidR="00550BD7" w:rsidRPr="002C5C94" w:rsidRDefault="00F53FE1" w:rsidP="002C5C94">
      <w:pPr>
        <w:pStyle w:val="ListParagraph"/>
        <w:numPr>
          <w:ilvl w:val="0"/>
          <w:numId w:val="14"/>
        </w:numPr>
        <w:spacing w:after="60"/>
        <w:rPr>
          <w:rFonts w:cs="Times New Roman"/>
          <w:bCs/>
          <w:szCs w:val="22"/>
        </w:rPr>
      </w:pPr>
      <w:r>
        <w:rPr>
          <w:rFonts w:cs="Times New Roman"/>
          <w:bCs/>
          <w:szCs w:val="22"/>
        </w:rPr>
        <w:t xml:space="preserve">Minahan (2016: 255) suggests that there are </w:t>
      </w:r>
      <w:proofErr w:type="spellStart"/>
      <w:r>
        <w:rPr>
          <w:rFonts w:cs="Times New Roman"/>
          <w:bCs/>
          <w:szCs w:val="22"/>
        </w:rPr>
        <w:t>Mahras</w:t>
      </w:r>
      <w:proofErr w:type="spellEnd"/>
      <w:r>
        <w:rPr>
          <w:rFonts w:cs="Times New Roman"/>
          <w:bCs/>
          <w:szCs w:val="22"/>
        </w:rPr>
        <w:t xml:space="preserve"> in Oman. According to the Joshua Project, they number only 97,000, however, which is below the threshold.</w:t>
      </w:r>
      <w:r w:rsidR="002C5C94">
        <w:rPr>
          <w:rFonts w:cs="Times New Roman"/>
          <w:bCs/>
          <w:szCs w:val="22"/>
        </w:rPr>
        <w:t xml:space="preserve"> [</w:t>
      </w:r>
      <w:r>
        <w:rPr>
          <w:rFonts w:cs="Times New Roman"/>
          <w:bCs/>
          <w:szCs w:val="22"/>
        </w:rPr>
        <w:t>n</w:t>
      </w:r>
      <w:r w:rsidR="002C5C94">
        <w:rPr>
          <w:rFonts w:cs="Times New Roman"/>
          <w:bCs/>
          <w:szCs w:val="22"/>
        </w:rPr>
        <w:t>o kin]</w:t>
      </w:r>
    </w:p>
    <w:p w14:paraId="29D2F5E0" w14:textId="77777777" w:rsidR="003260A9" w:rsidRDefault="003260A9" w:rsidP="002C5C94">
      <w:pPr>
        <w:spacing w:after="60"/>
        <w:ind w:left="709" w:hanging="709"/>
        <w:rPr>
          <w:rFonts w:cs="Times New Roman"/>
          <w:b/>
          <w:szCs w:val="22"/>
        </w:rPr>
      </w:pPr>
    </w:p>
    <w:p w14:paraId="3A834343" w14:textId="77777777" w:rsidR="003260A9" w:rsidRDefault="003260A9" w:rsidP="002C5C94">
      <w:pPr>
        <w:spacing w:after="60"/>
        <w:ind w:left="709" w:hanging="709"/>
        <w:rPr>
          <w:rFonts w:cs="Times New Roman"/>
          <w:b/>
          <w:szCs w:val="22"/>
        </w:rPr>
      </w:pPr>
    </w:p>
    <w:p w14:paraId="24AD2A0C" w14:textId="1D2F4BFF" w:rsidR="00FD2BFE" w:rsidRDefault="00550BD7" w:rsidP="002C5C94">
      <w:pPr>
        <w:spacing w:after="60"/>
        <w:ind w:left="709" w:hanging="709"/>
        <w:rPr>
          <w:rFonts w:cs="Times New Roman"/>
          <w:b/>
          <w:szCs w:val="22"/>
        </w:rPr>
      </w:pPr>
      <w:r w:rsidRPr="00C73644">
        <w:rPr>
          <w:rFonts w:cs="Times New Roman"/>
          <w:b/>
          <w:szCs w:val="22"/>
        </w:rPr>
        <w:lastRenderedPageBreak/>
        <w:t>Sources</w:t>
      </w:r>
    </w:p>
    <w:p w14:paraId="7A9FCBE5" w14:textId="77777777" w:rsidR="002C5C94" w:rsidRPr="002C5C94" w:rsidRDefault="002C5C94" w:rsidP="002C5C94">
      <w:pPr>
        <w:spacing w:after="60"/>
        <w:ind w:left="709" w:hanging="709"/>
        <w:rPr>
          <w:rFonts w:cs="Times New Roman"/>
          <w:b/>
          <w:szCs w:val="22"/>
        </w:rPr>
      </w:pPr>
    </w:p>
    <w:p w14:paraId="4A4C399F" w14:textId="77777777" w:rsidR="00B91DB4" w:rsidRDefault="00B91DB4" w:rsidP="00B91DB4">
      <w:pPr>
        <w:spacing w:before="60"/>
        <w:ind w:left="709" w:hanging="709"/>
        <w:rPr>
          <w:rFonts w:cs="Times New Roman"/>
        </w:rPr>
      </w:pPr>
      <w:r>
        <w:t xml:space="preserve">Al Monitor (2019). </w:t>
      </w:r>
      <w:hyperlink r:id="rId17" w:history="1">
        <w:r w:rsidRPr="00563965">
          <w:rPr>
            <w:rStyle w:val="Hyperlink"/>
            <w:rFonts w:cs="Times New Roman"/>
          </w:rPr>
          <w:t>https://www.al-monitor.com/originals/2019/11/east-yemen-former-ruling-dynasty-mahra-sultanate-saudi.html</w:t>
        </w:r>
      </w:hyperlink>
      <w:r>
        <w:rPr>
          <w:rFonts w:cs="Times New Roman"/>
        </w:rPr>
        <w:t xml:space="preserve"> [June 30, 2022]</w:t>
      </w:r>
    </w:p>
    <w:p w14:paraId="694B727C" w14:textId="77777777" w:rsidR="00B91DB4" w:rsidRPr="00651FA2" w:rsidRDefault="00B91DB4" w:rsidP="00B91DB4">
      <w:pPr>
        <w:spacing w:before="60"/>
        <w:ind w:left="709" w:hanging="709"/>
        <w:rPr>
          <w:rFonts w:cs="Times New Roman"/>
          <w:szCs w:val="22"/>
          <w:lang w:val="en-GB"/>
        </w:rPr>
      </w:pPr>
      <w:r w:rsidRPr="00651FA2">
        <w:rPr>
          <w:rFonts w:cs="Times New Roman"/>
          <w:szCs w:val="22"/>
          <w:lang w:val="en-GB"/>
        </w:rPr>
        <w:t xml:space="preserve">Al-Hamdani, R. and H. Lackner (2020). “War and Pieces: Political Divides in Southern Yemen.” </w:t>
      </w:r>
      <w:r w:rsidRPr="00651FA2">
        <w:rPr>
          <w:rFonts w:cs="Times New Roman"/>
          <w:i/>
          <w:iCs/>
          <w:szCs w:val="22"/>
          <w:lang w:val="en-GB"/>
        </w:rPr>
        <w:t>European Council on Foreign Relations.</w:t>
      </w:r>
      <w:r w:rsidRPr="00651FA2">
        <w:rPr>
          <w:rFonts w:cs="Times New Roman"/>
          <w:szCs w:val="22"/>
          <w:lang w:val="en-GB"/>
        </w:rPr>
        <w:t xml:space="preserve"> https://ecfr.eu/publication/war_and_pieces_political_divides_in_southern_yemen/ [April 29, 2022].</w:t>
      </w:r>
    </w:p>
    <w:p w14:paraId="0E73E434" w14:textId="77777777" w:rsidR="00B91DB4" w:rsidRPr="00CB5517" w:rsidRDefault="00B91DB4" w:rsidP="00B91DB4">
      <w:pPr>
        <w:spacing w:before="60"/>
        <w:ind w:left="709" w:hanging="709"/>
        <w:rPr>
          <w:rFonts w:cs="Times New Roman"/>
        </w:rPr>
      </w:pPr>
      <w:r>
        <w:rPr>
          <w:rFonts w:cs="Times New Roman"/>
        </w:rPr>
        <w:t>Al-</w:t>
      </w:r>
      <w:proofErr w:type="spellStart"/>
      <w:r>
        <w:rPr>
          <w:rFonts w:cs="Times New Roman"/>
        </w:rPr>
        <w:t>Sewari</w:t>
      </w:r>
      <w:proofErr w:type="spellEnd"/>
      <w:r>
        <w:rPr>
          <w:rFonts w:cs="Times New Roman"/>
        </w:rPr>
        <w:t>, Yahya (2019). “</w:t>
      </w:r>
      <w:r w:rsidRPr="00CB5517">
        <w:rPr>
          <w:rFonts w:cs="Times New Roman"/>
        </w:rPr>
        <w:t>Yemen’s Al-Mahra: From Isolation to the Eye of a Geopolitical Storm</w:t>
      </w:r>
      <w:r>
        <w:rPr>
          <w:rFonts w:cs="Times New Roman"/>
        </w:rPr>
        <w:t xml:space="preserve">.” </w:t>
      </w:r>
      <w:hyperlink r:id="rId18" w:history="1">
        <w:r w:rsidRPr="00563965">
          <w:rPr>
            <w:rStyle w:val="Hyperlink"/>
            <w:rFonts w:cs="Times New Roman"/>
          </w:rPr>
          <w:t>https://sanaacenter.org/publications/analysis/7606</w:t>
        </w:r>
      </w:hyperlink>
      <w:r>
        <w:rPr>
          <w:rFonts w:cs="Times New Roman"/>
        </w:rPr>
        <w:t xml:space="preserve"> </w:t>
      </w:r>
      <w:r w:rsidRPr="00CB5517">
        <w:rPr>
          <w:rFonts w:cs="Times New Roman"/>
        </w:rPr>
        <w:t>[July 1, 2022].</w:t>
      </w:r>
    </w:p>
    <w:p w14:paraId="0F065A9D" w14:textId="77777777" w:rsidR="00B91DB4" w:rsidRPr="00651FA2" w:rsidRDefault="00B91DB4" w:rsidP="00B91DB4">
      <w:pPr>
        <w:tabs>
          <w:tab w:val="left" w:pos="930"/>
        </w:tabs>
        <w:spacing w:before="60"/>
        <w:ind w:left="709" w:hanging="709"/>
        <w:rPr>
          <w:rFonts w:cs="Times New Roman"/>
          <w:szCs w:val="22"/>
          <w:lang w:val="en-GB"/>
        </w:rPr>
      </w:pPr>
      <w:r w:rsidRPr="00651FA2">
        <w:rPr>
          <w:rFonts w:cs="Times New Roman"/>
          <w:szCs w:val="22"/>
          <w:lang w:val="en-GB"/>
        </w:rPr>
        <w:t>Al-</w:t>
      </w:r>
      <w:proofErr w:type="spellStart"/>
      <w:r w:rsidRPr="00651FA2">
        <w:rPr>
          <w:rFonts w:cs="Times New Roman"/>
          <w:szCs w:val="22"/>
          <w:lang w:val="en-GB"/>
        </w:rPr>
        <w:t>Sewari</w:t>
      </w:r>
      <w:proofErr w:type="spellEnd"/>
      <w:r w:rsidRPr="00651FA2">
        <w:rPr>
          <w:rFonts w:cs="Times New Roman"/>
          <w:szCs w:val="22"/>
          <w:lang w:val="en-GB"/>
        </w:rPr>
        <w:t xml:space="preserve">, Yahya. (2019). ‘Yemen’s Al-Mahra: From Isolation to the Eye of a Geopolitical Storm’ </w:t>
      </w:r>
      <w:r w:rsidRPr="00651FA2">
        <w:rPr>
          <w:rFonts w:cs="Times New Roman"/>
          <w:i/>
          <w:szCs w:val="22"/>
          <w:lang w:val="en-GB"/>
        </w:rPr>
        <w:t xml:space="preserve">Sana’a Centre </w:t>
      </w:r>
      <w:r w:rsidRPr="00651FA2">
        <w:rPr>
          <w:rFonts w:cs="Times New Roman"/>
          <w:szCs w:val="22"/>
          <w:lang w:val="en-GB"/>
        </w:rPr>
        <w:t xml:space="preserve">[online], available from: </w:t>
      </w:r>
      <w:hyperlink r:id="rId19" w:history="1">
        <w:r w:rsidRPr="00651FA2">
          <w:rPr>
            <w:rStyle w:val="Hyperlink"/>
            <w:rFonts w:cs="Times New Roman"/>
            <w:szCs w:val="22"/>
            <w:lang w:val="en-GB"/>
          </w:rPr>
          <w:t>https://sanaacenter.org/publications/analysis/7606</w:t>
        </w:r>
      </w:hyperlink>
      <w:r w:rsidRPr="00651FA2">
        <w:rPr>
          <w:rFonts w:cs="Times New Roman"/>
          <w:color w:val="000000"/>
          <w:szCs w:val="22"/>
          <w:lang w:val="en-GB"/>
        </w:rPr>
        <w:t xml:space="preserve"> [last accessed: 21.8.2022]</w:t>
      </w:r>
    </w:p>
    <w:p w14:paraId="01CEE399" w14:textId="77777777" w:rsidR="00B91DB4" w:rsidRPr="00651FA2" w:rsidRDefault="00B91DB4" w:rsidP="00B91DB4">
      <w:pPr>
        <w:spacing w:before="60"/>
        <w:ind w:left="709" w:hanging="709"/>
        <w:rPr>
          <w:rFonts w:cs="Times New Roman"/>
          <w:szCs w:val="22"/>
          <w:lang w:val="en-GB"/>
        </w:rPr>
      </w:pPr>
      <w:r w:rsidRPr="00651FA2">
        <w:rPr>
          <w:rFonts w:cs="Times New Roman"/>
          <w:szCs w:val="22"/>
          <w:lang w:val="en-GB"/>
        </w:rPr>
        <w:t xml:space="preserve">Baron, A. and M. </w:t>
      </w:r>
      <w:proofErr w:type="spellStart"/>
      <w:r w:rsidRPr="00651FA2">
        <w:rPr>
          <w:rFonts w:cs="Times New Roman"/>
          <w:szCs w:val="22"/>
          <w:lang w:val="en-GB"/>
        </w:rPr>
        <w:t>Basalma</w:t>
      </w:r>
      <w:proofErr w:type="spellEnd"/>
      <w:r w:rsidRPr="00651FA2">
        <w:rPr>
          <w:rFonts w:cs="Times New Roman"/>
          <w:szCs w:val="22"/>
          <w:lang w:val="en-GB"/>
        </w:rPr>
        <w:t xml:space="preserve"> (2021). “The Case of Hadhramaut: Can Local Efforts Transcend Wartime Divides in Yemen?” </w:t>
      </w:r>
      <w:r w:rsidRPr="00651FA2">
        <w:rPr>
          <w:rFonts w:cs="Times New Roman"/>
          <w:i/>
          <w:iCs/>
          <w:szCs w:val="22"/>
          <w:lang w:val="en-GB"/>
        </w:rPr>
        <w:t>Century Foundation.</w:t>
      </w:r>
      <w:r w:rsidRPr="00651FA2">
        <w:rPr>
          <w:rFonts w:cs="Times New Roman"/>
          <w:szCs w:val="22"/>
          <w:lang w:val="en-GB"/>
        </w:rPr>
        <w:t xml:space="preserve"> https://tcf.org/content/report/case-hadhramaut-can-local-efforts-transcend-wartime-divides-yemen/?agreed=1 [April 29, 2022].</w:t>
      </w:r>
    </w:p>
    <w:p w14:paraId="78FE1EA6" w14:textId="77777777" w:rsidR="00B91DB4" w:rsidRPr="00651FA2" w:rsidRDefault="00B91DB4" w:rsidP="00B91DB4">
      <w:pPr>
        <w:spacing w:before="60"/>
        <w:ind w:left="709" w:hanging="709"/>
        <w:rPr>
          <w:rFonts w:cs="Times New Roman"/>
          <w:szCs w:val="22"/>
          <w:lang w:val="en-GB"/>
        </w:rPr>
      </w:pPr>
      <w:r w:rsidRPr="00651FA2">
        <w:rPr>
          <w:rFonts w:cs="Times New Roman"/>
          <w:szCs w:val="22"/>
          <w:lang w:val="en-GB"/>
        </w:rPr>
        <w:t xml:space="preserve">Baron, Adam et al. (2016). ‘The Essential Role of Local Governance in Yemen’ </w:t>
      </w:r>
      <w:r w:rsidRPr="00651FA2">
        <w:rPr>
          <w:rFonts w:cs="Times New Roman"/>
          <w:i/>
          <w:szCs w:val="22"/>
          <w:lang w:val="en-GB"/>
        </w:rPr>
        <w:t xml:space="preserve">Adam Smith International and Sana’a Centre </w:t>
      </w:r>
      <w:r w:rsidRPr="00651FA2">
        <w:rPr>
          <w:rFonts w:cs="Times New Roman"/>
          <w:szCs w:val="22"/>
          <w:lang w:val="en-GB"/>
        </w:rPr>
        <w:t xml:space="preserve">[online], available from: </w:t>
      </w:r>
      <w:hyperlink r:id="rId20" w:history="1">
        <w:r w:rsidRPr="00651FA2">
          <w:rPr>
            <w:rStyle w:val="Hyperlink"/>
            <w:rFonts w:cs="Times New Roman"/>
            <w:szCs w:val="22"/>
            <w:lang w:val="en-GB"/>
          </w:rPr>
          <w:t>https://adamsmithinternational.com/app/uploads/2019/03/the_essential_role_of_local_EN-Oct-.pdf</w:t>
        </w:r>
      </w:hyperlink>
      <w:r w:rsidRPr="00651FA2">
        <w:rPr>
          <w:rFonts w:cs="Times New Roman"/>
          <w:szCs w:val="22"/>
          <w:lang w:val="en-GB"/>
        </w:rPr>
        <w:t xml:space="preserve"> [last accessed: 21.8.2022]</w:t>
      </w:r>
    </w:p>
    <w:p w14:paraId="47EABDBE" w14:textId="77777777" w:rsidR="00B91DB4" w:rsidRPr="00651FA2" w:rsidRDefault="00B91DB4" w:rsidP="00B91DB4">
      <w:pPr>
        <w:tabs>
          <w:tab w:val="left" w:pos="930"/>
        </w:tabs>
        <w:spacing w:before="60"/>
        <w:ind w:left="709" w:hanging="709"/>
        <w:rPr>
          <w:rFonts w:cs="Times New Roman"/>
          <w:szCs w:val="22"/>
          <w:lang w:val="en-GB"/>
        </w:rPr>
      </w:pPr>
      <w:proofErr w:type="spellStart"/>
      <w:r w:rsidRPr="00651FA2">
        <w:rPr>
          <w:rFonts w:cs="Times New Roman"/>
          <w:szCs w:val="22"/>
          <w:lang w:val="en-GB"/>
        </w:rPr>
        <w:t>Castelier</w:t>
      </w:r>
      <w:proofErr w:type="spellEnd"/>
      <w:r w:rsidRPr="00651FA2">
        <w:rPr>
          <w:rFonts w:cs="Times New Roman"/>
          <w:szCs w:val="22"/>
          <w:lang w:val="en-GB"/>
        </w:rPr>
        <w:t xml:space="preserve">, Sebastian (2019) ‘East Yemen Former Ruling Dynasty Calls to Revive Mahra Sultanate’ </w:t>
      </w:r>
      <w:r w:rsidRPr="00651FA2">
        <w:rPr>
          <w:rFonts w:cs="Times New Roman"/>
          <w:i/>
          <w:szCs w:val="22"/>
          <w:lang w:val="en-GB"/>
        </w:rPr>
        <w:t xml:space="preserve">Al Monitor </w:t>
      </w:r>
      <w:r w:rsidRPr="00651FA2">
        <w:rPr>
          <w:rFonts w:cs="Times New Roman"/>
          <w:szCs w:val="22"/>
          <w:lang w:val="en-GB"/>
        </w:rPr>
        <w:t xml:space="preserve">[online], available from: </w:t>
      </w:r>
      <w:hyperlink r:id="rId21" w:history="1">
        <w:r w:rsidRPr="00651FA2">
          <w:rPr>
            <w:rStyle w:val="Hyperlink"/>
            <w:rFonts w:cs="Times New Roman"/>
            <w:szCs w:val="22"/>
            <w:lang w:val="en-GB"/>
          </w:rPr>
          <w:t>https://www.al-monitor.com/originals/2019/11/east-yemen-former-ruling-dynasty-mahra-sultanate-saudi.html</w:t>
        </w:r>
      </w:hyperlink>
      <w:r w:rsidRPr="00651FA2">
        <w:rPr>
          <w:rFonts w:cs="Times New Roman"/>
          <w:szCs w:val="22"/>
          <w:lang w:val="en-GB"/>
        </w:rPr>
        <w:t xml:space="preserve"> [last accessed: 21.8.2022]</w:t>
      </w:r>
    </w:p>
    <w:p w14:paraId="137E011C" w14:textId="77777777" w:rsidR="00B91DB4" w:rsidRPr="00651FA2" w:rsidRDefault="00B91DB4" w:rsidP="00B91DB4">
      <w:pPr>
        <w:spacing w:before="60"/>
        <w:ind w:left="709" w:hanging="709"/>
        <w:rPr>
          <w:rFonts w:cs="Times New Roman"/>
          <w:szCs w:val="22"/>
          <w:lang w:val="en-GB"/>
        </w:rPr>
      </w:pPr>
      <w:r w:rsidRPr="00651FA2">
        <w:rPr>
          <w:rFonts w:cs="Times New Roman"/>
          <w:szCs w:val="22"/>
          <w:lang w:val="en-GB"/>
        </w:rPr>
        <w:t>Clark, V. (2010), Yemen: Dancing on the Heads of Snakes (Hampshire: Yale University Press)</w:t>
      </w:r>
    </w:p>
    <w:p w14:paraId="63FD55E7" w14:textId="77777777" w:rsidR="00B91DB4" w:rsidRPr="00651FA2" w:rsidRDefault="00B91DB4" w:rsidP="00B91DB4">
      <w:pPr>
        <w:spacing w:before="60"/>
        <w:ind w:left="709" w:hanging="709"/>
        <w:rPr>
          <w:rFonts w:cs="Times New Roman"/>
          <w:szCs w:val="22"/>
          <w:lang w:val="en-GB"/>
        </w:rPr>
      </w:pPr>
      <w:r w:rsidRPr="00651FA2">
        <w:rPr>
          <w:rFonts w:cs="Times New Roman"/>
          <w:szCs w:val="22"/>
          <w:lang w:val="en-GB"/>
        </w:rPr>
        <w:t>Dresch, P. (2000), A History of Modern Yemen (Cambridge, Cambridge University Press)</w:t>
      </w:r>
    </w:p>
    <w:p w14:paraId="461B4194" w14:textId="2720585B" w:rsidR="00F53FE1" w:rsidRPr="000B6063" w:rsidRDefault="00F53FE1" w:rsidP="00B91DB4">
      <w:pPr>
        <w:pStyle w:val="NormalWeb"/>
        <w:spacing w:before="60" w:beforeAutospacing="0" w:after="0" w:afterAutospacing="0"/>
        <w:ind w:left="709" w:hanging="709"/>
        <w:rPr>
          <w:sz w:val="22"/>
          <w:szCs w:val="22"/>
          <w:lang w:val="en-US"/>
        </w:rPr>
      </w:pPr>
      <w:r w:rsidRPr="000B6063">
        <w:rPr>
          <w:sz w:val="22"/>
          <w:szCs w:val="22"/>
          <w:lang w:val="en-US"/>
        </w:rPr>
        <w:t xml:space="preserve">Joshua Project. “Mahra in Oman.” </w:t>
      </w:r>
      <w:r w:rsidR="00000000">
        <w:fldChar w:fldCharType="begin"/>
      </w:r>
      <w:r w:rsidR="00000000" w:rsidRPr="001D585C">
        <w:rPr>
          <w:lang w:val="en-US"/>
        </w:rPr>
        <w:instrText>HYPERLINK "https://joshuaproject.net/people_groups/13220/mu"</w:instrText>
      </w:r>
      <w:r w:rsidR="00000000">
        <w:fldChar w:fldCharType="separate"/>
      </w:r>
      <w:r w:rsidRPr="000B6063">
        <w:rPr>
          <w:rStyle w:val="Hyperlink"/>
          <w:sz w:val="22"/>
          <w:szCs w:val="22"/>
          <w:lang w:val="en-US"/>
        </w:rPr>
        <w:t>https://joshuaproject.net/people_groups/13220/mu</w:t>
      </w:r>
      <w:r w:rsidR="00000000">
        <w:rPr>
          <w:rStyle w:val="Hyperlink"/>
          <w:sz w:val="22"/>
          <w:szCs w:val="22"/>
          <w:lang w:val="en-US"/>
        </w:rPr>
        <w:fldChar w:fldCharType="end"/>
      </w:r>
      <w:r w:rsidRPr="000B6063">
        <w:rPr>
          <w:sz w:val="22"/>
          <w:szCs w:val="22"/>
          <w:lang w:val="en-US"/>
        </w:rPr>
        <w:t xml:space="preserve"> [August 23, 2022].</w:t>
      </w:r>
    </w:p>
    <w:p w14:paraId="197A7D55" w14:textId="77777777" w:rsidR="000B6063" w:rsidRPr="000B6063" w:rsidRDefault="000B6063" w:rsidP="00B91DB4">
      <w:pPr>
        <w:pStyle w:val="NormalWeb"/>
        <w:spacing w:before="60" w:beforeAutospacing="0" w:after="0" w:afterAutospacing="0"/>
        <w:ind w:left="709" w:hanging="709"/>
        <w:rPr>
          <w:sz w:val="22"/>
          <w:szCs w:val="22"/>
          <w:lang w:val="en-US"/>
        </w:rPr>
      </w:pPr>
      <w:r w:rsidRPr="000B6063">
        <w:rPr>
          <w:sz w:val="22"/>
          <w:szCs w:val="22"/>
          <w:lang w:val="fr-CH"/>
        </w:rPr>
        <w:t xml:space="preserve">GADM (2019). </w:t>
      </w:r>
      <w:r w:rsidRPr="000B6063">
        <w:rPr>
          <w:i/>
          <w:iCs/>
          <w:sz w:val="22"/>
          <w:szCs w:val="22"/>
          <w:lang w:val="en-US"/>
        </w:rPr>
        <w:t>Database of Global Administrative Boundaries, Version 3.6.</w:t>
      </w:r>
      <w:r w:rsidRPr="000B6063">
        <w:rPr>
          <w:sz w:val="22"/>
          <w:szCs w:val="22"/>
          <w:lang w:val="en-US"/>
        </w:rPr>
        <w:t xml:space="preserve"> </w:t>
      </w:r>
      <w:r w:rsidR="00000000">
        <w:fldChar w:fldCharType="begin"/>
      </w:r>
      <w:r w:rsidR="00000000" w:rsidRPr="001D585C">
        <w:rPr>
          <w:lang w:val="en-US"/>
        </w:rPr>
        <w:instrText>HYPERLINK "https://gadm.org/"</w:instrText>
      </w:r>
      <w:r w:rsidR="00000000">
        <w:fldChar w:fldCharType="separate"/>
      </w:r>
      <w:r w:rsidRPr="000B6063">
        <w:rPr>
          <w:rStyle w:val="Hyperlink"/>
          <w:sz w:val="22"/>
          <w:szCs w:val="22"/>
          <w:lang w:val="en-US"/>
        </w:rPr>
        <w:t>https://gadm.org/</w:t>
      </w:r>
      <w:r w:rsidR="00000000">
        <w:rPr>
          <w:rStyle w:val="Hyperlink"/>
          <w:sz w:val="22"/>
          <w:szCs w:val="22"/>
          <w:lang w:val="en-US"/>
        </w:rPr>
        <w:fldChar w:fldCharType="end"/>
      </w:r>
      <w:r w:rsidRPr="000B6063">
        <w:rPr>
          <w:sz w:val="22"/>
          <w:szCs w:val="22"/>
          <w:lang w:val="en-US"/>
        </w:rPr>
        <w:t xml:space="preserve"> [November 19, 2021].</w:t>
      </w:r>
    </w:p>
    <w:p w14:paraId="08D56ABE" w14:textId="339C97DB" w:rsidR="00B91DB4" w:rsidRPr="000B6063" w:rsidRDefault="00B91DB4" w:rsidP="00B91DB4">
      <w:pPr>
        <w:pStyle w:val="NormalWeb"/>
        <w:spacing w:before="60" w:beforeAutospacing="0" w:after="0" w:afterAutospacing="0"/>
        <w:ind w:left="709" w:hanging="709"/>
        <w:rPr>
          <w:color w:val="000000"/>
          <w:sz w:val="22"/>
          <w:szCs w:val="22"/>
          <w:lang w:val="en-US"/>
        </w:rPr>
      </w:pPr>
      <w:r w:rsidRPr="000B6063">
        <w:rPr>
          <w:sz w:val="22"/>
          <w:szCs w:val="22"/>
          <w:lang w:val="en-US"/>
        </w:rPr>
        <w:t xml:space="preserve">Hewitt, Christopher, and Tom Cheetham (2000). </w:t>
      </w:r>
      <w:r w:rsidRPr="000B6063">
        <w:rPr>
          <w:i/>
          <w:sz w:val="22"/>
          <w:szCs w:val="22"/>
          <w:lang w:val="en-US"/>
        </w:rPr>
        <w:t>Encyclopedia of Modern Separatist Movements.</w:t>
      </w:r>
      <w:r w:rsidRPr="000B6063">
        <w:rPr>
          <w:sz w:val="22"/>
          <w:szCs w:val="22"/>
          <w:lang w:val="en-US"/>
        </w:rPr>
        <w:t xml:space="preserve"> Santa Barbara, CA: ABC-CLIO, pp. 324-325.</w:t>
      </w:r>
    </w:p>
    <w:p w14:paraId="7E6CBD1B" w14:textId="77777777" w:rsidR="00B91DB4" w:rsidRPr="00651FA2" w:rsidRDefault="00B91DB4" w:rsidP="00B91DB4">
      <w:pPr>
        <w:spacing w:before="60"/>
        <w:ind w:left="709" w:hanging="709"/>
        <w:rPr>
          <w:rFonts w:cs="Times New Roman"/>
          <w:szCs w:val="22"/>
          <w:lang w:val="en-GB"/>
        </w:rPr>
      </w:pPr>
      <w:r w:rsidRPr="000B6063">
        <w:rPr>
          <w:rFonts w:cs="Times New Roman"/>
          <w:szCs w:val="22"/>
          <w:lang w:val="en-GB"/>
        </w:rPr>
        <w:t>Hill, G. (2017), Yemen</w:t>
      </w:r>
      <w:r w:rsidRPr="00651FA2">
        <w:rPr>
          <w:rFonts w:cs="Times New Roman"/>
          <w:szCs w:val="22"/>
          <w:lang w:val="en-GB"/>
        </w:rPr>
        <w:t xml:space="preserve"> Endures (London: C. Hurst &amp; Co. (Publishers) Ltd.)</w:t>
      </w:r>
    </w:p>
    <w:p w14:paraId="2C9FBCF4" w14:textId="77777777" w:rsidR="00B91DB4" w:rsidRDefault="00B91DB4" w:rsidP="00B91DB4">
      <w:pPr>
        <w:spacing w:before="60"/>
        <w:ind w:left="709" w:hanging="709"/>
        <w:rPr>
          <w:rFonts w:cs="Times New Roman"/>
        </w:rPr>
      </w:pPr>
      <w:r>
        <w:rPr>
          <w:rFonts w:cs="Times New Roman"/>
        </w:rPr>
        <w:t xml:space="preserve">Kendall, Elisabeth (2014). “Yemen’s Eastern Province: The People of Mahra Clearly Want Independence.” </w:t>
      </w:r>
      <w:r w:rsidRPr="002157C2">
        <w:rPr>
          <w:rFonts w:cs="Times New Roman"/>
        </w:rPr>
        <w:t>https://blog.politics.ox.ac.uk/yemens-eastern-province-people-mahra-clearly-want-independence/</w:t>
      </w:r>
      <w:r>
        <w:rPr>
          <w:rFonts w:cs="Times New Roman"/>
        </w:rPr>
        <w:t xml:space="preserve"> [July 1, 2022].</w:t>
      </w:r>
    </w:p>
    <w:p w14:paraId="0720B822" w14:textId="77777777" w:rsidR="00B91DB4" w:rsidRPr="00651FA2" w:rsidRDefault="00B91DB4" w:rsidP="00B91DB4">
      <w:pPr>
        <w:tabs>
          <w:tab w:val="left" w:pos="930"/>
        </w:tabs>
        <w:spacing w:before="60"/>
        <w:ind w:left="709" w:hanging="709"/>
        <w:rPr>
          <w:rFonts w:cs="Times New Roman"/>
          <w:szCs w:val="22"/>
          <w:lang w:val="en-GB"/>
        </w:rPr>
      </w:pPr>
      <w:r w:rsidRPr="00651FA2">
        <w:rPr>
          <w:rFonts w:cs="Times New Roman"/>
          <w:szCs w:val="22"/>
          <w:lang w:val="en-GB"/>
        </w:rPr>
        <w:t xml:space="preserve">Kendall, Elisabeth. (2018). ‘The Mobilisation of Yemen’s Eastern Tribes: Al-Mahra’s Self-Organisation Model’ in Heinze, Marie-Christine (ed.) </w:t>
      </w:r>
      <w:r w:rsidRPr="00651FA2">
        <w:rPr>
          <w:rFonts w:cs="Times New Roman"/>
          <w:i/>
          <w:szCs w:val="22"/>
          <w:lang w:val="en-GB"/>
        </w:rPr>
        <w:t xml:space="preserve">Yemen and the Search for Stability: Power, Politics and Society After the Arab Spring </w:t>
      </w:r>
      <w:r w:rsidRPr="00651FA2">
        <w:rPr>
          <w:rFonts w:cs="Times New Roman"/>
          <w:szCs w:val="22"/>
          <w:lang w:val="en-GB"/>
        </w:rPr>
        <w:t>(IB Tauris: London)</w:t>
      </w:r>
    </w:p>
    <w:p w14:paraId="0D449B84" w14:textId="77777777" w:rsidR="00B91DB4" w:rsidRDefault="00B91DB4" w:rsidP="00B91DB4">
      <w:pPr>
        <w:spacing w:before="60"/>
        <w:ind w:left="709" w:hanging="709"/>
        <w:rPr>
          <w:rFonts w:cs="Times New Roman"/>
        </w:rPr>
      </w:pPr>
      <w:r>
        <w:rPr>
          <w:rFonts w:cs="Times New Roman"/>
        </w:rPr>
        <w:t>Lewis, Martin W. (2015). “</w:t>
      </w:r>
      <w:r w:rsidRPr="00CB5517">
        <w:rPr>
          <w:rFonts w:cs="Times New Roman"/>
        </w:rPr>
        <w:t xml:space="preserve">Yemen’s Beleaguered Al </w:t>
      </w:r>
      <w:proofErr w:type="spellStart"/>
      <w:r w:rsidRPr="00CB5517">
        <w:rPr>
          <w:rFonts w:cs="Times New Roman"/>
        </w:rPr>
        <w:t>Mahrah</w:t>
      </w:r>
      <w:proofErr w:type="spellEnd"/>
      <w:r w:rsidRPr="00CB5517">
        <w:rPr>
          <w:rFonts w:cs="Times New Roman"/>
        </w:rPr>
        <w:t xml:space="preserve"> Seeks Autonomy</w:t>
      </w:r>
      <w:r>
        <w:rPr>
          <w:rFonts w:cs="Times New Roman"/>
        </w:rPr>
        <w:t xml:space="preserve">.” </w:t>
      </w:r>
      <w:hyperlink r:id="rId22" w:history="1">
        <w:r w:rsidRPr="00563965">
          <w:rPr>
            <w:rStyle w:val="Hyperlink"/>
            <w:rFonts w:cs="Times New Roman"/>
          </w:rPr>
          <w:t>https://www.geocurrents.info/geopolitics/autonomous-zones/yemens-beleaguered-al-mahrah-seeks-autonomy</w:t>
        </w:r>
      </w:hyperlink>
      <w:r>
        <w:rPr>
          <w:rFonts w:cs="Times New Roman"/>
        </w:rPr>
        <w:t xml:space="preserve"> [July 1, 2022].</w:t>
      </w:r>
    </w:p>
    <w:p w14:paraId="1C0EBC0C" w14:textId="77777777" w:rsidR="00B91DB4" w:rsidRDefault="00B91DB4" w:rsidP="00B91DB4">
      <w:pPr>
        <w:spacing w:before="60"/>
        <w:ind w:left="709" w:hanging="709"/>
        <w:rPr>
          <w:rFonts w:cs="Times New Roman"/>
        </w:rPr>
      </w:pPr>
      <w:r w:rsidRPr="00CB5517">
        <w:rPr>
          <w:rFonts w:cs="Times New Roman"/>
        </w:rPr>
        <w:t xml:space="preserve">Mills, Peter (2020). “Mahra: The Eye of a Geopolitical Storm.” </w:t>
      </w:r>
      <w:hyperlink r:id="rId23" w:history="1">
        <w:r w:rsidRPr="00CB5517">
          <w:rPr>
            <w:rStyle w:val="Hyperlink"/>
            <w:rFonts w:cs="Times New Roman"/>
          </w:rPr>
          <w:t>https://www.saisjournal.eu/article/38-Mahra-The-Eye-of-a-Geopolitical-Storm.cfm</w:t>
        </w:r>
      </w:hyperlink>
      <w:r w:rsidRPr="00CB5517">
        <w:rPr>
          <w:rFonts w:cs="Times New Roman"/>
        </w:rPr>
        <w:t xml:space="preserve"> [July 1, 2022].</w:t>
      </w:r>
    </w:p>
    <w:p w14:paraId="7C50C876" w14:textId="77777777" w:rsidR="00B91DB4" w:rsidRPr="00651FA2" w:rsidRDefault="00B91DB4" w:rsidP="00B91DB4">
      <w:pPr>
        <w:pStyle w:val="NormalWeb"/>
        <w:spacing w:before="60" w:beforeAutospacing="0" w:after="0" w:afterAutospacing="0"/>
        <w:ind w:left="709" w:hanging="709"/>
        <w:rPr>
          <w:sz w:val="22"/>
          <w:szCs w:val="22"/>
          <w:lang w:val="en-US"/>
        </w:rPr>
      </w:pPr>
      <w:r w:rsidRPr="00651FA2">
        <w:rPr>
          <w:sz w:val="22"/>
          <w:szCs w:val="22"/>
          <w:lang w:val="en-US"/>
        </w:rPr>
        <w:t xml:space="preserve">Minahan, James (1996). </w:t>
      </w:r>
      <w:r w:rsidRPr="00651FA2">
        <w:rPr>
          <w:i/>
          <w:sz w:val="22"/>
          <w:szCs w:val="22"/>
          <w:lang w:val="en-US"/>
        </w:rPr>
        <w:t xml:space="preserve">Nations without States: A Historical Dictionary of Contemporary National Movements. </w:t>
      </w:r>
      <w:r w:rsidRPr="00651FA2">
        <w:rPr>
          <w:sz w:val="22"/>
          <w:szCs w:val="22"/>
          <w:lang w:val="en-US"/>
        </w:rPr>
        <w:t>London: Greenwood Press, pp. 542-544.</w:t>
      </w:r>
    </w:p>
    <w:p w14:paraId="4227483C" w14:textId="77777777" w:rsidR="00B91DB4" w:rsidRPr="00651FA2" w:rsidRDefault="00B91DB4" w:rsidP="00B91DB4">
      <w:pPr>
        <w:spacing w:before="60"/>
        <w:ind w:left="709" w:hanging="709"/>
        <w:rPr>
          <w:rFonts w:eastAsia="Times" w:cs="Times New Roman"/>
          <w:iCs/>
          <w:szCs w:val="22"/>
          <w:lang w:val="en-GB"/>
        </w:rPr>
      </w:pPr>
      <w:r w:rsidRPr="00651FA2">
        <w:rPr>
          <w:rFonts w:eastAsia="Times New Roman" w:cs="Times New Roman"/>
          <w:szCs w:val="22"/>
          <w:lang w:val="en-GB"/>
        </w:rPr>
        <w:t>Minahan, James (2016).</w:t>
      </w:r>
      <w:r w:rsidRPr="00651FA2">
        <w:rPr>
          <w:rFonts w:eastAsia="Times" w:cs="Times New Roman"/>
          <w:i/>
          <w:szCs w:val="22"/>
          <w:lang w:val="en-GB"/>
        </w:rPr>
        <w:t xml:space="preserve"> </w:t>
      </w:r>
      <w:proofErr w:type="spellStart"/>
      <w:r w:rsidRPr="00651FA2">
        <w:rPr>
          <w:rFonts w:eastAsia="Times" w:cs="Times New Roman"/>
          <w:i/>
          <w:szCs w:val="22"/>
          <w:lang w:val="en-GB"/>
        </w:rPr>
        <w:t>Encyclopedia</w:t>
      </w:r>
      <w:proofErr w:type="spellEnd"/>
      <w:r w:rsidRPr="00651FA2">
        <w:rPr>
          <w:rFonts w:eastAsia="Times" w:cs="Times New Roman"/>
          <w:i/>
          <w:szCs w:val="22"/>
          <w:lang w:val="en-GB"/>
        </w:rPr>
        <w:t xml:space="preserve"> of Stateless Nations. Second Edition. </w:t>
      </w:r>
      <w:r w:rsidRPr="00651FA2">
        <w:rPr>
          <w:rFonts w:eastAsia="Times" w:cs="Times New Roman"/>
          <w:iCs/>
          <w:szCs w:val="22"/>
          <w:lang w:val="en-GB"/>
        </w:rPr>
        <w:t>Santa Barbara, CA: Greenwood Press.</w:t>
      </w:r>
    </w:p>
    <w:p w14:paraId="780AF8E4" w14:textId="77777777" w:rsidR="00B91DB4" w:rsidRDefault="00B91DB4" w:rsidP="00B91DB4">
      <w:pPr>
        <w:spacing w:before="60"/>
        <w:ind w:left="709" w:hanging="709"/>
        <w:rPr>
          <w:rFonts w:cs="Times New Roman"/>
        </w:rPr>
      </w:pPr>
      <w:r>
        <w:rPr>
          <w:rFonts w:cs="Times New Roman"/>
        </w:rPr>
        <w:t>Nagi, Ahmed (2020). “</w:t>
      </w:r>
      <w:r w:rsidRPr="002157C2">
        <w:rPr>
          <w:rFonts w:cs="Times New Roman"/>
        </w:rPr>
        <w:t>Mahra, Yemen:</w:t>
      </w:r>
      <w:r>
        <w:rPr>
          <w:rFonts w:cs="Times New Roman"/>
        </w:rPr>
        <w:t xml:space="preserve"> </w:t>
      </w:r>
      <w:r w:rsidRPr="002157C2">
        <w:rPr>
          <w:rFonts w:cs="Times New Roman"/>
        </w:rPr>
        <w:t>A Shadow Conflict Worth Watching</w:t>
      </w:r>
      <w:r>
        <w:rPr>
          <w:rFonts w:cs="Times New Roman"/>
        </w:rPr>
        <w:t xml:space="preserve">.” </w:t>
      </w:r>
      <w:hyperlink r:id="rId24" w:history="1">
        <w:r w:rsidRPr="00563965">
          <w:rPr>
            <w:rStyle w:val="Hyperlink"/>
            <w:rFonts w:cs="Times New Roman"/>
          </w:rPr>
          <w:t>https://carnegie-mec.org/2020/02/20/mahra-yemen-shadow-conflict-worth-watching-pub-80986</w:t>
        </w:r>
      </w:hyperlink>
      <w:r>
        <w:rPr>
          <w:rFonts w:cs="Times New Roman"/>
        </w:rPr>
        <w:t xml:space="preserve">  [July 1, 2022].</w:t>
      </w:r>
    </w:p>
    <w:p w14:paraId="57FB2D86" w14:textId="77777777" w:rsidR="00B91DB4" w:rsidRPr="00651FA2" w:rsidRDefault="00B91DB4" w:rsidP="00B91DB4">
      <w:pPr>
        <w:tabs>
          <w:tab w:val="left" w:pos="930"/>
        </w:tabs>
        <w:spacing w:before="60"/>
        <w:ind w:left="709" w:hanging="709"/>
        <w:rPr>
          <w:rFonts w:cs="Times New Roman"/>
          <w:szCs w:val="22"/>
          <w:lang w:val="en-GB"/>
        </w:rPr>
      </w:pPr>
      <w:r w:rsidRPr="00651FA2">
        <w:rPr>
          <w:rFonts w:cs="Times New Roman"/>
          <w:szCs w:val="22"/>
          <w:lang w:val="en-GB"/>
        </w:rPr>
        <w:t xml:space="preserve">Roy, Emile (2019). ‘Yemen’s Fractured South: Socotra and </w:t>
      </w:r>
      <w:proofErr w:type="spellStart"/>
      <w:r w:rsidRPr="00651FA2">
        <w:rPr>
          <w:rFonts w:cs="Times New Roman"/>
          <w:szCs w:val="22"/>
          <w:lang w:val="en-GB"/>
        </w:rPr>
        <w:t>Mahrah</w:t>
      </w:r>
      <w:proofErr w:type="spellEnd"/>
      <w:r w:rsidRPr="00651FA2">
        <w:rPr>
          <w:rFonts w:cs="Times New Roman"/>
          <w:szCs w:val="22"/>
          <w:lang w:val="en-GB"/>
        </w:rPr>
        <w:t xml:space="preserve">’ </w:t>
      </w:r>
      <w:r w:rsidRPr="00651FA2">
        <w:rPr>
          <w:rFonts w:cs="Times New Roman"/>
          <w:i/>
          <w:szCs w:val="22"/>
          <w:lang w:val="en-GB"/>
        </w:rPr>
        <w:t xml:space="preserve">ACLED </w:t>
      </w:r>
      <w:r w:rsidRPr="00651FA2">
        <w:rPr>
          <w:rFonts w:cs="Times New Roman"/>
          <w:szCs w:val="22"/>
          <w:lang w:val="en-GB"/>
        </w:rPr>
        <w:t xml:space="preserve">[online], available from: </w:t>
      </w:r>
      <w:hyperlink r:id="rId25" w:history="1">
        <w:r w:rsidRPr="00651FA2">
          <w:rPr>
            <w:rStyle w:val="Hyperlink"/>
            <w:rFonts w:cs="Times New Roman"/>
            <w:szCs w:val="22"/>
            <w:lang w:val="en-GB"/>
          </w:rPr>
          <w:t>https://acleddata.com/2019/05/31/yemens-fractured-south-socotra-and-mahrah/</w:t>
        </w:r>
      </w:hyperlink>
      <w:r w:rsidRPr="00651FA2">
        <w:rPr>
          <w:rFonts w:cs="Times New Roman"/>
          <w:szCs w:val="22"/>
          <w:lang w:val="en-GB"/>
        </w:rPr>
        <w:t xml:space="preserve"> [last accessed: 21.8.2022]</w:t>
      </w:r>
    </w:p>
    <w:p w14:paraId="03609FAE" w14:textId="5C95F223" w:rsidR="00C73644" w:rsidRPr="00C73644" w:rsidRDefault="00B91DB4" w:rsidP="00A53EBA">
      <w:pPr>
        <w:spacing w:before="60"/>
        <w:ind w:left="709" w:hanging="709"/>
        <w:rPr>
          <w:rFonts w:cs="Times New Roman"/>
          <w:lang w:val="en-GB"/>
        </w:rPr>
      </w:pPr>
      <w:r w:rsidRPr="00651FA2">
        <w:rPr>
          <w:rFonts w:cs="Times New Roman"/>
          <w:szCs w:val="22"/>
          <w:lang w:val="en-GB"/>
        </w:rPr>
        <w:lastRenderedPageBreak/>
        <w:t xml:space="preserve">Salisbury, Peter (2018). ‘Yemen’s Southern Powder Keg’. </w:t>
      </w:r>
      <w:r w:rsidRPr="00651FA2">
        <w:rPr>
          <w:rFonts w:cs="Times New Roman"/>
          <w:i/>
          <w:szCs w:val="22"/>
          <w:lang w:val="en-GB"/>
        </w:rPr>
        <w:t xml:space="preserve">Chatham House </w:t>
      </w:r>
      <w:r w:rsidRPr="00651FA2">
        <w:rPr>
          <w:rFonts w:cs="Times New Roman"/>
          <w:szCs w:val="22"/>
          <w:lang w:val="en-GB"/>
        </w:rPr>
        <w:t xml:space="preserve">[online], available from: </w:t>
      </w:r>
      <w:hyperlink r:id="rId26" w:history="1">
        <w:r w:rsidRPr="00651FA2">
          <w:rPr>
            <w:rStyle w:val="Hyperlink"/>
            <w:rFonts w:cs="Times New Roman"/>
            <w:szCs w:val="22"/>
            <w:lang w:val="en-GB"/>
          </w:rPr>
          <w:t>https://www.chathamhouse.org/sites/default/files/publications/research/2018-03-27-yemen-southern-powder-keg-salisbury-final.pdf</w:t>
        </w:r>
      </w:hyperlink>
      <w:r w:rsidRPr="00651FA2">
        <w:rPr>
          <w:rFonts w:cs="Times New Roman"/>
          <w:color w:val="000000"/>
          <w:szCs w:val="22"/>
          <w:lang w:val="en-GB"/>
        </w:rPr>
        <w:t xml:space="preserve"> [last accessed: 21.8.2022]</w:t>
      </w:r>
      <w:r w:rsidR="00A53EBA">
        <w:rPr>
          <w:rFonts w:cs="Times New Roman"/>
          <w:color w:val="000000"/>
          <w:szCs w:val="22"/>
          <w:lang w:val="en-GB"/>
        </w:rPr>
        <w:t>.</w:t>
      </w:r>
    </w:p>
    <w:p w14:paraId="7D70D8E9" w14:textId="3F4DBF35" w:rsidR="00550BD7" w:rsidRDefault="00550BD7">
      <w:pPr>
        <w:spacing w:after="200" w:line="276" w:lineRule="auto"/>
        <w:rPr>
          <w:rFonts w:eastAsiaTheme="majorEastAsia" w:cstheme="majorBidi"/>
          <w:b/>
          <w:bCs/>
          <w:szCs w:val="26"/>
          <w:u w:val="single"/>
        </w:rPr>
      </w:pPr>
      <w:r>
        <w:br w:type="page"/>
      </w:r>
    </w:p>
    <w:p w14:paraId="2DA6E953" w14:textId="6D47FAE3" w:rsidR="00453A9D" w:rsidRDefault="008B1598" w:rsidP="0019299C">
      <w:pPr>
        <w:pStyle w:val="Heading2"/>
      </w:pPr>
      <w:r>
        <w:lastRenderedPageBreak/>
        <w:t>South Yemeni</w:t>
      </w:r>
    </w:p>
    <w:p w14:paraId="7751ECD1" w14:textId="77777777" w:rsidR="00453A9D" w:rsidRDefault="00453A9D" w:rsidP="0019299C"/>
    <w:p w14:paraId="1CF6FBB3" w14:textId="6BB96555" w:rsidR="00453A9D" w:rsidRPr="00F83BF0" w:rsidRDefault="00453A9D" w:rsidP="0019299C">
      <w:pPr>
        <w:rPr>
          <w:rFonts w:cs="Times New Roman"/>
        </w:rPr>
      </w:pPr>
      <w:r w:rsidRPr="00024E3D">
        <w:rPr>
          <w:rFonts w:cs="Times New Roman"/>
        </w:rPr>
        <w:t xml:space="preserve">Activity: </w:t>
      </w:r>
      <w:r w:rsidR="008B1598" w:rsidRPr="00024E3D">
        <w:rPr>
          <w:rFonts w:cs="Times New Roman"/>
        </w:rPr>
        <w:t>1990-</w:t>
      </w:r>
      <w:r w:rsidR="00F27155" w:rsidRPr="00024E3D">
        <w:rPr>
          <w:rFonts w:cs="Times New Roman"/>
        </w:rPr>
        <w:t>2020</w:t>
      </w:r>
    </w:p>
    <w:p w14:paraId="4A22B98D" w14:textId="77777777" w:rsidR="00453A9D" w:rsidRPr="00E62790" w:rsidRDefault="00453A9D" w:rsidP="0019299C">
      <w:pPr>
        <w:rPr>
          <w:rFonts w:cs="Times New Roman"/>
        </w:rPr>
      </w:pPr>
    </w:p>
    <w:p w14:paraId="6C141715" w14:textId="77777777" w:rsidR="00F618F1" w:rsidRDefault="00F618F1" w:rsidP="0019299C">
      <w:pPr>
        <w:rPr>
          <w:rFonts w:cs="Times New Roman"/>
          <w:b/>
          <w:szCs w:val="22"/>
        </w:rPr>
      </w:pPr>
    </w:p>
    <w:p w14:paraId="3E137A12" w14:textId="77777777" w:rsidR="00794F7B" w:rsidRDefault="00794F7B" w:rsidP="0019299C">
      <w:pPr>
        <w:rPr>
          <w:rFonts w:cs="Times New Roman"/>
          <w:b/>
          <w:szCs w:val="22"/>
        </w:rPr>
      </w:pPr>
      <w:r w:rsidRPr="00FA0C2A">
        <w:rPr>
          <w:rFonts w:cs="Times New Roman"/>
          <w:b/>
          <w:szCs w:val="22"/>
        </w:rPr>
        <w:t>General note</w:t>
      </w:r>
      <w:r w:rsidR="00392C66">
        <w:rPr>
          <w:rFonts w:cs="Times New Roman"/>
          <w:b/>
          <w:szCs w:val="22"/>
        </w:rPr>
        <w:t>s</w:t>
      </w:r>
      <w:r w:rsidRPr="00FA0C2A">
        <w:rPr>
          <w:rFonts w:cs="Times New Roman"/>
          <w:b/>
          <w:szCs w:val="22"/>
        </w:rPr>
        <w:t xml:space="preserve"> </w:t>
      </w:r>
    </w:p>
    <w:p w14:paraId="0C3ED1F2" w14:textId="77777777" w:rsidR="00794F7B" w:rsidRPr="006F657B" w:rsidRDefault="00794F7B" w:rsidP="0019299C">
      <w:pPr>
        <w:rPr>
          <w:rFonts w:cs="Times New Roman"/>
          <w:bCs/>
          <w:szCs w:val="22"/>
        </w:rPr>
      </w:pPr>
    </w:p>
    <w:p w14:paraId="6108D660" w14:textId="22D77AC8" w:rsidR="00794F7B" w:rsidRDefault="008B1598" w:rsidP="0019299C">
      <w:pPr>
        <w:rPr>
          <w:rFonts w:cs="Times New Roman"/>
          <w:bCs/>
          <w:szCs w:val="22"/>
        </w:rPr>
      </w:pPr>
      <w:r>
        <w:rPr>
          <w:rFonts w:cs="Times New Roman"/>
          <w:bCs/>
          <w:szCs w:val="22"/>
        </w:rPr>
        <w:t>NA</w:t>
      </w:r>
    </w:p>
    <w:p w14:paraId="3F8E1ECD" w14:textId="77777777" w:rsidR="008B1598" w:rsidRPr="006F657B" w:rsidRDefault="008B1598" w:rsidP="0019299C">
      <w:pPr>
        <w:rPr>
          <w:rFonts w:cs="Times New Roman"/>
          <w:bCs/>
          <w:szCs w:val="22"/>
        </w:rPr>
      </w:pPr>
    </w:p>
    <w:p w14:paraId="2B151A2F" w14:textId="77777777" w:rsidR="00794F7B" w:rsidRPr="006F657B" w:rsidRDefault="00794F7B" w:rsidP="0019299C">
      <w:pPr>
        <w:rPr>
          <w:rFonts w:cs="Times New Roman"/>
          <w:bCs/>
          <w:szCs w:val="22"/>
        </w:rPr>
      </w:pPr>
    </w:p>
    <w:p w14:paraId="55994E78" w14:textId="77777777" w:rsidR="00F5483A" w:rsidRDefault="00F5483A" w:rsidP="00F5483A">
      <w:pPr>
        <w:rPr>
          <w:rFonts w:cs="Times New Roman"/>
          <w:bCs/>
          <w:szCs w:val="22"/>
        </w:rPr>
      </w:pPr>
      <w:r>
        <w:rPr>
          <w:rFonts w:cs="Times New Roman"/>
          <w:b/>
          <w:szCs w:val="22"/>
        </w:rPr>
        <w:t>Movement start and end dates</w:t>
      </w:r>
    </w:p>
    <w:p w14:paraId="75642DAD" w14:textId="77777777" w:rsidR="00F5483A" w:rsidRPr="006F657B" w:rsidRDefault="00F5483A" w:rsidP="00F5483A">
      <w:pPr>
        <w:rPr>
          <w:rFonts w:cs="Times New Roman"/>
          <w:szCs w:val="22"/>
        </w:rPr>
      </w:pPr>
    </w:p>
    <w:p w14:paraId="7CE877C0" w14:textId="77777777" w:rsidR="000A75EE" w:rsidRPr="000A75EE" w:rsidRDefault="00F5483A" w:rsidP="00F5483A">
      <w:pPr>
        <w:pStyle w:val="ListParagraph"/>
        <w:numPr>
          <w:ilvl w:val="0"/>
          <w:numId w:val="11"/>
        </w:numPr>
      </w:pPr>
      <w:r w:rsidRPr="00F5483A">
        <w:rPr>
          <w:rFonts w:eastAsia="Times New Roman"/>
          <w:color w:val="000000"/>
        </w:rPr>
        <w:t xml:space="preserve">North and South Yemen were united in May 1990 and immediately there were disputes between the Northern and Southern Yemeni political parties with the more </w:t>
      </w:r>
      <w:proofErr w:type="spellStart"/>
      <w:r w:rsidRPr="00F5483A">
        <w:rPr>
          <w:rFonts w:eastAsia="Times New Roman"/>
          <w:color w:val="000000"/>
        </w:rPr>
        <w:t>subordinante</w:t>
      </w:r>
      <w:proofErr w:type="spellEnd"/>
      <w:r w:rsidRPr="00F5483A">
        <w:rPr>
          <w:rFonts w:eastAsia="Times New Roman"/>
          <w:color w:val="000000"/>
        </w:rPr>
        <w:t xml:space="preserve"> Southerners demanding more political autonomy. We therefore peg the start date of the movement </w:t>
      </w:r>
      <w:proofErr w:type="gramStart"/>
      <w:r w:rsidRPr="00F5483A">
        <w:rPr>
          <w:rFonts w:eastAsia="Times New Roman"/>
          <w:color w:val="000000"/>
        </w:rPr>
        <w:t>at</w:t>
      </w:r>
      <w:proofErr w:type="gramEnd"/>
      <w:r w:rsidRPr="00F5483A">
        <w:rPr>
          <w:rFonts w:eastAsia="Times New Roman"/>
          <w:color w:val="000000"/>
        </w:rPr>
        <w:t xml:space="preserve"> 1990. </w:t>
      </w:r>
    </w:p>
    <w:p w14:paraId="251F634B" w14:textId="77777777" w:rsidR="000A75EE" w:rsidRPr="000A75EE" w:rsidRDefault="00F5483A" w:rsidP="00F5483A">
      <w:pPr>
        <w:pStyle w:val="ListParagraph"/>
        <w:numPr>
          <w:ilvl w:val="0"/>
          <w:numId w:val="11"/>
        </w:numPr>
      </w:pPr>
      <w:r w:rsidRPr="00F5483A">
        <w:rPr>
          <w:rFonts w:eastAsia="Times New Roman"/>
          <w:color w:val="000000"/>
        </w:rPr>
        <w:t xml:space="preserve">The inter-party dispute from 1990 to early 1994 was nonviolent and involved several issues. The main Southern party, the Yemeni </w:t>
      </w:r>
      <w:proofErr w:type="spellStart"/>
      <w:r w:rsidRPr="00F5483A">
        <w:rPr>
          <w:rFonts w:eastAsia="Times New Roman"/>
          <w:color w:val="000000"/>
        </w:rPr>
        <w:t>Soclialist</w:t>
      </w:r>
      <w:proofErr w:type="spellEnd"/>
      <w:r w:rsidRPr="00F5483A">
        <w:rPr>
          <w:rFonts w:eastAsia="Times New Roman"/>
          <w:color w:val="000000"/>
        </w:rPr>
        <w:t xml:space="preserve"> Party (YSP), wanted a decentralized state that would grant considerable powers to its regional components. But even though the YSP did not advocate secession until May 1994, the Northern parties were adamant about maintaining Yemen’s unity and objected to any form of autonomy for the South. </w:t>
      </w:r>
    </w:p>
    <w:p w14:paraId="1F394F1E" w14:textId="055CF316" w:rsidR="00F5483A" w:rsidRPr="000A75EE" w:rsidRDefault="00F5483A" w:rsidP="00F5483A">
      <w:pPr>
        <w:pStyle w:val="ListParagraph"/>
        <w:numPr>
          <w:ilvl w:val="0"/>
          <w:numId w:val="11"/>
        </w:numPr>
      </w:pPr>
      <w:r w:rsidRPr="000A75EE">
        <w:rPr>
          <w:rFonts w:eastAsia="Times New Roman"/>
          <w:color w:val="000000"/>
        </w:rPr>
        <w:t>Although defeated by the Northern military in the 1994 civil war, Southern separatists remained a potent force in the region and the YSP remained active as of 2012</w:t>
      </w:r>
      <w:r w:rsidR="00F27155" w:rsidRPr="000A75EE">
        <w:rPr>
          <w:rFonts w:eastAsia="Times New Roman"/>
          <w:color w:val="000000"/>
        </w:rPr>
        <w:t xml:space="preserve">. The YSP has since been eclipsed by </w:t>
      </w:r>
      <w:r w:rsidR="000A75EE" w:rsidRPr="000A75EE">
        <w:rPr>
          <w:rFonts w:eastAsia="Times New Roman"/>
          <w:color w:val="000000"/>
        </w:rPr>
        <w:t xml:space="preserve">other </w:t>
      </w:r>
      <w:r w:rsidR="00F27155" w:rsidRPr="000A75EE">
        <w:rPr>
          <w:rFonts w:eastAsia="Times New Roman"/>
          <w:color w:val="000000"/>
        </w:rPr>
        <w:t xml:space="preserve">secessionist </w:t>
      </w:r>
      <w:r w:rsidR="000A75EE" w:rsidRPr="000A75EE">
        <w:rPr>
          <w:rFonts w:eastAsia="Times New Roman"/>
          <w:color w:val="000000"/>
        </w:rPr>
        <w:t>organizations</w:t>
      </w:r>
      <w:r w:rsidR="00F27155" w:rsidRPr="000A75EE">
        <w:rPr>
          <w:rFonts w:eastAsia="Times New Roman"/>
          <w:color w:val="000000"/>
        </w:rPr>
        <w:t xml:space="preserve"> including</w:t>
      </w:r>
      <w:r w:rsidR="006156F5" w:rsidRPr="000A75EE">
        <w:rPr>
          <w:rFonts w:eastAsia="Times New Roman"/>
          <w:color w:val="000000"/>
        </w:rPr>
        <w:t xml:space="preserve"> </w:t>
      </w:r>
      <w:proofErr w:type="spellStart"/>
      <w:r w:rsidR="00F27155" w:rsidRPr="000A75EE">
        <w:rPr>
          <w:rFonts w:eastAsia="Times New Roman"/>
          <w:color w:val="000000"/>
        </w:rPr>
        <w:t>Hiraak</w:t>
      </w:r>
      <w:proofErr w:type="spellEnd"/>
      <w:r w:rsidR="00F27155" w:rsidRPr="000A75EE">
        <w:rPr>
          <w:rFonts w:eastAsia="Times New Roman"/>
          <w:color w:val="000000"/>
        </w:rPr>
        <w:t xml:space="preserve"> and the Southern Transitional Council (STC)</w:t>
      </w:r>
      <w:r w:rsidR="000A75EE" w:rsidRPr="000A75EE">
        <w:rPr>
          <w:rFonts w:eastAsia="Times New Roman"/>
          <w:color w:val="000000"/>
        </w:rPr>
        <w:t>. The movement is ongoing</w:t>
      </w:r>
      <w:r w:rsidRPr="000A75EE">
        <w:rPr>
          <w:rFonts w:eastAsia="Times New Roman"/>
          <w:color w:val="000000"/>
        </w:rPr>
        <w:t xml:space="preserve"> (Curran et al. 2011; Hammond 2012; Hewitt &amp; Cheetham 2000; </w:t>
      </w:r>
      <w:proofErr w:type="spellStart"/>
      <w:r w:rsidRPr="000A75EE">
        <w:rPr>
          <w:rFonts w:eastAsia="Times New Roman"/>
          <w:color w:val="000000"/>
        </w:rPr>
        <w:t>Keesing’s</w:t>
      </w:r>
      <w:proofErr w:type="spellEnd"/>
      <w:r w:rsidRPr="000A75EE">
        <w:rPr>
          <w:rFonts w:eastAsia="Times New Roman"/>
          <w:color w:val="000000"/>
        </w:rPr>
        <w:t xml:space="preserve">; </w:t>
      </w:r>
      <w:proofErr w:type="spellStart"/>
      <w:r w:rsidRPr="000A75EE">
        <w:rPr>
          <w:rFonts w:eastAsia="Times New Roman"/>
          <w:color w:val="000000"/>
        </w:rPr>
        <w:t>Kostiner</w:t>
      </w:r>
      <w:proofErr w:type="spellEnd"/>
      <w:r w:rsidRPr="000A75EE">
        <w:rPr>
          <w:rFonts w:eastAsia="Times New Roman"/>
          <w:color w:val="000000"/>
        </w:rPr>
        <w:t xml:space="preserve"> 1996; Lexis Nexis; Minahan 1996, 2002; Salama 2013</w:t>
      </w:r>
      <w:r w:rsidR="006156F5" w:rsidRPr="000A75EE">
        <w:rPr>
          <w:rFonts w:eastAsia="Times New Roman"/>
          <w:color w:val="000000"/>
        </w:rPr>
        <w:t xml:space="preserve">; Al-Saafin 2019; </w:t>
      </w:r>
      <w:proofErr w:type="spellStart"/>
      <w:r w:rsidR="006156F5" w:rsidRPr="000A75EE">
        <w:rPr>
          <w:rFonts w:eastAsia="Times New Roman"/>
          <w:color w:val="000000"/>
        </w:rPr>
        <w:t>Heibach</w:t>
      </w:r>
      <w:proofErr w:type="spellEnd"/>
      <w:r w:rsidR="006156F5" w:rsidRPr="000A75EE">
        <w:rPr>
          <w:rFonts w:eastAsia="Times New Roman"/>
          <w:color w:val="000000"/>
        </w:rPr>
        <w:t xml:space="preserve"> 2021</w:t>
      </w:r>
      <w:r w:rsidRPr="000A75EE">
        <w:rPr>
          <w:rFonts w:eastAsia="Times New Roman"/>
          <w:color w:val="000000"/>
        </w:rPr>
        <w:t>). [start date: 1990; end date: ongoing]</w:t>
      </w:r>
      <w:r w:rsidRPr="000A75EE">
        <w:t xml:space="preserve"> </w:t>
      </w:r>
    </w:p>
    <w:p w14:paraId="749D02BE" w14:textId="77777777" w:rsidR="00F5483A" w:rsidRPr="006F657B" w:rsidRDefault="00F5483A" w:rsidP="00F5483A">
      <w:pPr>
        <w:rPr>
          <w:rFonts w:cs="Times New Roman"/>
          <w:szCs w:val="22"/>
        </w:rPr>
      </w:pPr>
    </w:p>
    <w:p w14:paraId="467F32DA" w14:textId="77777777" w:rsidR="00F5483A" w:rsidRPr="006F657B" w:rsidRDefault="00F5483A" w:rsidP="00F5483A">
      <w:pPr>
        <w:rPr>
          <w:rFonts w:cs="Times New Roman"/>
          <w:szCs w:val="22"/>
        </w:rPr>
      </w:pPr>
    </w:p>
    <w:p w14:paraId="48456F22" w14:textId="20ADB95B" w:rsidR="0091516C" w:rsidRPr="00BE5168" w:rsidRDefault="0091516C" w:rsidP="0091516C">
      <w:pPr>
        <w:rPr>
          <w:rFonts w:cs="Times New Roman"/>
          <w:b/>
          <w:szCs w:val="22"/>
        </w:rPr>
      </w:pPr>
      <w:r>
        <w:rPr>
          <w:rFonts w:cs="Times New Roman"/>
          <w:b/>
          <w:szCs w:val="22"/>
        </w:rPr>
        <w:t>Dominant claim</w:t>
      </w:r>
    </w:p>
    <w:p w14:paraId="2AC53755" w14:textId="77777777" w:rsidR="0091516C" w:rsidRDefault="0091516C" w:rsidP="0091516C">
      <w:pPr>
        <w:rPr>
          <w:rFonts w:cs="Times New Roman"/>
          <w:bCs/>
          <w:szCs w:val="22"/>
        </w:rPr>
      </w:pPr>
    </w:p>
    <w:p w14:paraId="11ACFCCA" w14:textId="77777777" w:rsidR="001924B3" w:rsidRDefault="0091516C" w:rsidP="0091516C">
      <w:pPr>
        <w:pStyle w:val="ListParagraph"/>
        <w:numPr>
          <w:ilvl w:val="0"/>
          <w:numId w:val="4"/>
        </w:numPr>
        <w:rPr>
          <w:rFonts w:cs="Times New Roman"/>
          <w:bCs/>
          <w:szCs w:val="22"/>
        </w:rPr>
      </w:pPr>
      <w:r w:rsidRPr="00D07E9C">
        <w:rPr>
          <w:rFonts w:cs="Times New Roman"/>
          <w:bCs/>
          <w:szCs w:val="22"/>
        </w:rPr>
        <w:t xml:space="preserve">Right after unification, the main Southern party, the Yemeni Socialist Party (YSP), wanted a decentralized state that would grant considerable powers to its regional components. The demand for a more decentralized government in the early years of the unified Republic of Yemen is confirmed by Minahan (2002: 706), as is the fact that the Southerners changed their goal to independence in 1994. Secessionist fighting broke out on in May and southern leaders declared the independence of South Yemen. Since 1994, there have been claims for both independence </w:t>
      </w:r>
      <w:proofErr w:type="gramStart"/>
      <w:r w:rsidRPr="00D07E9C">
        <w:rPr>
          <w:rFonts w:cs="Times New Roman"/>
          <w:bCs/>
          <w:szCs w:val="22"/>
        </w:rPr>
        <w:t>and also</w:t>
      </w:r>
      <w:proofErr w:type="gramEnd"/>
      <w:r w:rsidRPr="00D07E9C">
        <w:rPr>
          <w:rFonts w:cs="Times New Roman"/>
          <w:bCs/>
          <w:szCs w:val="22"/>
        </w:rPr>
        <w:t xml:space="preserve"> more moderate demands for decentralization or federation (Brehony 2011: 202).</w:t>
      </w:r>
      <w:r>
        <w:rPr>
          <w:rFonts w:cs="Times New Roman"/>
          <w:bCs/>
          <w:szCs w:val="22"/>
        </w:rPr>
        <w:t xml:space="preserve"> </w:t>
      </w:r>
      <w:r w:rsidRPr="00D677D8">
        <w:rPr>
          <w:rFonts w:cs="Times New Roman"/>
          <w:bCs/>
          <w:szCs w:val="22"/>
        </w:rPr>
        <w:t xml:space="preserve">The foremost southern movement (as of April 2022), the STC, has declared self-governance (see above) and was founded ‘with the aim of leading the territories of the former People’s Democratic </w:t>
      </w:r>
      <w:proofErr w:type="spellStart"/>
      <w:r w:rsidRPr="00D677D8">
        <w:rPr>
          <w:rFonts w:cs="Times New Roman"/>
          <w:bCs/>
          <w:szCs w:val="22"/>
        </w:rPr>
        <w:t>Repbulic</w:t>
      </w:r>
      <w:proofErr w:type="spellEnd"/>
      <w:r w:rsidRPr="00D677D8">
        <w:rPr>
          <w:rFonts w:cs="Times New Roman"/>
          <w:bCs/>
          <w:szCs w:val="22"/>
        </w:rPr>
        <w:t xml:space="preserve"> of Yemen to independence’ (</w:t>
      </w:r>
      <w:bookmarkStart w:id="1" w:name="_Hlk102136912"/>
      <w:proofErr w:type="spellStart"/>
      <w:r w:rsidRPr="00D677D8">
        <w:rPr>
          <w:rFonts w:cs="Times New Roman"/>
          <w:bCs/>
          <w:szCs w:val="22"/>
        </w:rPr>
        <w:t>Heibach</w:t>
      </w:r>
      <w:proofErr w:type="spellEnd"/>
      <w:r w:rsidRPr="00D677D8">
        <w:rPr>
          <w:rFonts w:cs="Times New Roman"/>
          <w:bCs/>
          <w:szCs w:val="22"/>
        </w:rPr>
        <w:t>, 2021</w:t>
      </w:r>
      <w:bookmarkEnd w:id="1"/>
      <w:r w:rsidRPr="00D677D8">
        <w:rPr>
          <w:rFonts w:cs="Times New Roman"/>
          <w:bCs/>
          <w:szCs w:val="22"/>
        </w:rPr>
        <w:t>). Nevertheless, the STC by no means represents the ‘wide range’ of separatist movements in the south of Yemen and has limited control over parts of the western governorates (Al-Hamdani and Lackner, 2020).</w:t>
      </w:r>
      <w:r>
        <w:rPr>
          <w:rFonts w:cs="Times New Roman"/>
          <w:bCs/>
          <w:szCs w:val="22"/>
        </w:rPr>
        <w:t xml:space="preserve"> </w:t>
      </w:r>
      <w:r w:rsidRPr="00D07E9C">
        <w:rPr>
          <w:rFonts w:cs="Times New Roman"/>
          <w:bCs/>
          <w:szCs w:val="22"/>
        </w:rPr>
        <w:t xml:space="preserve">It is unclear which of the two claims is dominant. In line with the SDM coding instruction, the more extreme claim is coded. Demands for secession and an independence referendum were reiterated in 2011 and 2012 (Reuters 2011, 2012) </w:t>
      </w:r>
      <w:proofErr w:type="gramStart"/>
      <w:r w:rsidRPr="00D07E9C">
        <w:rPr>
          <w:rFonts w:cs="Times New Roman"/>
          <w:bCs/>
          <w:szCs w:val="22"/>
        </w:rPr>
        <w:t xml:space="preserve">and </w:t>
      </w:r>
      <w:r w:rsidRPr="00D677D8">
        <w:rPr>
          <w:rFonts w:cs="Times New Roman"/>
          <w:bCs/>
          <w:szCs w:val="22"/>
        </w:rPr>
        <w:t>also</w:t>
      </w:r>
      <w:proofErr w:type="gramEnd"/>
      <w:r w:rsidRPr="00D677D8">
        <w:rPr>
          <w:rFonts w:cs="Times New Roman"/>
          <w:bCs/>
          <w:szCs w:val="22"/>
        </w:rPr>
        <w:t xml:space="preserve"> more recently (Middle East Eye 2017). </w:t>
      </w:r>
    </w:p>
    <w:p w14:paraId="6AE87265" w14:textId="6736811D" w:rsidR="0091516C" w:rsidRPr="00D07E9C" w:rsidRDefault="001924B3" w:rsidP="0091516C">
      <w:pPr>
        <w:pStyle w:val="ListParagraph"/>
        <w:numPr>
          <w:ilvl w:val="0"/>
          <w:numId w:val="4"/>
        </w:numPr>
        <w:rPr>
          <w:rFonts w:cs="Times New Roman"/>
          <w:bCs/>
          <w:szCs w:val="22"/>
        </w:rPr>
      </w:pPr>
      <w:r>
        <w:rPr>
          <w:rFonts w:cs="Times New Roman"/>
          <w:bCs/>
          <w:szCs w:val="22"/>
        </w:rPr>
        <w:t xml:space="preserve">Note: we reflect the change to an independence claim already in 1994, in contravention of the January 1 rule, because the secessionist claim led to violence. </w:t>
      </w:r>
      <w:r w:rsidR="0091516C" w:rsidRPr="00D677D8">
        <w:rPr>
          <w:rFonts w:cs="Times New Roman"/>
          <w:bCs/>
          <w:szCs w:val="22"/>
        </w:rPr>
        <w:t>[1990-199</w:t>
      </w:r>
      <w:r>
        <w:rPr>
          <w:rFonts w:cs="Times New Roman"/>
          <w:bCs/>
          <w:szCs w:val="22"/>
        </w:rPr>
        <w:t>3</w:t>
      </w:r>
      <w:r w:rsidR="0091516C" w:rsidRPr="00D677D8">
        <w:rPr>
          <w:rFonts w:cs="Times New Roman"/>
          <w:bCs/>
          <w:szCs w:val="22"/>
        </w:rPr>
        <w:t xml:space="preserve">: autonomy </w:t>
      </w:r>
      <w:proofErr w:type="gramStart"/>
      <w:r w:rsidR="0091516C" w:rsidRPr="00D677D8">
        <w:rPr>
          <w:rFonts w:cs="Times New Roman"/>
          <w:bCs/>
          <w:szCs w:val="22"/>
        </w:rPr>
        <w:t>claim][</w:t>
      </w:r>
      <w:proofErr w:type="gramEnd"/>
      <w:r w:rsidR="0091516C" w:rsidRPr="00D677D8">
        <w:rPr>
          <w:rFonts w:cs="Times New Roman"/>
          <w:bCs/>
          <w:szCs w:val="22"/>
        </w:rPr>
        <w:t>199</w:t>
      </w:r>
      <w:r>
        <w:rPr>
          <w:rFonts w:cs="Times New Roman"/>
          <w:bCs/>
          <w:szCs w:val="22"/>
        </w:rPr>
        <w:t>4</w:t>
      </w:r>
      <w:r w:rsidR="0091516C" w:rsidRPr="00D677D8">
        <w:rPr>
          <w:rFonts w:cs="Times New Roman"/>
          <w:bCs/>
          <w:szCs w:val="22"/>
        </w:rPr>
        <w:t>-</w:t>
      </w:r>
      <w:r w:rsidR="0091516C" w:rsidRPr="00F2642F">
        <w:rPr>
          <w:rFonts w:cs="Times New Roman"/>
          <w:bCs/>
          <w:szCs w:val="22"/>
        </w:rPr>
        <w:t>2020:</w:t>
      </w:r>
      <w:r w:rsidR="0091516C" w:rsidRPr="00D677D8">
        <w:rPr>
          <w:rFonts w:cs="Times New Roman"/>
          <w:bCs/>
          <w:szCs w:val="22"/>
        </w:rPr>
        <w:t xml:space="preserve"> independence claim]</w:t>
      </w:r>
    </w:p>
    <w:p w14:paraId="72798792" w14:textId="77777777" w:rsidR="0091516C" w:rsidRDefault="0091516C" w:rsidP="0091516C">
      <w:pPr>
        <w:rPr>
          <w:rFonts w:cs="Times New Roman"/>
          <w:bCs/>
          <w:szCs w:val="22"/>
        </w:rPr>
      </w:pPr>
    </w:p>
    <w:p w14:paraId="3B52E80C" w14:textId="77777777" w:rsidR="0091516C" w:rsidRPr="009C6C8D" w:rsidRDefault="0091516C" w:rsidP="0091516C">
      <w:pPr>
        <w:rPr>
          <w:rFonts w:cs="Times New Roman"/>
          <w:bCs/>
          <w:szCs w:val="22"/>
        </w:rPr>
      </w:pPr>
    </w:p>
    <w:p w14:paraId="51317B51" w14:textId="77777777" w:rsidR="0091516C" w:rsidRPr="00BE5168" w:rsidRDefault="0091516C" w:rsidP="0091516C">
      <w:pPr>
        <w:rPr>
          <w:rFonts w:cs="Times New Roman"/>
          <w:b/>
          <w:szCs w:val="22"/>
        </w:rPr>
      </w:pPr>
      <w:r>
        <w:rPr>
          <w:rFonts w:cs="Times New Roman"/>
          <w:b/>
          <w:szCs w:val="22"/>
        </w:rPr>
        <w:t>Independence claims</w:t>
      </w:r>
    </w:p>
    <w:p w14:paraId="7254B255" w14:textId="77777777" w:rsidR="0091516C" w:rsidRDefault="0091516C" w:rsidP="0091516C">
      <w:pPr>
        <w:rPr>
          <w:rFonts w:cs="Times New Roman"/>
          <w:bCs/>
          <w:szCs w:val="22"/>
        </w:rPr>
      </w:pPr>
    </w:p>
    <w:p w14:paraId="5C81837B" w14:textId="437B4AF9" w:rsidR="0091516C" w:rsidRPr="0091516C" w:rsidRDefault="0091516C" w:rsidP="0091516C">
      <w:pPr>
        <w:pStyle w:val="ListParagraph"/>
        <w:numPr>
          <w:ilvl w:val="0"/>
          <w:numId w:val="4"/>
        </w:numPr>
        <w:rPr>
          <w:rFonts w:cs="Times New Roman"/>
          <w:bCs/>
          <w:szCs w:val="22"/>
        </w:rPr>
      </w:pPr>
      <w:r>
        <w:rPr>
          <w:rFonts w:eastAsia="Times New Roman"/>
          <w:color w:val="000000"/>
        </w:rPr>
        <w:t xml:space="preserve">See above. </w:t>
      </w:r>
      <w:r w:rsidRPr="0091516C">
        <w:rPr>
          <w:rFonts w:eastAsia="Times New Roman"/>
          <w:color w:val="000000"/>
        </w:rPr>
        <w:t>[start date: 1994; end date: ongoing]</w:t>
      </w:r>
    </w:p>
    <w:p w14:paraId="6F9DF938" w14:textId="0B22154A" w:rsidR="0091516C" w:rsidRDefault="0091516C" w:rsidP="0091516C">
      <w:pPr>
        <w:rPr>
          <w:rFonts w:cs="Times New Roman"/>
          <w:bCs/>
          <w:szCs w:val="22"/>
        </w:rPr>
      </w:pPr>
    </w:p>
    <w:p w14:paraId="35976105" w14:textId="77777777" w:rsidR="0091516C" w:rsidRDefault="0091516C" w:rsidP="0091516C">
      <w:pPr>
        <w:rPr>
          <w:rFonts w:cs="Times New Roman"/>
          <w:bCs/>
          <w:szCs w:val="22"/>
        </w:rPr>
      </w:pPr>
    </w:p>
    <w:p w14:paraId="05B91A35" w14:textId="77777777" w:rsidR="00DC04E5" w:rsidRDefault="00DC04E5" w:rsidP="0091516C">
      <w:pPr>
        <w:rPr>
          <w:rFonts w:cs="Times New Roman"/>
          <w:b/>
          <w:szCs w:val="22"/>
        </w:rPr>
      </w:pPr>
    </w:p>
    <w:p w14:paraId="1A6EDCFF" w14:textId="6DB9A342" w:rsidR="0091516C" w:rsidRPr="00BE5168" w:rsidRDefault="0091516C" w:rsidP="0091516C">
      <w:pPr>
        <w:rPr>
          <w:rFonts w:cs="Times New Roman"/>
          <w:b/>
          <w:szCs w:val="22"/>
        </w:rPr>
      </w:pPr>
      <w:r>
        <w:rPr>
          <w:rFonts w:cs="Times New Roman"/>
          <w:b/>
          <w:szCs w:val="22"/>
        </w:rPr>
        <w:lastRenderedPageBreak/>
        <w:t>Irredentist claims</w:t>
      </w:r>
    </w:p>
    <w:p w14:paraId="2A20DBA9" w14:textId="77777777" w:rsidR="0091516C" w:rsidRDefault="0091516C" w:rsidP="0091516C">
      <w:pPr>
        <w:rPr>
          <w:rFonts w:cs="Times New Roman"/>
          <w:bCs/>
          <w:szCs w:val="22"/>
        </w:rPr>
      </w:pPr>
    </w:p>
    <w:p w14:paraId="49979EA3" w14:textId="77777777" w:rsidR="0091516C" w:rsidRDefault="0091516C" w:rsidP="0091516C">
      <w:pPr>
        <w:rPr>
          <w:rFonts w:cs="Times New Roman"/>
          <w:bCs/>
          <w:szCs w:val="22"/>
        </w:rPr>
      </w:pPr>
      <w:r>
        <w:rPr>
          <w:rFonts w:cs="Times New Roman"/>
          <w:bCs/>
          <w:szCs w:val="22"/>
        </w:rPr>
        <w:t>NA</w:t>
      </w:r>
    </w:p>
    <w:p w14:paraId="11003928" w14:textId="77777777" w:rsidR="00DC04E5" w:rsidRDefault="00DC04E5" w:rsidP="0091516C">
      <w:pPr>
        <w:rPr>
          <w:rFonts w:cs="Times New Roman"/>
          <w:bCs/>
          <w:szCs w:val="22"/>
        </w:rPr>
      </w:pPr>
    </w:p>
    <w:p w14:paraId="4390B1DC" w14:textId="77777777" w:rsidR="00DC04E5" w:rsidRDefault="00DC04E5" w:rsidP="0091516C">
      <w:pPr>
        <w:rPr>
          <w:rFonts w:cs="Times New Roman"/>
          <w:bCs/>
          <w:szCs w:val="22"/>
        </w:rPr>
      </w:pPr>
    </w:p>
    <w:p w14:paraId="769CDF82" w14:textId="77777777" w:rsidR="0091516C" w:rsidRPr="00904609" w:rsidRDefault="0091516C" w:rsidP="0091516C">
      <w:pPr>
        <w:rPr>
          <w:rFonts w:cs="Times New Roman"/>
        </w:rPr>
      </w:pPr>
      <w:r w:rsidRPr="007943A1">
        <w:rPr>
          <w:rFonts w:cs="Times New Roman"/>
          <w:b/>
        </w:rPr>
        <w:t xml:space="preserve">Claimed </w:t>
      </w:r>
      <w:proofErr w:type="gramStart"/>
      <w:r w:rsidRPr="007943A1">
        <w:rPr>
          <w:rFonts w:cs="Times New Roman"/>
          <w:b/>
        </w:rPr>
        <w:t>territory</w:t>
      </w:r>
      <w:proofErr w:type="gramEnd"/>
    </w:p>
    <w:p w14:paraId="7B37858B" w14:textId="77777777" w:rsidR="0091516C" w:rsidRPr="006F657B" w:rsidRDefault="0091516C" w:rsidP="0091516C">
      <w:pPr>
        <w:rPr>
          <w:rFonts w:cs="Times New Roman"/>
          <w:bCs/>
          <w:szCs w:val="22"/>
        </w:rPr>
      </w:pPr>
    </w:p>
    <w:p w14:paraId="72F712AB" w14:textId="44D8C5AA" w:rsidR="0091516C" w:rsidRPr="000B6063" w:rsidRDefault="000B6063" w:rsidP="000B6063">
      <w:pPr>
        <w:pStyle w:val="ListParagraph"/>
        <w:numPr>
          <w:ilvl w:val="0"/>
          <w:numId w:val="4"/>
        </w:numPr>
        <w:rPr>
          <w:rFonts w:cs="Times New Roman"/>
          <w:bCs/>
          <w:szCs w:val="22"/>
        </w:rPr>
      </w:pPr>
      <w:r w:rsidRPr="000B6063">
        <w:rPr>
          <w:rFonts w:cs="Times New Roman"/>
          <w:bCs/>
          <w:szCs w:val="22"/>
        </w:rPr>
        <w:t xml:space="preserve">The Aden protectorate corresponds to the present-day governates of Aden, Lahij, Abyan, Shabwah, </w:t>
      </w:r>
      <w:proofErr w:type="spellStart"/>
      <w:r w:rsidRPr="000B6063">
        <w:rPr>
          <w:rFonts w:cs="Times New Roman"/>
          <w:bCs/>
          <w:szCs w:val="22"/>
        </w:rPr>
        <w:t>Hadhramawt</w:t>
      </w:r>
      <w:proofErr w:type="spellEnd"/>
      <w:r w:rsidRPr="000B6063">
        <w:rPr>
          <w:rFonts w:cs="Times New Roman"/>
          <w:bCs/>
          <w:szCs w:val="22"/>
        </w:rPr>
        <w:t xml:space="preserve">, and Al </w:t>
      </w:r>
      <w:proofErr w:type="spellStart"/>
      <w:r w:rsidRPr="000B6063">
        <w:rPr>
          <w:rFonts w:cs="Times New Roman"/>
          <w:bCs/>
          <w:szCs w:val="22"/>
        </w:rPr>
        <w:t>Mahrah</w:t>
      </w:r>
      <w:proofErr w:type="spellEnd"/>
      <w:r w:rsidRPr="000B6063">
        <w:rPr>
          <w:rFonts w:cs="Times New Roman"/>
          <w:bCs/>
          <w:szCs w:val="22"/>
        </w:rPr>
        <w:t>. Combined, these governates reflect the claim as shown in Roth (Roth 2015: 206, 214). They also coincide with the former People’s Democratic Republic of Yemen. We code this claim based on the Global Administrative Areas database.</w:t>
      </w:r>
    </w:p>
    <w:p w14:paraId="0B941AAB" w14:textId="77777777" w:rsidR="0091516C" w:rsidRDefault="0091516C" w:rsidP="0091516C">
      <w:pPr>
        <w:rPr>
          <w:rFonts w:cs="Times New Roman"/>
          <w:bCs/>
          <w:szCs w:val="22"/>
        </w:rPr>
      </w:pPr>
    </w:p>
    <w:p w14:paraId="00A3C31D" w14:textId="77777777" w:rsidR="000B6063" w:rsidRPr="006F657B" w:rsidRDefault="000B6063" w:rsidP="0091516C">
      <w:pPr>
        <w:rPr>
          <w:rFonts w:cs="Times New Roman"/>
          <w:bCs/>
          <w:szCs w:val="22"/>
        </w:rPr>
      </w:pPr>
    </w:p>
    <w:p w14:paraId="4BCFBF01" w14:textId="77777777" w:rsidR="0091516C" w:rsidRPr="005E1083" w:rsidRDefault="0091516C" w:rsidP="0091516C">
      <w:pPr>
        <w:rPr>
          <w:rFonts w:cs="Times New Roman"/>
          <w:b/>
          <w:szCs w:val="22"/>
        </w:rPr>
      </w:pPr>
      <w:r w:rsidRPr="005E1083">
        <w:rPr>
          <w:rFonts w:cs="Times New Roman"/>
          <w:b/>
          <w:szCs w:val="22"/>
        </w:rPr>
        <w:t>Sovereignty declarations</w:t>
      </w:r>
    </w:p>
    <w:p w14:paraId="7BDF5BA2" w14:textId="77777777" w:rsidR="0091516C" w:rsidRPr="005E1083" w:rsidRDefault="0091516C" w:rsidP="0091516C">
      <w:pPr>
        <w:rPr>
          <w:rFonts w:cs="Times New Roman"/>
          <w:szCs w:val="22"/>
        </w:rPr>
      </w:pPr>
    </w:p>
    <w:p w14:paraId="42CB40A0" w14:textId="77777777" w:rsidR="0091516C" w:rsidRPr="00410300" w:rsidRDefault="0091516C" w:rsidP="0091516C">
      <w:pPr>
        <w:pStyle w:val="ListParagraph"/>
        <w:numPr>
          <w:ilvl w:val="0"/>
          <w:numId w:val="7"/>
        </w:numPr>
        <w:rPr>
          <w:rFonts w:cs="Times New Roman"/>
          <w:szCs w:val="22"/>
        </w:rPr>
      </w:pPr>
      <w:r w:rsidRPr="00410300">
        <w:rPr>
          <w:rFonts w:cs="Times New Roman"/>
          <w:szCs w:val="22"/>
        </w:rPr>
        <w:t>Southern leaders declared the independence of South Yemen in 1994 (Minahan, 1996:544) [</w:t>
      </w:r>
      <w:r>
        <w:rPr>
          <w:rFonts w:cs="Times New Roman"/>
          <w:szCs w:val="22"/>
        </w:rPr>
        <w:t>1994: independence d</w:t>
      </w:r>
      <w:r w:rsidRPr="00410300">
        <w:rPr>
          <w:rFonts w:cs="Times New Roman"/>
          <w:szCs w:val="22"/>
        </w:rPr>
        <w:t>eclaration].</w:t>
      </w:r>
    </w:p>
    <w:p w14:paraId="0A7B0DD3" w14:textId="77777777" w:rsidR="0091516C" w:rsidRPr="00410300" w:rsidRDefault="0091516C" w:rsidP="0091516C">
      <w:pPr>
        <w:pStyle w:val="ListParagraph"/>
        <w:numPr>
          <w:ilvl w:val="0"/>
          <w:numId w:val="7"/>
        </w:numPr>
        <w:rPr>
          <w:rFonts w:cs="Times New Roman"/>
          <w:szCs w:val="22"/>
        </w:rPr>
      </w:pPr>
      <w:r w:rsidRPr="00410300">
        <w:rPr>
          <w:rFonts w:cs="Times New Roman"/>
          <w:szCs w:val="22"/>
        </w:rPr>
        <w:t>The STC declared self-rule in 2017 (Al Jazeera, 2020; Aden Historic Declaration, 2017)</w:t>
      </w:r>
      <w:r>
        <w:rPr>
          <w:rFonts w:cs="Times New Roman"/>
          <w:szCs w:val="22"/>
        </w:rPr>
        <w:t xml:space="preserve">. </w:t>
      </w:r>
      <w:r w:rsidRPr="004323C2">
        <w:rPr>
          <w:rFonts w:cs="Times New Roman"/>
          <w:szCs w:val="22"/>
        </w:rPr>
        <w:t>Al Jazeera described the STC, upon this announcement, as being a 'self-proclaimed parallel authority'</w:t>
      </w:r>
      <w:r>
        <w:rPr>
          <w:rFonts w:cs="Times New Roman"/>
          <w:szCs w:val="22"/>
        </w:rPr>
        <w:t>, but whether the declaration aimed at internal autonomy or outright independence is not entirely clear. We code the more maximalist claim. [2017: independence declaration]</w:t>
      </w:r>
    </w:p>
    <w:p w14:paraId="2DCE0702" w14:textId="77777777" w:rsidR="0091516C" w:rsidRPr="00410300" w:rsidRDefault="0091516C" w:rsidP="0091516C">
      <w:pPr>
        <w:pStyle w:val="ListParagraph"/>
        <w:numPr>
          <w:ilvl w:val="0"/>
          <w:numId w:val="7"/>
        </w:numPr>
        <w:rPr>
          <w:rFonts w:cs="Times New Roman"/>
          <w:szCs w:val="22"/>
        </w:rPr>
      </w:pPr>
      <w:r w:rsidRPr="00410300">
        <w:rPr>
          <w:rFonts w:cs="Times New Roman"/>
          <w:szCs w:val="22"/>
        </w:rPr>
        <w:t>The STC declared self-rule i</w:t>
      </w:r>
      <w:r>
        <w:rPr>
          <w:rFonts w:cs="Times New Roman"/>
          <w:szCs w:val="22"/>
        </w:rPr>
        <w:t xml:space="preserve">n </w:t>
      </w:r>
      <w:r w:rsidRPr="00410300">
        <w:rPr>
          <w:rFonts w:cs="Times New Roman"/>
          <w:szCs w:val="22"/>
        </w:rPr>
        <w:t>2020 (Al Jazeera, 2020)</w:t>
      </w:r>
      <w:r>
        <w:rPr>
          <w:rFonts w:cs="Times New Roman"/>
          <w:szCs w:val="22"/>
        </w:rPr>
        <w:t>. The phrase “</w:t>
      </w:r>
      <w:r>
        <w:rPr>
          <w:rFonts w:eastAsia="Times New Roman"/>
        </w:rPr>
        <w:t>'autonomous administration of the South” was explicitly used in the declaration. [2020: autonomy declaration]</w:t>
      </w:r>
    </w:p>
    <w:p w14:paraId="53EFA9C6" w14:textId="77777777" w:rsidR="0091516C" w:rsidRDefault="0091516C" w:rsidP="0091516C">
      <w:pPr>
        <w:ind w:left="709" w:hanging="709"/>
        <w:rPr>
          <w:rFonts w:cs="Times New Roman"/>
          <w:szCs w:val="22"/>
        </w:rPr>
      </w:pPr>
    </w:p>
    <w:p w14:paraId="2C50E6CD" w14:textId="77777777" w:rsidR="0091516C" w:rsidRPr="006F657B" w:rsidRDefault="0091516C" w:rsidP="0091516C">
      <w:pPr>
        <w:ind w:left="709" w:hanging="709"/>
        <w:rPr>
          <w:rFonts w:cs="Times New Roman"/>
          <w:szCs w:val="22"/>
        </w:rPr>
      </w:pPr>
    </w:p>
    <w:p w14:paraId="18CEAA8B" w14:textId="77777777" w:rsidR="00F5483A" w:rsidRDefault="00F5483A" w:rsidP="00F5483A">
      <w:pPr>
        <w:rPr>
          <w:rFonts w:cs="Times New Roman"/>
          <w:b/>
          <w:szCs w:val="22"/>
        </w:rPr>
      </w:pPr>
      <w:r>
        <w:rPr>
          <w:rFonts w:cs="Times New Roman"/>
          <w:b/>
          <w:szCs w:val="22"/>
        </w:rPr>
        <w:t>Separatist armed conflict</w:t>
      </w:r>
    </w:p>
    <w:p w14:paraId="4B7145B3" w14:textId="77777777" w:rsidR="00F5483A" w:rsidRPr="006F657B" w:rsidRDefault="00F5483A" w:rsidP="00F5483A">
      <w:pPr>
        <w:rPr>
          <w:rFonts w:cs="Times New Roman"/>
          <w:szCs w:val="22"/>
        </w:rPr>
      </w:pPr>
    </w:p>
    <w:p w14:paraId="243F24BB" w14:textId="77777777" w:rsidR="005A5DD6" w:rsidRPr="00C93570" w:rsidRDefault="00F5483A" w:rsidP="00F5483A">
      <w:pPr>
        <w:pStyle w:val="ListParagraph"/>
        <w:numPr>
          <w:ilvl w:val="0"/>
          <w:numId w:val="11"/>
        </w:numPr>
        <w:rPr>
          <w:rFonts w:cs="Times New Roman"/>
          <w:b/>
        </w:rPr>
      </w:pPr>
      <w:r w:rsidRPr="00C93570">
        <w:rPr>
          <w:rFonts w:eastAsia="Times New Roman"/>
          <w:color w:val="000000"/>
        </w:rPr>
        <w:t xml:space="preserve">The HVIOLSD coding for 1994 follows Sambanis &amp; </w:t>
      </w:r>
      <w:proofErr w:type="spellStart"/>
      <w:r w:rsidRPr="00C93570">
        <w:rPr>
          <w:rFonts w:eastAsia="Times New Roman"/>
          <w:color w:val="000000"/>
        </w:rPr>
        <w:t>Schulhofer</w:t>
      </w:r>
      <w:proofErr w:type="spellEnd"/>
      <w:r w:rsidRPr="00C93570">
        <w:rPr>
          <w:rFonts w:eastAsia="Times New Roman"/>
          <w:color w:val="000000"/>
        </w:rPr>
        <w:t xml:space="preserve">-Wohl (2019). </w:t>
      </w:r>
    </w:p>
    <w:p w14:paraId="4CF95E74" w14:textId="77F0E8E1" w:rsidR="005A5DD6" w:rsidRPr="00B1131B" w:rsidRDefault="005A5DD6" w:rsidP="002B3901">
      <w:pPr>
        <w:pStyle w:val="ListParagraph"/>
        <w:numPr>
          <w:ilvl w:val="0"/>
          <w:numId w:val="11"/>
        </w:numPr>
        <w:rPr>
          <w:rFonts w:cs="Times New Roman"/>
          <w:b/>
        </w:rPr>
      </w:pPr>
      <w:r w:rsidRPr="00C93570">
        <w:t xml:space="preserve">In May 2007, former southern military officers began holding weekly sit-ins, and the protests grew quickly. </w:t>
      </w:r>
      <w:r w:rsidR="00B1131B">
        <w:t>The protests led to significant violence which, however, appears to have been largely one-sided until 2009. For example, i</w:t>
      </w:r>
      <w:r w:rsidRPr="00C93570">
        <w:t>n October 2007, security forces shot and killed four young men. The next month, two more protesters were killed and, less than four months later, ‘government forces killed and injured dozens of southern youths’ (Day 2010:8-9). According to a 2009 Human Rights Watch report, between 2007 and 2009, government security forces carried out ‘unlawful killings, arbitrary detentions, beatings, crackdowns on freedom of assembly and speech, arrests of journalists’ in response to protests organized by al-</w:t>
      </w:r>
      <w:proofErr w:type="spellStart"/>
      <w:r w:rsidRPr="00C93570">
        <w:t>Hiraak</w:t>
      </w:r>
      <w:proofErr w:type="spellEnd"/>
      <w:r w:rsidRPr="00C93570">
        <w:t xml:space="preserve"> (</w:t>
      </w:r>
      <w:proofErr w:type="spellStart"/>
      <w:r w:rsidRPr="00C93570">
        <w:t>Alsaafin</w:t>
      </w:r>
      <w:proofErr w:type="spellEnd"/>
      <w:r w:rsidRPr="00C93570">
        <w:t xml:space="preserve">, 2019; </w:t>
      </w:r>
      <w:r w:rsidR="001968D4" w:rsidRPr="00C93570">
        <w:t xml:space="preserve">also </w:t>
      </w:r>
      <w:r w:rsidRPr="00C93570">
        <w:t>see: Human Rights Watch, 2009). As we found no evidence that there was reciprocated violence above the threshold, we code 2007-20</w:t>
      </w:r>
      <w:r w:rsidR="001968D4" w:rsidRPr="00C93570">
        <w:t>0</w:t>
      </w:r>
      <w:r w:rsidR="007726B3">
        <w:t>8</w:t>
      </w:r>
      <w:r w:rsidR="001968D4" w:rsidRPr="00C93570">
        <w:t xml:space="preserve"> as NVIOLSD.</w:t>
      </w:r>
      <w:r w:rsidRPr="00C93570">
        <w:t xml:space="preserve"> </w:t>
      </w:r>
    </w:p>
    <w:p w14:paraId="28D31F26" w14:textId="3DC2B954" w:rsidR="00C93570" w:rsidRPr="007726B3" w:rsidRDefault="00C93570" w:rsidP="007726B3">
      <w:pPr>
        <w:pStyle w:val="ListParagraph"/>
        <w:numPr>
          <w:ilvl w:val="0"/>
          <w:numId w:val="11"/>
        </w:numPr>
        <w:rPr>
          <w:rFonts w:cs="Times New Roman"/>
          <w:b/>
        </w:rPr>
      </w:pPr>
      <w:r w:rsidRPr="00C93570">
        <w:t xml:space="preserve">UCDP/PRIO </w:t>
      </w:r>
      <w:r w:rsidR="007726B3">
        <w:t xml:space="preserve">reports that </w:t>
      </w:r>
      <w:r w:rsidRPr="00C93570">
        <w:t xml:space="preserve">separatist violence </w:t>
      </w:r>
      <w:r w:rsidR="007726B3">
        <w:t>broke out in 2009</w:t>
      </w:r>
      <w:r w:rsidRPr="00C93570">
        <w:t>: “During 2009, violence erupted once again in connection to several demonstrations held by the secessionist group called the Southern Movement. Several people died during, and in connection to, the demonstrations</w:t>
      </w:r>
      <w:r w:rsidR="007726B3">
        <w:t>”. Despite this, UCDP/PRIO does not code a separatist armed conflict because “</w:t>
      </w:r>
      <w:r w:rsidRPr="00C93570">
        <w:t>it was not possible to code them as battle-related deaths due to lack of information about the events.”</w:t>
      </w:r>
    </w:p>
    <w:p w14:paraId="75AFCDDB" w14:textId="24FE5F87" w:rsidR="005A5DD6" w:rsidRPr="007726B3" w:rsidRDefault="007726B3" w:rsidP="007726B3">
      <w:pPr>
        <w:pStyle w:val="ListParagraph"/>
        <w:numPr>
          <w:ilvl w:val="1"/>
          <w:numId w:val="11"/>
        </w:numPr>
        <w:rPr>
          <w:rFonts w:cs="Times New Roman"/>
          <w:b/>
        </w:rPr>
      </w:pPr>
      <w:r>
        <w:t xml:space="preserve">We investigated this further. The best evidence we could find is from </w:t>
      </w:r>
      <w:r w:rsidR="00C93570" w:rsidRPr="007726B3">
        <w:rPr>
          <w:rFonts w:cs="Times New Roman"/>
          <w:bCs/>
        </w:rPr>
        <w:t>Critical Threats</w:t>
      </w:r>
      <w:r>
        <w:rPr>
          <w:rFonts w:cs="Times New Roman"/>
          <w:bCs/>
        </w:rPr>
        <w:t>, which provides a detailed timeline for 2010-2011 suggesting</w:t>
      </w:r>
      <w:r w:rsidR="008F4464" w:rsidRPr="007726B3">
        <w:rPr>
          <w:rFonts w:cs="Times New Roman"/>
          <w:bCs/>
        </w:rPr>
        <w:t xml:space="preserve"> &gt;25 deaths in both </w:t>
      </w:r>
      <w:r>
        <w:rPr>
          <w:rFonts w:cs="Times New Roman"/>
          <w:bCs/>
        </w:rPr>
        <w:t>years</w:t>
      </w:r>
      <w:r w:rsidR="008F4464" w:rsidRPr="007726B3">
        <w:rPr>
          <w:rFonts w:cs="Times New Roman"/>
          <w:bCs/>
        </w:rPr>
        <w:t xml:space="preserve">. According to our count, 21 rebels died in clashes between separatists and security forces in 2010, 48 security personnel, 7 civilians, and another 8 who were not clearly identified; the corresponding figures for 2011 are: </w:t>
      </w:r>
      <w:r w:rsidR="00F81872" w:rsidRPr="007726B3">
        <w:rPr>
          <w:rFonts w:cs="Times New Roman"/>
          <w:bCs/>
        </w:rPr>
        <w:t xml:space="preserve">23 rebels killed 28 security forces, 4 civilians, and 12 unclear. </w:t>
      </w:r>
      <w:r w:rsidR="008F4464" w:rsidRPr="007726B3">
        <w:rPr>
          <w:rFonts w:cs="Times New Roman"/>
          <w:bCs/>
        </w:rPr>
        <w:t xml:space="preserve">It should be noted that </w:t>
      </w:r>
      <w:proofErr w:type="spellStart"/>
      <w:r w:rsidR="008F4464" w:rsidRPr="007726B3">
        <w:rPr>
          <w:rFonts w:cs="Times New Roman"/>
          <w:bCs/>
        </w:rPr>
        <w:t>attribuition</w:t>
      </w:r>
      <w:proofErr w:type="spellEnd"/>
      <w:r w:rsidR="008F4464" w:rsidRPr="007726B3">
        <w:rPr>
          <w:rFonts w:cs="Times New Roman"/>
          <w:bCs/>
        </w:rPr>
        <w:t xml:space="preserve"> of casualties is difficult in some cases because of a simultaneous Islamist insurgency led by Al-Qaeda. Al-Qaeda in the Arabian Peninsula (AQAP)</w:t>
      </w:r>
      <w:r w:rsidR="00614E38" w:rsidRPr="007726B3">
        <w:rPr>
          <w:rFonts w:cs="Times New Roman"/>
          <w:bCs/>
        </w:rPr>
        <w:t xml:space="preserve">. </w:t>
      </w:r>
    </w:p>
    <w:p w14:paraId="4DA38932" w14:textId="6AA58020" w:rsidR="007726B3" w:rsidRPr="007726B3" w:rsidRDefault="007726B3" w:rsidP="007726B3">
      <w:pPr>
        <w:pStyle w:val="ListParagraph"/>
        <w:numPr>
          <w:ilvl w:val="1"/>
          <w:numId w:val="11"/>
        </w:numPr>
        <w:rPr>
          <w:rFonts w:cs="Times New Roman"/>
          <w:b/>
        </w:rPr>
      </w:pPr>
      <w:r>
        <w:rPr>
          <w:rFonts w:cs="Times New Roman"/>
          <w:bCs/>
        </w:rPr>
        <w:t>A timeline can also be found on Wikipedia. Contrary to Critical Threats, it covers more years (2009-</w:t>
      </w:r>
      <w:r w:rsidR="0052058A">
        <w:rPr>
          <w:rFonts w:cs="Times New Roman"/>
          <w:bCs/>
        </w:rPr>
        <w:t xml:space="preserve">2011 and </w:t>
      </w:r>
      <w:r>
        <w:rPr>
          <w:rFonts w:cs="Times New Roman"/>
          <w:bCs/>
        </w:rPr>
        <w:t>2014). According to our count:</w:t>
      </w:r>
    </w:p>
    <w:p w14:paraId="3CA472BB" w14:textId="3CA5DBEC" w:rsidR="007726B3" w:rsidRPr="0052058A" w:rsidRDefault="0052058A" w:rsidP="007726B3">
      <w:pPr>
        <w:pStyle w:val="ListParagraph"/>
        <w:numPr>
          <w:ilvl w:val="2"/>
          <w:numId w:val="11"/>
        </w:numPr>
        <w:rPr>
          <w:rFonts w:cs="Times New Roman"/>
          <w:bCs/>
        </w:rPr>
      </w:pPr>
      <w:r w:rsidRPr="0052058A">
        <w:rPr>
          <w:rFonts w:cs="Times New Roman"/>
          <w:bCs/>
        </w:rPr>
        <w:t>2009: 20 security forces and 12 civilians, including rebels.</w:t>
      </w:r>
    </w:p>
    <w:p w14:paraId="2EFF9F0D" w14:textId="59BF2E0D" w:rsidR="0052058A" w:rsidRPr="0052058A" w:rsidRDefault="0052058A" w:rsidP="007726B3">
      <w:pPr>
        <w:pStyle w:val="ListParagraph"/>
        <w:numPr>
          <w:ilvl w:val="2"/>
          <w:numId w:val="11"/>
        </w:numPr>
        <w:rPr>
          <w:rFonts w:cs="Times New Roman"/>
          <w:bCs/>
        </w:rPr>
      </w:pPr>
      <w:r w:rsidRPr="0052058A">
        <w:rPr>
          <w:rFonts w:cs="Times New Roman"/>
          <w:bCs/>
        </w:rPr>
        <w:t>2010: 9 rebels killed, 28 security forces, 1 civilian, and 3 unclear</w:t>
      </w:r>
    </w:p>
    <w:p w14:paraId="16569C1D" w14:textId="06ADAC6A" w:rsidR="0052058A" w:rsidRPr="0052058A" w:rsidRDefault="0052058A" w:rsidP="007726B3">
      <w:pPr>
        <w:pStyle w:val="ListParagraph"/>
        <w:numPr>
          <w:ilvl w:val="2"/>
          <w:numId w:val="11"/>
        </w:numPr>
        <w:rPr>
          <w:rFonts w:cs="Times New Roman"/>
          <w:bCs/>
        </w:rPr>
      </w:pPr>
      <w:r w:rsidRPr="0052058A">
        <w:rPr>
          <w:rFonts w:cs="Times New Roman"/>
          <w:bCs/>
        </w:rPr>
        <w:t>2011: 6 rebels killed, 23 security forces, 3 civilians</w:t>
      </w:r>
    </w:p>
    <w:p w14:paraId="4FBC1FFF" w14:textId="0B2E886C" w:rsidR="0052058A" w:rsidRPr="0052058A" w:rsidRDefault="0052058A" w:rsidP="007726B3">
      <w:pPr>
        <w:pStyle w:val="ListParagraph"/>
        <w:numPr>
          <w:ilvl w:val="2"/>
          <w:numId w:val="11"/>
        </w:numPr>
        <w:rPr>
          <w:rFonts w:cs="Times New Roman"/>
          <w:bCs/>
        </w:rPr>
      </w:pPr>
      <w:r w:rsidRPr="0052058A">
        <w:rPr>
          <w:rFonts w:cs="Times New Roman"/>
          <w:bCs/>
        </w:rPr>
        <w:lastRenderedPageBreak/>
        <w:t>2012: no data</w:t>
      </w:r>
    </w:p>
    <w:p w14:paraId="13343F79" w14:textId="35863479" w:rsidR="0052058A" w:rsidRPr="0052058A" w:rsidRDefault="0052058A" w:rsidP="007726B3">
      <w:pPr>
        <w:pStyle w:val="ListParagraph"/>
        <w:numPr>
          <w:ilvl w:val="2"/>
          <w:numId w:val="11"/>
        </w:numPr>
        <w:rPr>
          <w:rFonts w:cs="Times New Roman"/>
          <w:bCs/>
        </w:rPr>
      </w:pPr>
      <w:r w:rsidRPr="0052058A">
        <w:rPr>
          <w:rFonts w:cs="Times New Roman"/>
          <w:bCs/>
        </w:rPr>
        <w:t>2013: no data</w:t>
      </w:r>
    </w:p>
    <w:p w14:paraId="7897DD18" w14:textId="2862F9A3" w:rsidR="0052058A" w:rsidRPr="0052058A" w:rsidRDefault="0052058A" w:rsidP="007726B3">
      <w:pPr>
        <w:pStyle w:val="ListParagraph"/>
        <w:numPr>
          <w:ilvl w:val="2"/>
          <w:numId w:val="11"/>
        </w:numPr>
        <w:rPr>
          <w:rFonts w:cs="Times New Roman"/>
          <w:bCs/>
        </w:rPr>
      </w:pPr>
      <w:r w:rsidRPr="0052058A">
        <w:rPr>
          <w:rFonts w:cs="Times New Roman"/>
          <w:bCs/>
        </w:rPr>
        <w:t>2014: 21 rebels killed and 25 security forces</w:t>
      </w:r>
    </w:p>
    <w:p w14:paraId="29B6A949" w14:textId="074B3BF4" w:rsidR="00614E38" w:rsidRPr="000A75EE" w:rsidRDefault="0052058A" w:rsidP="000C380A">
      <w:pPr>
        <w:pStyle w:val="ListParagraph"/>
        <w:numPr>
          <w:ilvl w:val="0"/>
          <w:numId w:val="11"/>
        </w:numPr>
        <w:rPr>
          <w:rFonts w:cs="Times New Roman"/>
          <w:b/>
        </w:rPr>
      </w:pPr>
      <w:r>
        <w:rPr>
          <w:rFonts w:cs="Times New Roman"/>
          <w:bCs/>
        </w:rPr>
        <w:t xml:space="preserve">Based on this, we code LVIOLSD throughout 2009-2014. While we found no concrete evidence for casualties in 2012-2013, it is likely that violence continued throughout these years (according </w:t>
      </w:r>
      <w:r w:rsidRPr="000A75EE">
        <w:rPr>
          <w:rFonts w:cs="Times New Roman"/>
          <w:bCs/>
        </w:rPr>
        <w:t>to Wikipedia, the South Yemen insurgency lasted from 2009-2014 and the total number of casualties reported (</w:t>
      </w:r>
      <w:r w:rsidR="00A83C5E">
        <w:rPr>
          <w:rFonts w:cs="Times New Roman"/>
          <w:bCs/>
        </w:rPr>
        <w:t>around</w:t>
      </w:r>
      <w:r w:rsidRPr="000A75EE">
        <w:rPr>
          <w:rFonts w:cs="Times New Roman"/>
          <w:bCs/>
        </w:rPr>
        <w:t xml:space="preserve"> 2,000) far exceeds those noted in the timeline). </w:t>
      </w:r>
    </w:p>
    <w:p w14:paraId="1DE6DFC1" w14:textId="315C813B" w:rsidR="006156F5" w:rsidRPr="000A75EE" w:rsidRDefault="006156F5" w:rsidP="00EF636A">
      <w:pPr>
        <w:pStyle w:val="ListParagraph"/>
        <w:numPr>
          <w:ilvl w:val="0"/>
          <w:numId w:val="11"/>
        </w:numPr>
        <w:rPr>
          <w:rFonts w:cs="Times New Roman"/>
          <w:b/>
        </w:rPr>
      </w:pPr>
      <w:r w:rsidRPr="000A75EE">
        <w:t xml:space="preserve">Tensions rose </w:t>
      </w:r>
      <w:r w:rsidR="0052058A" w:rsidRPr="000A75EE">
        <w:t xml:space="preserve">again </w:t>
      </w:r>
      <w:r w:rsidRPr="000A75EE">
        <w:t xml:space="preserve">in April 2017 when </w:t>
      </w:r>
      <w:proofErr w:type="gramStart"/>
      <w:r w:rsidR="0052058A" w:rsidRPr="000A75EE">
        <w:t>president</w:t>
      </w:r>
      <w:proofErr w:type="gramEnd"/>
      <w:r w:rsidR="0052058A" w:rsidRPr="000A75EE">
        <w:t xml:space="preserve"> </w:t>
      </w:r>
      <w:r w:rsidRPr="000A75EE">
        <w:t xml:space="preserve">Hadi accused Aden’s governor, Aidarous al-Zubaidi, </w:t>
      </w:r>
      <w:r w:rsidR="004245A0" w:rsidRPr="000A75EE">
        <w:t>of disloyalty and dismissed him</w:t>
      </w:r>
      <w:r w:rsidRPr="000A75EE">
        <w:t>. In January 2018, fighting between the Security Belt forces (dominated by the STC and backed by the UAE) and the internationally recognized government broke out. Separatist forces seized almost all of Aden while the presidential palace was surrounded. At least 38 people were killed in three days of fighting before mediation saw the city placed under government control</w:t>
      </w:r>
      <w:r w:rsidR="00A6277F" w:rsidRPr="000A75EE">
        <w:t xml:space="preserve"> (</w:t>
      </w:r>
      <w:proofErr w:type="spellStart"/>
      <w:r w:rsidR="00A6277F" w:rsidRPr="000A75EE">
        <w:t>Alsaafin</w:t>
      </w:r>
      <w:proofErr w:type="spellEnd"/>
      <w:r w:rsidR="00A6277F" w:rsidRPr="000A75EE">
        <w:t xml:space="preserve"> 2019)</w:t>
      </w:r>
      <w:r w:rsidRPr="000A75EE">
        <w:t xml:space="preserve">. A year and a half later, </w:t>
      </w:r>
      <w:r w:rsidR="00A6277F" w:rsidRPr="000A75EE">
        <w:t>the STC regained control of Aden after four days of fighting between separatists and Hadi’s troops, which killed ‘dozens’ and wounded more than 200 (</w:t>
      </w:r>
      <w:proofErr w:type="spellStart"/>
      <w:r w:rsidR="00A6277F" w:rsidRPr="000A75EE">
        <w:t>Alsaafin</w:t>
      </w:r>
      <w:proofErr w:type="spellEnd"/>
      <w:r w:rsidR="00A6277F" w:rsidRPr="000A75EE">
        <w:t xml:space="preserve"> 2019). </w:t>
      </w:r>
      <w:r w:rsidR="00061A6B" w:rsidRPr="000A75EE">
        <w:t>Based on this account, we code LVIOLSD in 2018-2019.</w:t>
      </w:r>
    </w:p>
    <w:p w14:paraId="4C8E098A" w14:textId="5C610C44" w:rsidR="007A007C" w:rsidRPr="000A75EE" w:rsidRDefault="0052058A" w:rsidP="00F5483A">
      <w:pPr>
        <w:pStyle w:val="ListParagraph"/>
        <w:numPr>
          <w:ilvl w:val="0"/>
          <w:numId w:val="11"/>
        </w:numPr>
        <w:rPr>
          <w:rFonts w:cs="Times New Roman"/>
          <w:b/>
        </w:rPr>
      </w:pPr>
      <w:r w:rsidRPr="000A75EE">
        <w:t>[</w:t>
      </w:r>
      <w:r w:rsidR="006A77A9" w:rsidRPr="000A75EE">
        <w:t>1990-1993: NVIOLSD; 1994: HVIOLSD; 1995-20</w:t>
      </w:r>
      <w:r w:rsidR="000A75EE" w:rsidRPr="000A75EE">
        <w:t>08</w:t>
      </w:r>
      <w:r w:rsidR="006A77A9" w:rsidRPr="000A75EE">
        <w:t xml:space="preserve">: NVIOLSD; </w:t>
      </w:r>
      <w:r w:rsidR="000A75EE" w:rsidRPr="000A75EE">
        <w:t>2009-2014</w:t>
      </w:r>
      <w:r w:rsidR="006A77A9" w:rsidRPr="000A75EE">
        <w:t>: LVIOLSD</w:t>
      </w:r>
      <w:r w:rsidR="000A75EE" w:rsidRPr="000A75EE">
        <w:t>; 2015-2017: NVIOLSD; 2018-2019: LVIOLSD; 2020: NVIOLSD]</w:t>
      </w:r>
    </w:p>
    <w:p w14:paraId="357DE29C" w14:textId="77777777" w:rsidR="00F5483A" w:rsidRDefault="00F5483A" w:rsidP="00F5483A">
      <w:pPr>
        <w:ind w:left="709" w:hanging="709"/>
        <w:rPr>
          <w:rFonts w:cs="Times New Roman"/>
          <w:b/>
        </w:rPr>
      </w:pPr>
    </w:p>
    <w:p w14:paraId="396B59E8" w14:textId="77777777" w:rsidR="00F5483A" w:rsidRDefault="00F5483A" w:rsidP="00F5483A">
      <w:pPr>
        <w:ind w:left="709" w:hanging="709"/>
        <w:rPr>
          <w:rFonts w:cs="Times New Roman"/>
          <w:b/>
        </w:rPr>
      </w:pPr>
    </w:p>
    <w:p w14:paraId="639A59D5" w14:textId="1D5C303B" w:rsidR="00794F7B" w:rsidRPr="00BE5168" w:rsidRDefault="002D73D5" w:rsidP="0019299C">
      <w:pPr>
        <w:rPr>
          <w:rFonts w:cs="Times New Roman"/>
          <w:szCs w:val="22"/>
        </w:rPr>
      </w:pPr>
      <w:r>
        <w:rPr>
          <w:rFonts w:cs="Times New Roman"/>
          <w:b/>
          <w:szCs w:val="22"/>
        </w:rPr>
        <w:t xml:space="preserve">Historical </w:t>
      </w:r>
      <w:r w:rsidR="0091516C">
        <w:rPr>
          <w:rFonts w:cs="Times New Roman"/>
          <w:b/>
          <w:szCs w:val="22"/>
        </w:rPr>
        <w:t>c</w:t>
      </w:r>
      <w:r>
        <w:rPr>
          <w:rFonts w:cs="Times New Roman"/>
          <w:b/>
          <w:szCs w:val="22"/>
        </w:rPr>
        <w:t>ontext</w:t>
      </w:r>
    </w:p>
    <w:p w14:paraId="33753BA3" w14:textId="77777777" w:rsidR="00794F7B" w:rsidRPr="006F657B" w:rsidRDefault="00794F7B" w:rsidP="0019299C">
      <w:pPr>
        <w:rPr>
          <w:rFonts w:cs="Times New Roman"/>
          <w:szCs w:val="22"/>
        </w:rPr>
      </w:pPr>
    </w:p>
    <w:p w14:paraId="0728292B" w14:textId="6110215C" w:rsidR="00F11FCA" w:rsidRDefault="00F11FCA" w:rsidP="0019299C">
      <w:pPr>
        <w:pStyle w:val="ListParagraph"/>
        <w:numPr>
          <w:ilvl w:val="0"/>
          <w:numId w:val="5"/>
        </w:numPr>
        <w:rPr>
          <w:rFonts w:cs="Times New Roman"/>
        </w:rPr>
      </w:pPr>
      <w:r w:rsidRPr="008A584D">
        <w:rPr>
          <w:rFonts w:cs="Times New Roman"/>
        </w:rPr>
        <w:t xml:space="preserve">Britain seized Aden, in the south of Yemen, in 1839. The city </w:t>
      </w:r>
      <w:r>
        <w:rPr>
          <w:rFonts w:cs="Times New Roman"/>
        </w:rPr>
        <w:t>receiv</w:t>
      </w:r>
      <w:r w:rsidRPr="008A584D">
        <w:rPr>
          <w:rFonts w:cs="Times New Roman"/>
        </w:rPr>
        <w:t>ed considerable investment due to its role connecting Britain’s maritime empire with the Suez Canal, India, Singapore and London</w:t>
      </w:r>
      <w:r>
        <w:rPr>
          <w:rFonts w:cs="Times New Roman"/>
        </w:rPr>
        <w:t xml:space="preserve"> (Dresch, 2000:86, 10; Minahan, 1996:543)</w:t>
      </w:r>
      <w:r w:rsidRPr="008A584D">
        <w:rPr>
          <w:rFonts w:cs="Times New Roman"/>
        </w:rPr>
        <w:t>. Britain’s influence in Aden’s tribal hinterland fluctuated; the imperial power expended a great deal of resources attempting to secure southern Yemen’s tribal areas, entering into a plethora of treaties offering protection, sponsoring leading sultans and sheikhs in a bid to secure their support, overlooking the need to collect taxes, and targeting rebellious areas with air raids</w:t>
      </w:r>
      <w:r>
        <w:rPr>
          <w:rFonts w:cs="Times New Roman"/>
        </w:rPr>
        <w:t xml:space="preserve"> (Dresch, 2000:35, 37; Clark, 2010:66-7, 72-3, 77-8)</w:t>
      </w:r>
      <w:r w:rsidRPr="008A584D">
        <w:rPr>
          <w:rFonts w:cs="Times New Roman"/>
        </w:rPr>
        <w:t xml:space="preserve">. </w:t>
      </w:r>
      <w:proofErr w:type="spellStart"/>
      <w:r w:rsidR="00112638">
        <w:rPr>
          <w:rFonts w:cs="Times New Roman"/>
        </w:rPr>
        <w:t>Authorisation</w:t>
      </w:r>
      <w:proofErr w:type="spellEnd"/>
      <w:r w:rsidR="00112638">
        <w:rPr>
          <w:rFonts w:cs="Times New Roman"/>
        </w:rPr>
        <w:t xml:space="preserve"> to establish trade unions was given in 1942 while a</w:t>
      </w:r>
      <w:r>
        <w:rPr>
          <w:rFonts w:cs="Times New Roman"/>
        </w:rPr>
        <w:t xml:space="preserve"> parliament was established in the south in 1947 (Clark, 2010:75; Minahan, 1996:543). </w:t>
      </w:r>
    </w:p>
    <w:p w14:paraId="2AC010EB" w14:textId="6E122D46" w:rsidR="00F11FCA" w:rsidRDefault="00F11FCA" w:rsidP="0019299C">
      <w:pPr>
        <w:pStyle w:val="ListParagraph"/>
        <w:numPr>
          <w:ilvl w:val="0"/>
          <w:numId w:val="5"/>
        </w:numPr>
        <w:rPr>
          <w:rFonts w:cs="Times New Roman"/>
        </w:rPr>
      </w:pPr>
      <w:r>
        <w:rPr>
          <w:rFonts w:cs="Times New Roman"/>
        </w:rPr>
        <w:t xml:space="preserve">Britain announced the inception of the Federation of South Arabia in 1963 which allegedly encompassed the </w:t>
      </w:r>
      <w:r w:rsidR="00A3450D">
        <w:rPr>
          <w:rFonts w:cs="Times New Roman"/>
        </w:rPr>
        <w:t>whole</w:t>
      </w:r>
      <w:r>
        <w:rPr>
          <w:rFonts w:cs="Times New Roman"/>
        </w:rPr>
        <w:t xml:space="preserve"> of the south of Yemen. However, less than a year later, an uprising in </w:t>
      </w:r>
      <w:proofErr w:type="spellStart"/>
      <w:r>
        <w:rPr>
          <w:rFonts w:cs="Times New Roman"/>
        </w:rPr>
        <w:t>Radfan</w:t>
      </w:r>
      <w:proofErr w:type="spellEnd"/>
      <w:r>
        <w:rPr>
          <w:rFonts w:cs="Times New Roman"/>
        </w:rPr>
        <w:t>, led by the National Liberation Front (NLF), ignited an insurgency which reached Aden (Clark, 2010:79-81). A state of emergency was declared in 1965; casualties soared, Britain employed harsh security measures, and the two dominant revolutionary factions in the south of Yemen, the NLF and the Front for the Liberation of Occupied South Yemen (FLOSY), also struggled</w:t>
      </w:r>
      <w:r w:rsidR="00A3450D">
        <w:rPr>
          <w:rFonts w:cs="Times New Roman"/>
        </w:rPr>
        <w:t xml:space="preserve"> violently</w:t>
      </w:r>
      <w:r>
        <w:rPr>
          <w:rFonts w:cs="Times New Roman"/>
        </w:rPr>
        <w:t xml:space="preserve"> against one another (Dresch, 2000:84-6; Hill, 2017:36; Minahan, 1996:544; Al-Hamdani and Lackner, 2020).</w:t>
      </w:r>
    </w:p>
    <w:p w14:paraId="2555C6FD" w14:textId="77777777" w:rsidR="00F11FCA" w:rsidRDefault="00F11FCA" w:rsidP="0019299C">
      <w:pPr>
        <w:pStyle w:val="ListParagraph"/>
        <w:numPr>
          <w:ilvl w:val="0"/>
          <w:numId w:val="5"/>
        </w:numPr>
        <w:rPr>
          <w:rFonts w:cs="Times New Roman"/>
        </w:rPr>
      </w:pPr>
      <w:r>
        <w:rPr>
          <w:rFonts w:cs="Times New Roman"/>
        </w:rPr>
        <w:t xml:space="preserve">Britain evacuated and handed power to the NLF (Dresch, 2000:84; Hill, 2017:37; Al-Hamdani and Lackner, 2020). The movement founded the People’s Democratic Republic of Yemen (PDRY) in 1967, declaring it ‘the first and only Marxist state in the Arab world’. It was at this point that South Yemen became a single, formal political entity (Hill, 2017:37; Minahan, 1996:544). The economy was </w:t>
      </w:r>
      <w:proofErr w:type="spellStart"/>
      <w:r>
        <w:rPr>
          <w:rFonts w:cs="Times New Roman"/>
        </w:rPr>
        <w:t>nationalised</w:t>
      </w:r>
      <w:proofErr w:type="spellEnd"/>
      <w:r>
        <w:rPr>
          <w:rFonts w:cs="Times New Roman"/>
        </w:rPr>
        <w:t xml:space="preserve">, state-led development policies were introduced, and land was confiscated from those who had been power-brokers under the British (Hill, 2017:40; Al-Hamdani and Lackner, 2020). </w:t>
      </w:r>
    </w:p>
    <w:p w14:paraId="7795F613" w14:textId="16788F60" w:rsidR="00794F7B" w:rsidRPr="00555B4F" w:rsidRDefault="00F11FCA" w:rsidP="00555B4F">
      <w:pPr>
        <w:pStyle w:val="ListParagraph"/>
        <w:numPr>
          <w:ilvl w:val="0"/>
          <w:numId w:val="5"/>
        </w:numPr>
        <w:rPr>
          <w:rFonts w:cs="Times New Roman"/>
          <w:szCs w:val="22"/>
        </w:rPr>
      </w:pPr>
      <w:r>
        <w:rPr>
          <w:rFonts w:cs="Times New Roman"/>
        </w:rPr>
        <w:t xml:space="preserve">The NLF, now the Yemeni Socialist party (YSP), became rent with internal conflict; in 1986, two conflicting factions took up arms against one another, leading to the deaths of thousands (Dresch, 2000:169; Al-Hamdani and Lackner, 2020). When the clashes subsided, politicians from </w:t>
      </w:r>
      <w:proofErr w:type="spellStart"/>
      <w:r>
        <w:rPr>
          <w:rFonts w:cs="Times New Roman"/>
        </w:rPr>
        <w:t>Hadhramawt</w:t>
      </w:r>
      <w:proofErr w:type="spellEnd"/>
      <w:r>
        <w:rPr>
          <w:rFonts w:cs="Times New Roman"/>
        </w:rPr>
        <w:t xml:space="preserve"> dominated the new government but their attempts to rebuild the state’s economy were unsuccessful and, with Moscow no longer able to support the nascent republic following the collapse of the Soviet Union, the PDRY found itself on the verge of bankruptcy (Hill, 2017:46). Unification with the North was perceived as the only viable path and, in May 1990, Ali Abdullah Saleh assumed the title of President of the United Republic of Yemen (Hill, 2017:46; Minahan, 2016:396; Roth, 2015:214). Saleh had risen to power in the north, in the Yemen Arab Republic (YAR), in 1978 (Al-Hamdani and Lackner, 2020). Ali Salim al-</w:t>
      </w:r>
      <w:proofErr w:type="spellStart"/>
      <w:r>
        <w:rPr>
          <w:rFonts w:cs="Times New Roman"/>
        </w:rPr>
        <w:t>Bayd</w:t>
      </w:r>
      <w:proofErr w:type="spellEnd"/>
      <w:r>
        <w:rPr>
          <w:rFonts w:cs="Times New Roman"/>
        </w:rPr>
        <w:t xml:space="preserve">, the leader of South Yemen, </w:t>
      </w:r>
      <w:r>
        <w:rPr>
          <w:rFonts w:cs="Times New Roman"/>
        </w:rPr>
        <w:lastRenderedPageBreak/>
        <w:t xml:space="preserve">became the Deputy President of the new Republic (Hewitt and Cheetham, 2000). </w:t>
      </w:r>
      <w:r w:rsidRPr="008C460B">
        <w:rPr>
          <w:rFonts w:cs="Times New Roman"/>
        </w:rPr>
        <w:t>It has been suggested that, throughout the existence of the PDRY, the idea of Yemeni unity was popular; it has been argued that the socialist regime did not attempt to create a southern Yemeni national identity but</w:t>
      </w:r>
      <w:r>
        <w:rPr>
          <w:rFonts w:cs="Times New Roman"/>
        </w:rPr>
        <w:t>, instead,</w:t>
      </w:r>
      <w:r w:rsidRPr="008C460B">
        <w:rPr>
          <w:rFonts w:cs="Times New Roman"/>
        </w:rPr>
        <w:t xml:space="preserve"> supported the concept of the Yemeni nation (as did the leadership in the north), while unification </w:t>
      </w:r>
      <w:r>
        <w:rPr>
          <w:rFonts w:cs="Times New Roman"/>
        </w:rPr>
        <w:t xml:space="preserve">in 1990 </w:t>
      </w:r>
      <w:r w:rsidRPr="008C460B">
        <w:rPr>
          <w:rFonts w:cs="Times New Roman"/>
        </w:rPr>
        <w:t>was welcomed throughout the country (</w:t>
      </w:r>
      <w:r>
        <w:rPr>
          <w:rFonts w:cs="Times New Roman"/>
        </w:rPr>
        <w:t>Al-</w:t>
      </w:r>
      <w:r w:rsidRPr="008C460B">
        <w:rPr>
          <w:rFonts w:cs="Times New Roman"/>
        </w:rPr>
        <w:t>Hamdani and Lackner</w:t>
      </w:r>
      <w:r>
        <w:rPr>
          <w:rFonts w:cs="Times New Roman"/>
        </w:rPr>
        <w:t>, 2020</w:t>
      </w:r>
      <w:r w:rsidRPr="008C460B">
        <w:rPr>
          <w:rFonts w:cs="Times New Roman"/>
        </w:rPr>
        <w:t>).</w:t>
      </w:r>
      <w:r w:rsidR="00555B4F">
        <w:rPr>
          <w:rFonts w:cs="Times New Roman"/>
        </w:rPr>
        <w:t xml:space="preserve"> Nevertheless, the unification amounted to a loss of independence. [1990: independence restriction]</w:t>
      </w:r>
    </w:p>
    <w:p w14:paraId="2A2105E8" w14:textId="77777777" w:rsidR="00555B4F" w:rsidRPr="00555B4F" w:rsidRDefault="00555B4F" w:rsidP="00555B4F">
      <w:pPr>
        <w:rPr>
          <w:rFonts w:cs="Times New Roman"/>
          <w:szCs w:val="22"/>
        </w:rPr>
      </w:pPr>
    </w:p>
    <w:p w14:paraId="3733D4C1" w14:textId="77777777" w:rsidR="00555B4F" w:rsidRPr="006F657B" w:rsidRDefault="00555B4F" w:rsidP="0019299C">
      <w:pPr>
        <w:rPr>
          <w:rFonts w:cs="Times New Roman"/>
          <w:szCs w:val="22"/>
        </w:rPr>
      </w:pPr>
    </w:p>
    <w:p w14:paraId="4F0E3921" w14:textId="77777777" w:rsidR="00794F7B" w:rsidRPr="00BE5168" w:rsidRDefault="00794F7B" w:rsidP="0019299C">
      <w:pPr>
        <w:rPr>
          <w:rFonts w:cs="Times New Roman"/>
          <w:b/>
          <w:szCs w:val="22"/>
        </w:rPr>
      </w:pPr>
      <w:r w:rsidRPr="00BE5168">
        <w:rPr>
          <w:rFonts w:cs="Times New Roman"/>
          <w:b/>
          <w:szCs w:val="22"/>
        </w:rPr>
        <w:t>Concessions and restrictions</w:t>
      </w:r>
    </w:p>
    <w:p w14:paraId="6FB27523" w14:textId="77777777" w:rsidR="00794F7B" w:rsidRPr="006F657B" w:rsidRDefault="00794F7B" w:rsidP="0019299C">
      <w:pPr>
        <w:rPr>
          <w:rFonts w:cs="Times New Roman"/>
          <w:szCs w:val="22"/>
        </w:rPr>
      </w:pPr>
    </w:p>
    <w:p w14:paraId="169429AF" w14:textId="34846FFA" w:rsidR="00F11FCA" w:rsidRDefault="00F11FCA" w:rsidP="0019299C">
      <w:pPr>
        <w:pStyle w:val="ListParagraph"/>
        <w:numPr>
          <w:ilvl w:val="0"/>
          <w:numId w:val="6"/>
        </w:numPr>
        <w:rPr>
          <w:rFonts w:cs="Times New Roman"/>
        </w:rPr>
      </w:pPr>
      <w:r>
        <w:rPr>
          <w:rFonts w:cs="Times New Roman"/>
        </w:rPr>
        <w:t xml:space="preserve">In the years following unification, Saleh and other northerners retained firm control of the most important levels of power, with deep distrust pervading the relationship between the bureaucracies and militaries of the south and the north (Clark, 2010:135, 138; Hill, 2017:48; Hewitt and Cheetham, 2000). </w:t>
      </w:r>
      <w:r w:rsidRPr="005D5312">
        <w:rPr>
          <w:rFonts w:cs="Times New Roman"/>
        </w:rPr>
        <w:t xml:space="preserve">During the official three-year transition period, there was a rapid decline in living standards in the south; subsidies on basic food commodities came to an end and prices rose as the riyal immediately replaced the dinar. The city of Aden was neglected by officials as they moved to </w:t>
      </w:r>
      <w:r>
        <w:rPr>
          <w:rFonts w:cs="Times New Roman"/>
        </w:rPr>
        <w:t xml:space="preserve">the capital, </w:t>
      </w:r>
      <w:r w:rsidRPr="005D5312">
        <w:rPr>
          <w:rFonts w:cs="Times New Roman"/>
        </w:rPr>
        <w:t>Sanaa</w:t>
      </w:r>
      <w:r>
        <w:rPr>
          <w:rFonts w:cs="Times New Roman"/>
        </w:rPr>
        <w:t>,</w:t>
      </w:r>
      <w:r w:rsidRPr="005D5312">
        <w:rPr>
          <w:rFonts w:cs="Times New Roman"/>
        </w:rPr>
        <w:t xml:space="preserve"> to be closer to the </w:t>
      </w:r>
      <w:proofErr w:type="spellStart"/>
      <w:r w:rsidRPr="005D5312">
        <w:rPr>
          <w:rFonts w:cs="Times New Roman"/>
        </w:rPr>
        <w:t>centre</w:t>
      </w:r>
      <w:proofErr w:type="spellEnd"/>
      <w:r w:rsidRPr="005D5312">
        <w:rPr>
          <w:rFonts w:cs="Times New Roman"/>
        </w:rPr>
        <w:t xml:space="preserve"> of power. Remote rural areas suffered as the new government reversed agrarian reforms (</w:t>
      </w:r>
      <w:r>
        <w:rPr>
          <w:rFonts w:cs="Times New Roman"/>
        </w:rPr>
        <w:t>Al-</w:t>
      </w:r>
      <w:r w:rsidRPr="005D5312">
        <w:rPr>
          <w:rFonts w:cs="Times New Roman"/>
        </w:rPr>
        <w:t>Hamdani and Lackner</w:t>
      </w:r>
      <w:r>
        <w:rPr>
          <w:rFonts w:cs="Times New Roman"/>
        </w:rPr>
        <w:t>, 2020</w:t>
      </w:r>
      <w:r w:rsidRPr="005D5312">
        <w:rPr>
          <w:rFonts w:cs="Times New Roman"/>
        </w:rPr>
        <w:t>).</w:t>
      </w:r>
      <w:r>
        <w:rPr>
          <w:rFonts w:cs="Times New Roman"/>
        </w:rPr>
        <w:t xml:space="preserve"> During this time, over 150 YSP officials were assassinated, and the YSP claimed that northern leaders had instigated the killings (Hewitt and Cheetham, 2000; Al-Hamdani and Lackner, 2020). However, this discrimination, and alleged government-sponsored violence, do not constitute a restriction</w:t>
      </w:r>
      <w:r w:rsidR="00555B4F">
        <w:rPr>
          <w:rFonts w:cs="Times New Roman"/>
        </w:rPr>
        <w:t xml:space="preserve"> as defined in the codebook.</w:t>
      </w:r>
    </w:p>
    <w:p w14:paraId="4D0FDD97" w14:textId="519E680F" w:rsidR="00F11FCA" w:rsidRPr="005D5312" w:rsidRDefault="00F11FCA" w:rsidP="0019299C">
      <w:pPr>
        <w:pStyle w:val="ListParagraph"/>
        <w:numPr>
          <w:ilvl w:val="0"/>
          <w:numId w:val="6"/>
        </w:numPr>
        <w:rPr>
          <w:rFonts w:cs="Times New Roman"/>
        </w:rPr>
      </w:pPr>
      <w:r>
        <w:rPr>
          <w:rFonts w:cs="Times New Roman"/>
        </w:rPr>
        <w:t>Elections were held in 1993, and the ‘more populous north prevailed’ (Minahan, 1996:544). Saleh’s party, the General People’s Congress (GPC), won 123 seats while the YSP won 56; Islah (a northern, Islamist platform) won 62 (Hewitt and Cheetham, 2000). Islah thus replaced the YSP in the new government (Al-Hamdani and Lackner, 2020).</w:t>
      </w:r>
      <w:r w:rsidR="0073415F">
        <w:rPr>
          <w:rFonts w:cs="Times New Roman"/>
        </w:rPr>
        <w:t xml:space="preserve"> However, this does not constitute a restriction</w:t>
      </w:r>
      <w:r w:rsidR="00555B4F">
        <w:rPr>
          <w:rFonts w:cs="Times New Roman"/>
        </w:rPr>
        <w:t xml:space="preserve"> as defined in the codebook</w:t>
      </w:r>
      <w:r w:rsidR="0073415F">
        <w:rPr>
          <w:rFonts w:cs="Times New Roman"/>
        </w:rPr>
        <w:t>.</w:t>
      </w:r>
    </w:p>
    <w:p w14:paraId="74B4BA7A" w14:textId="66E66DAC" w:rsidR="00F11FCA" w:rsidRPr="005D5312" w:rsidRDefault="00F11FCA" w:rsidP="0019299C">
      <w:pPr>
        <w:pStyle w:val="ListParagraph"/>
        <w:numPr>
          <w:ilvl w:val="0"/>
          <w:numId w:val="6"/>
        </w:numPr>
        <w:rPr>
          <w:rFonts w:cs="Times New Roman"/>
        </w:rPr>
      </w:pPr>
      <w:r>
        <w:rPr>
          <w:rFonts w:cs="Times New Roman"/>
        </w:rPr>
        <w:t xml:space="preserve">Following the discovery of oil in </w:t>
      </w:r>
      <w:proofErr w:type="spellStart"/>
      <w:r>
        <w:rPr>
          <w:rFonts w:cs="Times New Roman"/>
        </w:rPr>
        <w:t>Hadhramawt</w:t>
      </w:r>
      <w:proofErr w:type="spellEnd"/>
      <w:r>
        <w:rPr>
          <w:rFonts w:cs="Times New Roman"/>
        </w:rPr>
        <w:t xml:space="preserve">, in the south, the sense that the north was draining the resources of the south, and the exclusion of southerners from Saleh’s newly enriched networks of patronage, fostered resentment, prompting a descent into civil war (Hill, 2017:48; Lackner, 2017:119; Dresch, 2000:193-4; Minahan, 1996:544). A southern separatist bid, which enjoyed Saudi support, proved unsuccessful; northern tanks rolled into Aden in 1994 (Dresch, 2000:197; Roth, 2015:215; Minahan, 1996:544). Appalling misconduct by the northern military was reported (Dresch, 2000:197) and, following the conflict, the constitution was altered, granting Saleh greater power (Clark, 2010:144). </w:t>
      </w:r>
      <w:r w:rsidR="00555B4F">
        <w:rPr>
          <w:rFonts w:cs="Times New Roman"/>
        </w:rPr>
        <w:t>However, we found no evidence for a restriction as defined in the codebook.</w:t>
      </w:r>
    </w:p>
    <w:p w14:paraId="5462C53E" w14:textId="441C8B3B" w:rsidR="00F11FCA" w:rsidRPr="006A77A9" w:rsidRDefault="00F11FCA" w:rsidP="0019299C">
      <w:pPr>
        <w:pStyle w:val="ListParagraph"/>
        <w:numPr>
          <w:ilvl w:val="0"/>
          <w:numId w:val="6"/>
        </w:numPr>
        <w:rPr>
          <w:rFonts w:cs="Times New Roman"/>
        </w:rPr>
      </w:pPr>
      <w:r>
        <w:rPr>
          <w:rFonts w:cs="Times New Roman"/>
        </w:rPr>
        <w:t xml:space="preserve">In the years following the conflict, the Southerners ‘saw their economic situation deteriorate and their social lives increasingly fall under influence of conservative religious norms which particularly affected women’ (Al-Hamdani and Lackner, 2020). Once more, this constitutes </w:t>
      </w:r>
      <w:r w:rsidRPr="006A77A9">
        <w:rPr>
          <w:rFonts w:cs="Times New Roman"/>
        </w:rPr>
        <w:t xml:space="preserve">discrimination </w:t>
      </w:r>
      <w:r w:rsidR="00555B4F" w:rsidRPr="006A77A9">
        <w:rPr>
          <w:rFonts w:cs="Times New Roman"/>
        </w:rPr>
        <w:t>but not a restriction as defined in the codebook.</w:t>
      </w:r>
      <w:r w:rsidRPr="006A77A9">
        <w:rPr>
          <w:rFonts w:cs="Times New Roman"/>
        </w:rPr>
        <w:t xml:space="preserve"> </w:t>
      </w:r>
    </w:p>
    <w:p w14:paraId="16161EBE" w14:textId="517128CD" w:rsidR="006A77A9" w:rsidRPr="00F2642F" w:rsidRDefault="00F2642F" w:rsidP="0019299C">
      <w:pPr>
        <w:pStyle w:val="ListParagraph"/>
        <w:numPr>
          <w:ilvl w:val="0"/>
          <w:numId w:val="6"/>
        </w:numPr>
        <w:rPr>
          <w:rFonts w:cs="Times New Roman"/>
        </w:rPr>
      </w:pPr>
      <w:r w:rsidRPr="00F2642F">
        <w:rPr>
          <w:rFonts w:cs="Times New Roman"/>
          <w:szCs w:val="22"/>
        </w:rPr>
        <w:t>In 1998, Yemen was divided into ten provinces – called governates – each of which was further divided into districts. The central government appoints a governor as well as district heads (Baron et al., 2016:4f). Baron et al. (2016:4) suggest that as a result, ‘there was, for all intents and purposes, no local representation in local governance, with all power and decision-making authority centralized in the capital’. Overall, the evidence we found suggests that have relatively little autonomy (Nagi 2020; Al-</w:t>
      </w:r>
      <w:proofErr w:type="spellStart"/>
      <w:r w:rsidRPr="00F2642F">
        <w:rPr>
          <w:rFonts w:cs="Times New Roman"/>
          <w:szCs w:val="22"/>
        </w:rPr>
        <w:t>Sewari</w:t>
      </w:r>
      <w:proofErr w:type="spellEnd"/>
      <w:r w:rsidRPr="00F2642F">
        <w:rPr>
          <w:rFonts w:cs="Times New Roman"/>
          <w:szCs w:val="22"/>
        </w:rPr>
        <w:t xml:space="preserve"> 2019; Mills 2020). </w:t>
      </w:r>
      <w:r w:rsidR="006A77A9" w:rsidRPr="00F2642F">
        <w:rPr>
          <w:rFonts w:cs="Times New Roman"/>
          <w:szCs w:val="22"/>
        </w:rPr>
        <w:t>We therefore do not code an autonomy concession.</w:t>
      </w:r>
    </w:p>
    <w:p w14:paraId="6C35BD27" w14:textId="21FC7602" w:rsidR="00F11FCA" w:rsidRDefault="00F11FCA" w:rsidP="0019299C">
      <w:pPr>
        <w:pStyle w:val="ListParagraph"/>
        <w:numPr>
          <w:ilvl w:val="0"/>
          <w:numId w:val="6"/>
        </w:numPr>
        <w:rPr>
          <w:rFonts w:cs="Times New Roman"/>
        </w:rPr>
      </w:pPr>
      <w:bookmarkStart w:id="2" w:name="_Hlk102039644"/>
      <w:r>
        <w:rPr>
          <w:rFonts w:cs="Times New Roman"/>
        </w:rPr>
        <w:t xml:space="preserve">In 2006, Yemeni military and security personnel who had been forced into retirement after 1994 started a movement which initially demanded the payment of their pensions. Saleh brutally suppressed the movement, spurring it to expand beyond Dhali and Lahij until it took hold in Aden and in </w:t>
      </w:r>
      <w:proofErr w:type="spellStart"/>
      <w:r>
        <w:rPr>
          <w:rFonts w:cs="Times New Roman"/>
        </w:rPr>
        <w:t>Hadhramawt</w:t>
      </w:r>
      <w:proofErr w:type="spellEnd"/>
      <w:r>
        <w:rPr>
          <w:rFonts w:cs="Times New Roman"/>
        </w:rPr>
        <w:t xml:space="preserve"> (Al-Hamdani and Lackner, 2020; Stracke and Haidar, 2010:2). However, this attempted suppression, once more, does not constitute a restriction</w:t>
      </w:r>
      <w:r w:rsidR="00555B4F">
        <w:rPr>
          <w:rFonts w:cs="Times New Roman"/>
        </w:rPr>
        <w:t xml:space="preserve"> as defined in the codebook</w:t>
      </w:r>
      <w:r>
        <w:rPr>
          <w:rFonts w:cs="Times New Roman"/>
        </w:rPr>
        <w:t>.</w:t>
      </w:r>
    </w:p>
    <w:bookmarkEnd w:id="2"/>
    <w:p w14:paraId="64A67501" w14:textId="5C3C1953" w:rsidR="00F11FCA" w:rsidRDefault="00F11FCA" w:rsidP="0019299C">
      <w:pPr>
        <w:pStyle w:val="ListParagraph"/>
        <w:numPr>
          <w:ilvl w:val="0"/>
          <w:numId w:val="6"/>
        </w:numPr>
        <w:rPr>
          <w:rFonts w:cs="Times New Roman"/>
        </w:rPr>
      </w:pPr>
      <w:r>
        <w:rPr>
          <w:rFonts w:cs="Times New Roman"/>
        </w:rPr>
        <w:t xml:space="preserve">Following the outbreak of the 2011 revolution, many southerners joined forces with other Yemenis to overthrow </w:t>
      </w:r>
      <w:r w:rsidRPr="00112638">
        <w:rPr>
          <w:rFonts w:cs="Times New Roman"/>
        </w:rPr>
        <w:t>Saleh; however,</w:t>
      </w:r>
      <w:r>
        <w:rPr>
          <w:rFonts w:cs="Times New Roman"/>
        </w:rPr>
        <w:t xml:space="preserve"> following the signing of the G</w:t>
      </w:r>
      <w:r w:rsidR="001263A8">
        <w:rPr>
          <w:rFonts w:cs="Times New Roman"/>
        </w:rPr>
        <w:t xml:space="preserve">ulf </w:t>
      </w:r>
      <w:r>
        <w:rPr>
          <w:rFonts w:cs="Times New Roman"/>
        </w:rPr>
        <w:t>C</w:t>
      </w:r>
      <w:r w:rsidR="001263A8">
        <w:rPr>
          <w:rFonts w:cs="Times New Roman"/>
        </w:rPr>
        <w:t xml:space="preserve">ooperation </w:t>
      </w:r>
      <w:r>
        <w:rPr>
          <w:rFonts w:cs="Times New Roman"/>
        </w:rPr>
        <w:t>C</w:t>
      </w:r>
      <w:r w:rsidR="001263A8">
        <w:rPr>
          <w:rFonts w:cs="Times New Roman"/>
        </w:rPr>
        <w:t>ouncil (GCC)</w:t>
      </w:r>
      <w:r>
        <w:rPr>
          <w:rFonts w:cs="Times New Roman"/>
        </w:rPr>
        <w:t xml:space="preserve"> Initiative, separatist sentiment rose to the fore once more (Al-Hamdani and Lackner, </w:t>
      </w:r>
      <w:r>
        <w:rPr>
          <w:rFonts w:cs="Times New Roman"/>
        </w:rPr>
        <w:lastRenderedPageBreak/>
        <w:t xml:space="preserve">2020). </w:t>
      </w:r>
      <w:r w:rsidRPr="002102D8">
        <w:rPr>
          <w:rFonts w:cs="Times New Roman"/>
        </w:rPr>
        <w:t>Southerners participated in the National Dialogue Conference (held between 2013-4); the conference was unable</w:t>
      </w:r>
      <w:r w:rsidR="00112638">
        <w:rPr>
          <w:rFonts w:cs="Times New Roman"/>
        </w:rPr>
        <w:t>, though,</w:t>
      </w:r>
      <w:r w:rsidRPr="002102D8">
        <w:rPr>
          <w:rFonts w:cs="Times New Roman"/>
        </w:rPr>
        <w:t xml:space="preserve"> to bring many separatist factions to the table; these movements refused to be part of any discussion which treated the south as part of Yemen. The NDC ultimately failed to resolve the ‘southern question’ (Al-Hamdani and Lackner, 2020)</w:t>
      </w:r>
      <w:r>
        <w:rPr>
          <w:rFonts w:cs="Times New Roman"/>
        </w:rPr>
        <w:t xml:space="preserve"> and its recommendations were never implemented</w:t>
      </w:r>
      <w:r w:rsidRPr="002102D8">
        <w:rPr>
          <w:rFonts w:cs="Times New Roman"/>
        </w:rPr>
        <w:t xml:space="preserve">. Just one year following the conclusion of the NDC, the northern </w:t>
      </w:r>
      <w:proofErr w:type="spellStart"/>
      <w:r w:rsidRPr="002102D8">
        <w:rPr>
          <w:rFonts w:cs="Times New Roman"/>
        </w:rPr>
        <w:t>Huthi</w:t>
      </w:r>
      <w:proofErr w:type="spellEnd"/>
      <w:r w:rsidRPr="002102D8">
        <w:rPr>
          <w:rFonts w:cs="Times New Roman"/>
        </w:rPr>
        <w:t xml:space="preserve"> movement marched into the capital, Sanaa, triggering a fierce civil war. Southern separatist aspirations have persisted during the war (please refer to the Claims section)</w:t>
      </w:r>
      <w:r>
        <w:rPr>
          <w:rFonts w:cs="Times New Roman"/>
        </w:rPr>
        <w:t xml:space="preserve"> while the internationally </w:t>
      </w:r>
      <w:proofErr w:type="spellStart"/>
      <w:r>
        <w:rPr>
          <w:rFonts w:cs="Times New Roman"/>
        </w:rPr>
        <w:t>recognised</w:t>
      </w:r>
      <w:proofErr w:type="spellEnd"/>
      <w:r>
        <w:rPr>
          <w:rFonts w:cs="Times New Roman"/>
        </w:rPr>
        <w:t xml:space="preserve"> government of Yemen has largely been based in the south, in Aden (</w:t>
      </w:r>
      <w:r w:rsidR="00D7722D">
        <w:rPr>
          <w:rFonts w:cs="Times New Roman"/>
        </w:rPr>
        <w:t xml:space="preserve">nevertheless, </w:t>
      </w:r>
      <w:r w:rsidRPr="000A649E">
        <w:rPr>
          <w:rFonts w:cs="Times New Roman"/>
        </w:rPr>
        <w:t xml:space="preserve">the Southern Transitional Council (STC) </w:t>
      </w:r>
      <w:r w:rsidR="000A649E" w:rsidRPr="000A649E">
        <w:rPr>
          <w:rFonts w:cs="Times New Roman"/>
        </w:rPr>
        <w:t>has seized</w:t>
      </w:r>
      <w:r w:rsidR="000A649E">
        <w:rPr>
          <w:rFonts w:cs="Times New Roman"/>
        </w:rPr>
        <w:t xml:space="preserve"> Aden, and the Presidential Palace, on a number of occasions since 2017, and further declared self-rule</w:t>
      </w:r>
      <w:r>
        <w:rPr>
          <w:rFonts w:cs="Times New Roman"/>
        </w:rPr>
        <w:t xml:space="preserve">; the </w:t>
      </w:r>
      <w:r w:rsidR="000A649E">
        <w:rPr>
          <w:rFonts w:cs="Times New Roman"/>
        </w:rPr>
        <w:t xml:space="preserve">actions of the </w:t>
      </w:r>
      <w:r>
        <w:rPr>
          <w:rFonts w:cs="Times New Roman"/>
        </w:rPr>
        <w:t xml:space="preserve">STC is elaborated on in the </w:t>
      </w:r>
      <w:r w:rsidR="00F75776">
        <w:rPr>
          <w:rFonts w:cs="Times New Roman"/>
        </w:rPr>
        <w:t xml:space="preserve">De Facto Independence and </w:t>
      </w:r>
      <w:r>
        <w:rPr>
          <w:rFonts w:cs="Times New Roman"/>
        </w:rPr>
        <w:t>Claims section</w:t>
      </w:r>
      <w:r w:rsidR="00F75776">
        <w:rPr>
          <w:rFonts w:cs="Times New Roman"/>
        </w:rPr>
        <w:t>s</w:t>
      </w:r>
      <w:r>
        <w:rPr>
          <w:rFonts w:cs="Times New Roman"/>
        </w:rPr>
        <w:t>)</w:t>
      </w:r>
      <w:r w:rsidRPr="002102D8">
        <w:rPr>
          <w:rFonts w:cs="Times New Roman"/>
        </w:rPr>
        <w:t>.</w:t>
      </w:r>
      <w:r w:rsidR="000A649E">
        <w:rPr>
          <w:rFonts w:cs="Times New Roman"/>
        </w:rPr>
        <w:t xml:space="preserve"> Unilateral actions by regional governments controlled by SDM groups are not coded as concessions</w:t>
      </w:r>
      <w:r w:rsidR="002F4389">
        <w:rPr>
          <w:rFonts w:cs="Times New Roman"/>
        </w:rPr>
        <w:t>; moreover, the extent of self-rule can be challenged (please refer to the De Facto Independence section)</w:t>
      </w:r>
      <w:r w:rsidR="000A649E">
        <w:rPr>
          <w:rFonts w:cs="Times New Roman"/>
        </w:rPr>
        <w:t>.</w:t>
      </w:r>
      <w:r w:rsidR="002F4389">
        <w:rPr>
          <w:rFonts w:cs="Times New Roman"/>
        </w:rPr>
        <w:t xml:space="preserve"> </w:t>
      </w:r>
      <w:r w:rsidR="00C432A5">
        <w:rPr>
          <w:rFonts w:cs="Times New Roman"/>
        </w:rPr>
        <w:t>Furthermore, a</w:t>
      </w:r>
      <w:r w:rsidR="002F4389">
        <w:rPr>
          <w:rFonts w:cs="Times New Roman"/>
        </w:rPr>
        <w:t xml:space="preserve">ccording to the coding instructions, if a group loses its de facto independent status, </w:t>
      </w:r>
      <w:r w:rsidR="00F32CE8">
        <w:rPr>
          <w:rFonts w:cs="Times New Roman"/>
        </w:rPr>
        <w:t>no</w:t>
      </w:r>
      <w:r w:rsidR="002F4389">
        <w:rPr>
          <w:rFonts w:cs="Times New Roman"/>
        </w:rPr>
        <w:t xml:space="preserve"> restriction is coded.</w:t>
      </w:r>
      <w:r w:rsidR="000A649E">
        <w:rPr>
          <w:rFonts w:cs="Times New Roman"/>
        </w:rPr>
        <w:t xml:space="preserve"> </w:t>
      </w:r>
    </w:p>
    <w:p w14:paraId="7EBD5CD2" w14:textId="3F76AAC3" w:rsidR="000A649E" w:rsidRDefault="000A649E" w:rsidP="0019299C">
      <w:pPr>
        <w:pStyle w:val="ListParagraph"/>
        <w:numPr>
          <w:ilvl w:val="0"/>
          <w:numId w:val="6"/>
        </w:numPr>
        <w:rPr>
          <w:rFonts w:cs="Times New Roman"/>
        </w:rPr>
      </w:pPr>
      <w:r>
        <w:rPr>
          <w:rFonts w:cs="Times New Roman"/>
        </w:rPr>
        <w:t xml:space="preserve">In December 2020, the </w:t>
      </w:r>
      <w:r w:rsidR="00713C36">
        <w:rPr>
          <w:rFonts w:cs="Times New Roman"/>
        </w:rPr>
        <w:t>President of Yemen announced a new cabinet, including STC members</w:t>
      </w:r>
      <w:r w:rsidR="00D7722D">
        <w:rPr>
          <w:rFonts w:cs="Times New Roman"/>
        </w:rPr>
        <w:t xml:space="preserve"> (Jalal, 2021)</w:t>
      </w:r>
      <w:r w:rsidR="00713C36">
        <w:rPr>
          <w:rFonts w:cs="Times New Roman"/>
        </w:rPr>
        <w:t>.</w:t>
      </w:r>
      <w:r w:rsidR="0073415F">
        <w:rPr>
          <w:rFonts w:cs="Times New Roman"/>
        </w:rPr>
        <w:t xml:space="preserve"> </w:t>
      </w:r>
      <w:r w:rsidR="0073415F" w:rsidRPr="00D7722D">
        <w:rPr>
          <w:rFonts w:cs="Times New Roman"/>
        </w:rPr>
        <w:t>However, this</w:t>
      </w:r>
      <w:r w:rsidR="0073415F">
        <w:rPr>
          <w:rFonts w:cs="Times New Roman"/>
        </w:rPr>
        <w:t xml:space="preserve"> did not increase the level of autonomy exerted by the STC over the south and is not coded as a concession.</w:t>
      </w:r>
    </w:p>
    <w:p w14:paraId="2C44AADD" w14:textId="77777777" w:rsidR="00794F7B" w:rsidRPr="006F657B" w:rsidRDefault="00794F7B" w:rsidP="0019299C">
      <w:pPr>
        <w:rPr>
          <w:rFonts w:cs="Times New Roman"/>
          <w:szCs w:val="22"/>
        </w:rPr>
      </w:pPr>
    </w:p>
    <w:p w14:paraId="13827750" w14:textId="77777777" w:rsidR="007D31AA" w:rsidRPr="006F657B" w:rsidRDefault="007D31AA" w:rsidP="0019299C">
      <w:pPr>
        <w:rPr>
          <w:rFonts w:cs="Times New Roman"/>
          <w:szCs w:val="22"/>
        </w:rPr>
      </w:pPr>
    </w:p>
    <w:p w14:paraId="09D17B51" w14:textId="77777777" w:rsidR="007D31AA" w:rsidRPr="00BE5168" w:rsidRDefault="007D31AA" w:rsidP="0019299C">
      <w:pPr>
        <w:rPr>
          <w:rFonts w:cs="Times New Roman"/>
          <w:b/>
          <w:szCs w:val="22"/>
        </w:rPr>
      </w:pPr>
      <w:r>
        <w:rPr>
          <w:rFonts w:cs="Times New Roman"/>
          <w:b/>
          <w:szCs w:val="22"/>
        </w:rPr>
        <w:t xml:space="preserve">Regional autonomy </w:t>
      </w:r>
    </w:p>
    <w:p w14:paraId="44748946" w14:textId="77777777" w:rsidR="007D31AA" w:rsidRPr="006F657B" w:rsidRDefault="007D31AA" w:rsidP="0019299C">
      <w:pPr>
        <w:rPr>
          <w:rFonts w:cs="Times New Roman"/>
          <w:szCs w:val="22"/>
        </w:rPr>
      </w:pPr>
    </w:p>
    <w:p w14:paraId="14050A54" w14:textId="5AE84F26" w:rsidR="00F75776" w:rsidRDefault="00F2642F" w:rsidP="0019299C">
      <w:pPr>
        <w:rPr>
          <w:rFonts w:cs="Times New Roman"/>
          <w:szCs w:val="22"/>
        </w:rPr>
      </w:pPr>
      <w:r>
        <w:rPr>
          <w:rFonts w:cs="Times New Roman"/>
          <w:szCs w:val="22"/>
        </w:rPr>
        <w:t>NA</w:t>
      </w:r>
    </w:p>
    <w:p w14:paraId="4E531DC1" w14:textId="77777777" w:rsidR="00F11FCA" w:rsidRPr="006F657B" w:rsidRDefault="00F11FCA" w:rsidP="0019299C">
      <w:pPr>
        <w:rPr>
          <w:rFonts w:cs="Times New Roman"/>
          <w:szCs w:val="22"/>
        </w:rPr>
      </w:pPr>
    </w:p>
    <w:p w14:paraId="68E6D753" w14:textId="77777777" w:rsidR="007D31AA" w:rsidRPr="006F657B" w:rsidRDefault="007D31AA" w:rsidP="0019299C">
      <w:pPr>
        <w:rPr>
          <w:rFonts w:cs="Times New Roman"/>
          <w:szCs w:val="22"/>
        </w:rPr>
      </w:pPr>
    </w:p>
    <w:p w14:paraId="7ADF6A3C" w14:textId="77777777" w:rsidR="007D31AA" w:rsidRPr="0088796E" w:rsidRDefault="007D31AA" w:rsidP="0019299C">
      <w:pPr>
        <w:rPr>
          <w:rFonts w:cs="Times New Roman"/>
          <w:b/>
          <w:szCs w:val="22"/>
        </w:rPr>
      </w:pPr>
      <w:r>
        <w:rPr>
          <w:rFonts w:cs="Times New Roman"/>
          <w:b/>
          <w:szCs w:val="22"/>
        </w:rPr>
        <w:t>De facto i</w:t>
      </w:r>
      <w:r w:rsidRPr="0088796E">
        <w:rPr>
          <w:rFonts w:cs="Times New Roman"/>
          <w:b/>
          <w:szCs w:val="22"/>
        </w:rPr>
        <w:t>ndependence</w:t>
      </w:r>
    </w:p>
    <w:p w14:paraId="338D52A7" w14:textId="77777777" w:rsidR="007D31AA" w:rsidRPr="006F657B" w:rsidRDefault="007D31AA" w:rsidP="0019299C">
      <w:pPr>
        <w:rPr>
          <w:rFonts w:cs="Times New Roman"/>
          <w:bCs/>
          <w:szCs w:val="22"/>
        </w:rPr>
      </w:pPr>
    </w:p>
    <w:p w14:paraId="6240AF7C" w14:textId="77777777" w:rsidR="00D677D8" w:rsidRDefault="00F75776" w:rsidP="009970A2">
      <w:pPr>
        <w:pStyle w:val="ListParagraph"/>
        <w:numPr>
          <w:ilvl w:val="0"/>
          <w:numId w:val="6"/>
        </w:numPr>
        <w:rPr>
          <w:rFonts w:cs="Times New Roman"/>
          <w:szCs w:val="22"/>
        </w:rPr>
      </w:pPr>
      <w:r w:rsidRPr="00D677D8">
        <w:rPr>
          <w:rFonts w:cs="Times New Roman"/>
          <w:szCs w:val="22"/>
        </w:rPr>
        <w:t xml:space="preserve">As noted above, the south declared its </w:t>
      </w:r>
      <w:proofErr w:type="spellStart"/>
      <w:r w:rsidRPr="00D677D8">
        <w:rPr>
          <w:rFonts w:cs="Times New Roman"/>
          <w:szCs w:val="22"/>
        </w:rPr>
        <w:t>seccession</w:t>
      </w:r>
      <w:proofErr w:type="spellEnd"/>
      <w:r w:rsidRPr="00D677D8">
        <w:rPr>
          <w:rFonts w:cs="Times New Roman"/>
          <w:szCs w:val="22"/>
        </w:rPr>
        <w:t xml:space="preserve"> from the north in 1994; however, within months, the north re-took the south, quashing this bid. The south did not enjoy meaningful, long-term independence during this period due to the rapid descent into civil war. </w:t>
      </w:r>
      <w:r w:rsidR="00D677D8" w:rsidRPr="00D677D8">
        <w:rPr>
          <w:rFonts w:cs="Times New Roman"/>
          <w:szCs w:val="22"/>
        </w:rPr>
        <w:t>Therefore, we do not code de facto independence.</w:t>
      </w:r>
    </w:p>
    <w:p w14:paraId="1112D7E6" w14:textId="3C8929BA" w:rsidR="007D31AA" w:rsidRPr="00D677D8" w:rsidRDefault="00410695" w:rsidP="009970A2">
      <w:pPr>
        <w:pStyle w:val="ListParagraph"/>
        <w:numPr>
          <w:ilvl w:val="0"/>
          <w:numId w:val="6"/>
        </w:numPr>
        <w:rPr>
          <w:rFonts w:cs="Times New Roman"/>
          <w:szCs w:val="22"/>
        </w:rPr>
      </w:pPr>
      <w:r w:rsidRPr="00D677D8">
        <w:rPr>
          <w:rFonts w:cs="Times New Roman"/>
          <w:szCs w:val="22"/>
        </w:rPr>
        <w:t xml:space="preserve">The STC </w:t>
      </w:r>
      <w:r w:rsidR="00D677D8">
        <w:rPr>
          <w:rFonts w:cs="Times New Roman"/>
          <w:szCs w:val="22"/>
        </w:rPr>
        <w:t xml:space="preserve">declared </w:t>
      </w:r>
      <w:r w:rsidRPr="00D677D8">
        <w:rPr>
          <w:rFonts w:cs="Times New Roman"/>
          <w:szCs w:val="22"/>
        </w:rPr>
        <w:t xml:space="preserve">self-rule in 2017 and </w:t>
      </w:r>
      <w:r w:rsidR="00D677D8">
        <w:rPr>
          <w:rFonts w:cs="Times New Roman"/>
          <w:szCs w:val="22"/>
        </w:rPr>
        <w:t xml:space="preserve">again </w:t>
      </w:r>
      <w:r w:rsidRPr="00D677D8">
        <w:rPr>
          <w:rFonts w:cs="Times New Roman"/>
          <w:szCs w:val="22"/>
        </w:rPr>
        <w:t>in 2020</w:t>
      </w:r>
      <w:r w:rsidR="00410300" w:rsidRPr="00D677D8">
        <w:rPr>
          <w:rFonts w:cs="Times New Roman"/>
          <w:szCs w:val="22"/>
        </w:rPr>
        <w:t xml:space="preserve"> (</w:t>
      </w:r>
      <w:bookmarkStart w:id="3" w:name="_Hlk102136849"/>
      <w:r w:rsidR="00410300" w:rsidRPr="00D677D8">
        <w:rPr>
          <w:rFonts w:cs="Times New Roman"/>
          <w:szCs w:val="22"/>
        </w:rPr>
        <w:t>Al Jazeera, 2020; Aden Historic Declaration, 2017</w:t>
      </w:r>
      <w:bookmarkEnd w:id="3"/>
      <w:r w:rsidR="00410300" w:rsidRPr="00D677D8">
        <w:rPr>
          <w:rFonts w:cs="Times New Roman"/>
          <w:szCs w:val="22"/>
        </w:rPr>
        <w:t>)</w:t>
      </w:r>
      <w:r w:rsidRPr="00D677D8">
        <w:rPr>
          <w:rFonts w:cs="Times New Roman"/>
          <w:szCs w:val="22"/>
        </w:rPr>
        <w:t xml:space="preserve">. Moreover, the STC seized the Presidential Palace in Aden, and the city of Aden, on </w:t>
      </w:r>
      <w:proofErr w:type="gramStart"/>
      <w:r w:rsidRPr="00D677D8">
        <w:rPr>
          <w:rFonts w:cs="Times New Roman"/>
          <w:szCs w:val="22"/>
        </w:rPr>
        <w:t>a number of</w:t>
      </w:r>
      <w:proofErr w:type="gramEnd"/>
      <w:r w:rsidRPr="00D677D8">
        <w:rPr>
          <w:rFonts w:cs="Times New Roman"/>
          <w:szCs w:val="22"/>
        </w:rPr>
        <w:t xml:space="preserve"> occasions since 2017</w:t>
      </w:r>
      <w:r w:rsidR="00410300" w:rsidRPr="00D677D8">
        <w:rPr>
          <w:rFonts w:cs="Times New Roman"/>
          <w:szCs w:val="22"/>
        </w:rPr>
        <w:t xml:space="preserve"> (Al Jazeera, 2020; </w:t>
      </w:r>
      <w:bookmarkStart w:id="4" w:name="_Hlk102136855"/>
      <w:r w:rsidR="00410300" w:rsidRPr="00D677D8">
        <w:rPr>
          <w:rFonts w:cs="Times New Roman"/>
          <w:szCs w:val="22"/>
        </w:rPr>
        <w:t>Younes</w:t>
      </w:r>
      <w:r w:rsidR="00F2642F">
        <w:rPr>
          <w:rFonts w:cs="Times New Roman"/>
          <w:szCs w:val="22"/>
        </w:rPr>
        <w:t xml:space="preserve"> </w:t>
      </w:r>
      <w:r w:rsidR="00410300" w:rsidRPr="00D677D8">
        <w:rPr>
          <w:rFonts w:cs="Times New Roman"/>
          <w:szCs w:val="22"/>
        </w:rPr>
        <w:t>2019; Peace Agreements Database, n.d</w:t>
      </w:r>
      <w:bookmarkEnd w:id="4"/>
      <w:r w:rsidR="00410300" w:rsidRPr="00D677D8">
        <w:rPr>
          <w:rFonts w:cs="Times New Roman"/>
          <w:szCs w:val="22"/>
        </w:rPr>
        <w:t>.)</w:t>
      </w:r>
      <w:r w:rsidRPr="00D677D8">
        <w:rPr>
          <w:rFonts w:cs="Times New Roman"/>
          <w:szCs w:val="22"/>
        </w:rPr>
        <w:t xml:space="preserve">. </w:t>
      </w:r>
      <w:r w:rsidR="00D7722D" w:rsidRPr="00D677D8">
        <w:rPr>
          <w:rFonts w:cs="Times New Roman"/>
          <w:szCs w:val="22"/>
        </w:rPr>
        <w:t>Nevertheless</w:t>
      </w:r>
      <w:r w:rsidRPr="00D677D8">
        <w:rPr>
          <w:rFonts w:cs="Times New Roman"/>
          <w:szCs w:val="22"/>
        </w:rPr>
        <w:t xml:space="preserve">, their power seems to have largely been </w:t>
      </w:r>
      <w:r w:rsidR="00F2642F">
        <w:rPr>
          <w:rFonts w:cs="Times New Roman"/>
          <w:szCs w:val="22"/>
        </w:rPr>
        <w:t>confined</w:t>
      </w:r>
      <w:r w:rsidRPr="00D677D8">
        <w:rPr>
          <w:rFonts w:cs="Times New Roman"/>
          <w:szCs w:val="22"/>
        </w:rPr>
        <w:t xml:space="preserve"> to Aden while mediation efforts, led by Saudi Arabia and the UAE, together with battles against the internationally recognized government, ha</w:t>
      </w:r>
      <w:r w:rsidR="000A649E" w:rsidRPr="00D677D8">
        <w:rPr>
          <w:rFonts w:cs="Times New Roman"/>
          <w:szCs w:val="22"/>
        </w:rPr>
        <w:t>ve</w:t>
      </w:r>
      <w:r w:rsidRPr="00D677D8">
        <w:rPr>
          <w:rFonts w:cs="Times New Roman"/>
          <w:szCs w:val="22"/>
        </w:rPr>
        <w:t xml:space="preserve"> limited the extent of self-rule</w:t>
      </w:r>
      <w:r w:rsidR="00410300" w:rsidRPr="00D677D8">
        <w:rPr>
          <w:rFonts w:cs="Times New Roman"/>
          <w:szCs w:val="22"/>
        </w:rPr>
        <w:t xml:space="preserve"> (Al Jazeera, 2020; Peace Agreements Database, n.d.)</w:t>
      </w:r>
      <w:r w:rsidRPr="00D677D8">
        <w:rPr>
          <w:rFonts w:cs="Times New Roman"/>
          <w:szCs w:val="22"/>
        </w:rPr>
        <w:t xml:space="preserve">. </w:t>
      </w:r>
      <w:r w:rsidR="00F2642F">
        <w:rPr>
          <w:rFonts w:cs="Times New Roman"/>
          <w:szCs w:val="22"/>
        </w:rPr>
        <w:t xml:space="preserve">Based on this, we do not code </w:t>
      </w:r>
      <w:r w:rsidR="00D677D8">
        <w:rPr>
          <w:rFonts w:cs="Times New Roman"/>
          <w:szCs w:val="22"/>
        </w:rPr>
        <w:t>de facto independence.</w:t>
      </w:r>
    </w:p>
    <w:p w14:paraId="3554CFDD" w14:textId="7512A9B8" w:rsidR="007D31AA" w:rsidRDefault="007D31AA" w:rsidP="0019299C">
      <w:pPr>
        <w:rPr>
          <w:rFonts w:cs="Times New Roman"/>
          <w:bCs/>
          <w:szCs w:val="22"/>
        </w:rPr>
      </w:pPr>
    </w:p>
    <w:p w14:paraId="68060049" w14:textId="77777777" w:rsidR="00F2642F" w:rsidRDefault="00F2642F" w:rsidP="0019299C">
      <w:pPr>
        <w:rPr>
          <w:rFonts w:cs="Times New Roman"/>
          <w:bCs/>
          <w:szCs w:val="22"/>
        </w:rPr>
      </w:pPr>
    </w:p>
    <w:p w14:paraId="263130B6" w14:textId="77777777" w:rsidR="00D677D8" w:rsidRPr="006F657B" w:rsidRDefault="00D677D8" w:rsidP="0019299C">
      <w:pPr>
        <w:rPr>
          <w:rFonts w:cs="Times New Roman"/>
          <w:bCs/>
          <w:szCs w:val="22"/>
        </w:rPr>
      </w:pPr>
    </w:p>
    <w:p w14:paraId="4A95509B" w14:textId="79B3FDC6" w:rsidR="00794F7B" w:rsidRPr="00BE5168" w:rsidRDefault="00794F7B" w:rsidP="0019299C">
      <w:pPr>
        <w:rPr>
          <w:rFonts w:cs="Times New Roman"/>
          <w:b/>
          <w:szCs w:val="22"/>
        </w:rPr>
      </w:pPr>
      <w:r w:rsidRPr="007943A1">
        <w:rPr>
          <w:rFonts w:cs="Times New Roman"/>
          <w:b/>
          <w:szCs w:val="22"/>
        </w:rPr>
        <w:t>Major territorial change</w:t>
      </w:r>
      <w:r w:rsidR="00C2634E" w:rsidRPr="007943A1">
        <w:rPr>
          <w:rFonts w:cs="Times New Roman"/>
          <w:b/>
          <w:szCs w:val="22"/>
        </w:rPr>
        <w:t>s</w:t>
      </w:r>
    </w:p>
    <w:p w14:paraId="62910A23" w14:textId="77777777" w:rsidR="00A2750B" w:rsidRPr="006F657B" w:rsidRDefault="00A2750B" w:rsidP="0019299C">
      <w:pPr>
        <w:rPr>
          <w:rFonts w:cs="Times New Roman"/>
          <w:bCs/>
          <w:szCs w:val="22"/>
        </w:rPr>
      </w:pPr>
    </w:p>
    <w:p w14:paraId="5C97B0A5" w14:textId="77777777" w:rsidR="00D677D8" w:rsidRDefault="00D677D8" w:rsidP="00D677D8">
      <w:pPr>
        <w:pStyle w:val="ListParagraph"/>
        <w:numPr>
          <w:ilvl w:val="0"/>
          <w:numId w:val="6"/>
        </w:numPr>
        <w:rPr>
          <w:rFonts w:cs="Times New Roman"/>
          <w:bCs/>
          <w:szCs w:val="22"/>
        </w:rPr>
      </w:pPr>
      <w:r>
        <w:rPr>
          <w:rFonts w:cs="Times New Roman"/>
          <w:bCs/>
          <w:szCs w:val="22"/>
        </w:rPr>
        <w:t>[1990: host change (new)]</w:t>
      </w:r>
    </w:p>
    <w:p w14:paraId="0F62216F" w14:textId="42607FF6" w:rsidR="00B73A8F" w:rsidRDefault="00B73A8F" w:rsidP="0019299C">
      <w:pPr>
        <w:rPr>
          <w:rFonts w:cs="Times New Roman"/>
          <w:bCs/>
          <w:szCs w:val="22"/>
        </w:rPr>
      </w:pPr>
    </w:p>
    <w:p w14:paraId="0B19C7ED" w14:textId="77777777" w:rsidR="00D677D8" w:rsidRPr="006F657B" w:rsidRDefault="00D677D8" w:rsidP="0019299C">
      <w:pPr>
        <w:rPr>
          <w:rFonts w:cs="Times New Roman"/>
          <w:bCs/>
          <w:szCs w:val="22"/>
        </w:rPr>
      </w:pPr>
    </w:p>
    <w:p w14:paraId="74B302B3" w14:textId="77777777" w:rsidR="0091516C" w:rsidRPr="00D251DF" w:rsidRDefault="0091516C" w:rsidP="0091516C">
      <w:pPr>
        <w:ind w:left="709" w:hanging="709"/>
        <w:rPr>
          <w:rFonts w:cs="Times New Roman"/>
          <w:b/>
        </w:rPr>
      </w:pPr>
      <w:r w:rsidRPr="00D251DF">
        <w:rPr>
          <w:rFonts w:cs="Times New Roman"/>
          <w:b/>
        </w:rPr>
        <w:t>EPR2SDM</w:t>
      </w:r>
    </w:p>
    <w:p w14:paraId="127B80DF" w14:textId="77777777" w:rsidR="0091516C" w:rsidRPr="00D251DF" w:rsidRDefault="0091516C" w:rsidP="0091516C">
      <w:pPr>
        <w:ind w:left="709" w:hanging="709"/>
        <w:rPr>
          <w:rFonts w:cs="Times New Roman"/>
          <w:b/>
        </w:rPr>
      </w:pPr>
    </w:p>
    <w:tbl>
      <w:tblPr>
        <w:tblStyle w:val="Tabellenraster1"/>
        <w:tblW w:w="5000" w:type="pct"/>
        <w:tblLook w:val="04A0" w:firstRow="1" w:lastRow="0" w:firstColumn="1" w:lastColumn="0" w:noHBand="0" w:noVBand="1"/>
      </w:tblPr>
      <w:tblGrid>
        <w:gridCol w:w="4677"/>
        <w:gridCol w:w="4667"/>
      </w:tblGrid>
      <w:tr w:rsidR="0091516C" w:rsidRPr="00D251DF" w14:paraId="20EB3814" w14:textId="77777777" w:rsidTr="00A5559A">
        <w:trPr>
          <w:trHeight w:val="284"/>
        </w:trPr>
        <w:tc>
          <w:tcPr>
            <w:tcW w:w="4787" w:type="dxa"/>
            <w:vAlign w:val="center"/>
          </w:tcPr>
          <w:p w14:paraId="270B9799" w14:textId="77777777" w:rsidR="0091516C" w:rsidRPr="00D251DF" w:rsidRDefault="0091516C" w:rsidP="00A5559A">
            <w:pPr>
              <w:rPr>
                <w:i/>
              </w:rPr>
            </w:pPr>
            <w:r w:rsidRPr="00D251DF">
              <w:rPr>
                <w:i/>
              </w:rPr>
              <w:t>Movement</w:t>
            </w:r>
          </w:p>
        </w:tc>
        <w:tc>
          <w:tcPr>
            <w:tcW w:w="4783" w:type="dxa"/>
            <w:vAlign w:val="center"/>
          </w:tcPr>
          <w:p w14:paraId="02C37EFC" w14:textId="77777777" w:rsidR="0091516C" w:rsidRPr="00D251DF" w:rsidRDefault="0091516C" w:rsidP="00A5559A">
            <w:r>
              <w:t>South Yemeni</w:t>
            </w:r>
          </w:p>
        </w:tc>
      </w:tr>
      <w:tr w:rsidR="0091516C" w:rsidRPr="00D251DF" w14:paraId="0029E7C9" w14:textId="77777777" w:rsidTr="00A5559A">
        <w:trPr>
          <w:trHeight w:val="284"/>
        </w:trPr>
        <w:tc>
          <w:tcPr>
            <w:tcW w:w="4787" w:type="dxa"/>
            <w:vAlign w:val="center"/>
          </w:tcPr>
          <w:p w14:paraId="7AD32963" w14:textId="77777777" w:rsidR="0091516C" w:rsidRPr="00D251DF" w:rsidRDefault="0091516C" w:rsidP="00A5559A">
            <w:pPr>
              <w:rPr>
                <w:i/>
              </w:rPr>
            </w:pPr>
            <w:r w:rsidRPr="00D251DF">
              <w:rPr>
                <w:i/>
              </w:rPr>
              <w:t>Scenario</w:t>
            </w:r>
          </w:p>
        </w:tc>
        <w:tc>
          <w:tcPr>
            <w:tcW w:w="4783" w:type="dxa"/>
            <w:vAlign w:val="center"/>
          </w:tcPr>
          <w:p w14:paraId="11E7AECF" w14:textId="77777777" w:rsidR="0091516C" w:rsidRPr="00D251DF" w:rsidRDefault="0091516C" w:rsidP="00A5559A">
            <w:r>
              <w:t>No match/1:1</w:t>
            </w:r>
          </w:p>
        </w:tc>
      </w:tr>
      <w:tr w:rsidR="0091516C" w:rsidRPr="00D251DF" w14:paraId="26124629" w14:textId="77777777" w:rsidTr="00A5559A">
        <w:trPr>
          <w:trHeight w:val="284"/>
        </w:trPr>
        <w:tc>
          <w:tcPr>
            <w:tcW w:w="4787" w:type="dxa"/>
            <w:vAlign w:val="center"/>
          </w:tcPr>
          <w:p w14:paraId="62ADC06A" w14:textId="77777777" w:rsidR="0091516C" w:rsidRPr="00D251DF" w:rsidRDefault="0091516C" w:rsidP="00A5559A">
            <w:pPr>
              <w:rPr>
                <w:i/>
              </w:rPr>
            </w:pPr>
            <w:r w:rsidRPr="00D251DF">
              <w:rPr>
                <w:i/>
              </w:rPr>
              <w:t>EPR group(s)</w:t>
            </w:r>
          </w:p>
        </w:tc>
        <w:tc>
          <w:tcPr>
            <w:tcW w:w="4783" w:type="dxa"/>
            <w:vAlign w:val="center"/>
          </w:tcPr>
          <w:p w14:paraId="3EBB9DC4" w14:textId="77777777" w:rsidR="0091516C" w:rsidRDefault="0091516C" w:rsidP="00A5559A">
            <w:r>
              <w:t xml:space="preserve">1991-1994: </w:t>
            </w:r>
            <w:r w:rsidRPr="008B1598">
              <w:t>Southerners</w:t>
            </w:r>
          </w:p>
          <w:p w14:paraId="3EA048B6" w14:textId="6B353244" w:rsidR="0091516C" w:rsidRPr="00D251DF" w:rsidRDefault="0091516C" w:rsidP="00A5559A">
            <w:r>
              <w:t>1995-20</w:t>
            </w:r>
            <w:r w:rsidR="00A53EBA">
              <w:t>20</w:t>
            </w:r>
            <w:r>
              <w:t xml:space="preserve">: Southern </w:t>
            </w:r>
            <w:proofErr w:type="spellStart"/>
            <w:r>
              <w:t>Shafi’i</w:t>
            </w:r>
            <w:proofErr w:type="spellEnd"/>
          </w:p>
        </w:tc>
      </w:tr>
      <w:tr w:rsidR="0091516C" w:rsidRPr="00D251DF" w14:paraId="62406FDC" w14:textId="77777777" w:rsidTr="00A5559A">
        <w:trPr>
          <w:trHeight w:val="284"/>
        </w:trPr>
        <w:tc>
          <w:tcPr>
            <w:tcW w:w="4787" w:type="dxa"/>
            <w:vAlign w:val="center"/>
          </w:tcPr>
          <w:p w14:paraId="261A56C8" w14:textId="77777777" w:rsidR="0091516C" w:rsidRPr="00D251DF" w:rsidRDefault="0091516C" w:rsidP="00A5559A">
            <w:pPr>
              <w:rPr>
                <w:i/>
              </w:rPr>
            </w:pPr>
            <w:proofErr w:type="spellStart"/>
            <w:r>
              <w:rPr>
                <w:i/>
              </w:rPr>
              <w:t>Gwgroupid</w:t>
            </w:r>
            <w:proofErr w:type="spellEnd"/>
            <w:r>
              <w:rPr>
                <w:i/>
              </w:rPr>
              <w:t>(s)</w:t>
            </w:r>
          </w:p>
        </w:tc>
        <w:tc>
          <w:tcPr>
            <w:tcW w:w="4783" w:type="dxa"/>
            <w:vAlign w:val="center"/>
          </w:tcPr>
          <w:p w14:paraId="5B7FFFDC" w14:textId="77777777" w:rsidR="0091516C" w:rsidRDefault="0091516C" w:rsidP="00A5559A">
            <w:r>
              <w:t xml:space="preserve">1991-1994: </w:t>
            </w:r>
            <w:r w:rsidRPr="008B1598">
              <w:t>67801000</w:t>
            </w:r>
          </w:p>
          <w:p w14:paraId="58878685" w14:textId="26F76F21" w:rsidR="0091516C" w:rsidRPr="00457513" w:rsidRDefault="0091516C" w:rsidP="00A5559A">
            <w:r>
              <w:t>1995-20</w:t>
            </w:r>
            <w:r w:rsidR="00A53EBA">
              <w:t>20</w:t>
            </w:r>
            <w:r>
              <w:t xml:space="preserve">: </w:t>
            </w:r>
            <w:r w:rsidRPr="00AD19C6">
              <w:t>67807000</w:t>
            </w:r>
          </w:p>
        </w:tc>
      </w:tr>
    </w:tbl>
    <w:p w14:paraId="5D103911" w14:textId="77777777" w:rsidR="0091516C" w:rsidRDefault="0091516C" w:rsidP="0091516C">
      <w:pPr>
        <w:rPr>
          <w:rFonts w:cs="Times New Roman"/>
          <w:b/>
          <w:szCs w:val="22"/>
        </w:rPr>
      </w:pPr>
    </w:p>
    <w:p w14:paraId="526A1B77" w14:textId="77777777" w:rsidR="0091516C" w:rsidRDefault="0091516C" w:rsidP="0091516C">
      <w:pPr>
        <w:rPr>
          <w:rFonts w:cs="Times New Roman"/>
          <w:b/>
          <w:szCs w:val="22"/>
        </w:rPr>
      </w:pPr>
    </w:p>
    <w:p w14:paraId="71C8E769" w14:textId="4A8740F4" w:rsidR="00C524D6" w:rsidRDefault="00C524D6" w:rsidP="0019299C">
      <w:pPr>
        <w:ind w:left="709" w:hanging="709"/>
        <w:rPr>
          <w:rFonts w:cs="Times New Roman"/>
          <w:b/>
          <w:szCs w:val="22"/>
        </w:rPr>
      </w:pPr>
      <w:r>
        <w:rPr>
          <w:rFonts w:cs="Times New Roman"/>
          <w:b/>
          <w:szCs w:val="22"/>
        </w:rPr>
        <w:lastRenderedPageBreak/>
        <w:t>Power access</w:t>
      </w:r>
    </w:p>
    <w:p w14:paraId="37E0B3EE" w14:textId="41AA16A5" w:rsidR="00C524D6" w:rsidRPr="006F657B" w:rsidRDefault="00C524D6" w:rsidP="0019299C">
      <w:pPr>
        <w:ind w:left="709" w:hanging="709"/>
        <w:rPr>
          <w:rFonts w:cs="Times New Roman"/>
          <w:bCs/>
          <w:szCs w:val="22"/>
        </w:rPr>
      </w:pPr>
    </w:p>
    <w:p w14:paraId="03376C3F" w14:textId="77E97F49" w:rsidR="00540127" w:rsidRPr="00785E2D" w:rsidRDefault="00D07E9C" w:rsidP="0019299C">
      <w:pPr>
        <w:pStyle w:val="ListParagraph"/>
        <w:numPr>
          <w:ilvl w:val="0"/>
          <w:numId w:val="3"/>
        </w:numPr>
        <w:rPr>
          <w:rFonts w:cs="Times New Roman"/>
          <w:bCs/>
          <w:szCs w:val="22"/>
        </w:rPr>
      </w:pPr>
      <w:r>
        <w:rPr>
          <w:rFonts w:cs="Times New Roman"/>
          <w:bCs/>
          <w:szCs w:val="22"/>
        </w:rPr>
        <w:t xml:space="preserve">The Southerners/Southern </w:t>
      </w:r>
      <w:proofErr w:type="spellStart"/>
      <w:r>
        <w:rPr>
          <w:rFonts w:cs="Times New Roman"/>
          <w:bCs/>
          <w:szCs w:val="22"/>
        </w:rPr>
        <w:t>Shafi’i</w:t>
      </w:r>
      <w:proofErr w:type="spellEnd"/>
      <w:r>
        <w:rPr>
          <w:rFonts w:cs="Times New Roman"/>
          <w:bCs/>
          <w:szCs w:val="22"/>
        </w:rPr>
        <w:t xml:space="preserve"> are coded only from 1991 onwards in EPR. We found no evidence to suggest that power access or group size were significantly different in 1991 compared to 1990. [1990</w:t>
      </w:r>
      <w:r w:rsidR="00FD2168">
        <w:rPr>
          <w:rFonts w:cs="Times New Roman"/>
          <w:bCs/>
          <w:szCs w:val="22"/>
        </w:rPr>
        <w:t>-1994</w:t>
      </w:r>
      <w:r>
        <w:rPr>
          <w:rFonts w:cs="Times New Roman"/>
          <w:bCs/>
          <w:szCs w:val="22"/>
        </w:rPr>
        <w:t xml:space="preserve">: </w:t>
      </w:r>
      <w:r w:rsidRPr="00F2642F">
        <w:rPr>
          <w:rFonts w:cs="Times New Roman"/>
          <w:bCs/>
          <w:szCs w:val="22"/>
        </w:rPr>
        <w:t>senior partner</w:t>
      </w:r>
      <w:r w:rsidR="00FD2168" w:rsidRPr="00F2642F">
        <w:rPr>
          <w:rFonts w:cs="Times New Roman"/>
          <w:bCs/>
          <w:szCs w:val="22"/>
        </w:rPr>
        <w:t>; 1995-20</w:t>
      </w:r>
      <w:r w:rsidR="00E00C50" w:rsidRPr="00F2642F">
        <w:rPr>
          <w:rFonts w:cs="Times New Roman"/>
          <w:bCs/>
          <w:szCs w:val="22"/>
        </w:rPr>
        <w:t>20</w:t>
      </w:r>
      <w:r w:rsidR="00FD2168" w:rsidRPr="00F2642F">
        <w:rPr>
          <w:rFonts w:cs="Times New Roman"/>
          <w:bCs/>
          <w:szCs w:val="22"/>
        </w:rPr>
        <w:t>: junior partner</w:t>
      </w:r>
      <w:r w:rsidRPr="00F2642F">
        <w:rPr>
          <w:rFonts w:cs="Times New Roman"/>
          <w:bCs/>
          <w:szCs w:val="22"/>
        </w:rPr>
        <w:t>]</w:t>
      </w:r>
    </w:p>
    <w:p w14:paraId="38A0D38B" w14:textId="77777777" w:rsidR="00DC04E5" w:rsidRDefault="00DC04E5" w:rsidP="0019299C">
      <w:pPr>
        <w:ind w:left="709" w:hanging="709"/>
        <w:rPr>
          <w:rFonts w:cs="Times New Roman"/>
          <w:b/>
          <w:szCs w:val="22"/>
        </w:rPr>
      </w:pPr>
    </w:p>
    <w:p w14:paraId="14C95AD5" w14:textId="77777777" w:rsidR="00DC04E5" w:rsidRDefault="00DC04E5" w:rsidP="0019299C">
      <w:pPr>
        <w:ind w:left="709" w:hanging="709"/>
        <w:rPr>
          <w:rFonts w:cs="Times New Roman"/>
          <w:b/>
          <w:szCs w:val="22"/>
        </w:rPr>
      </w:pPr>
    </w:p>
    <w:p w14:paraId="14F83F2E" w14:textId="0CE0527E" w:rsidR="00C524D6" w:rsidRDefault="00C524D6" w:rsidP="0019299C">
      <w:pPr>
        <w:ind w:left="709" w:hanging="709"/>
        <w:rPr>
          <w:rFonts w:cs="Times New Roman"/>
          <w:b/>
          <w:szCs w:val="22"/>
        </w:rPr>
      </w:pPr>
      <w:r>
        <w:rPr>
          <w:rFonts w:cs="Times New Roman"/>
          <w:b/>
          <w:szCs w:val="22"/>
        </w:rPr>
        <w:t>Group size</w:t>
      </w:r>
    </w:p>
    <w:p w14:paraId="416A19B3" w14:textId="7FB366D1" w:rsidR="00B412DF" w:rsidRDefault="00B412DF" w:rsidP="0019299C">
      <w:pPr>
        <w:rPr>
          <w:rFonts w:cs="Times New Roman"/>
        </w:rPr>
      </w:pPr>
    </w:p>
    <w:p w14:paraId="207C6C92" w14:textId="302A4C61" w:rsidR="00C524D6" w:rsidRDefault="00D07E9C" w:rsidP="0019299C">
      <w:pPr>
        <w:pStyle w:val="ListParagraph"/>
        <w:numPr>
          <w:ilvl w:val="0"/>
          <w:numId w:val="3"/>
        </w:numPr>
        <w:rPr>
          <w:rFonts w:cs="Times New Roman"/>
          <w:bCs/>
          <w:szCs w:val="22"/>
        </w:rPr>
      </w:pPr>
      <w:r>
        <w:rPr>
          <w:rFonts w:cs="Times New Roman"/>
          <w:bCs/>
          <w:szCs w:val="22"/>
        </w:rPr>
        <w:t xml:space="preserve">The Southerners/Southern </w:t>
      </w:r>
      <w:proofErr w:type="spellStart"/>
      <w:r>
        <w:rPr>
          <w:rFonts w:cs="Times New Roman"/>
          <w:bCs/>
          <w:szCs w:val="22"/>
        </w:rPr>
        <w:t>Shafi’i</w:t>
      </w:r>
      <w:proofErr w:type="spellEnd"/>
      <w:r>
        <w:rPr>
          <w:rFonts w:cs="Times New Roman"/>
          <w:bCs/>
          <w:szCs w:val="22"/>
        </w:rPr>
        <w:t xml:space="preserve"> are coded only from 1991 onwards in EPR. We found no evidence to suggest that power access or group size were significantly different in 1991 compared to 1990. [0.1</w:t>
      </w:r>
      <w:r w:rsidR="00D677D8">
        <w:rPr>
          <w:rFonts w:cs="Times New Roman"/>
          <w:bCs/>
          <w:szCs w:val="22"/>
        </w:rPr>
        <w:t>8</w:t>
      </w:r>
      <w:r>
        <w:rPr>
          <w:rFonts w:cs="Times New Roman"/>
          <w:bCs/>
          <w:szCs w:val="22"/>
        </w:rPr>
        <w:t xml:space="preserve">] </w:t>
      </w:r>
    </w:p>
    <w:p w14:paraId="7570573A" w14:textId="77777777" w:rsidR="0091516C" w:rsidRDefault="0091516C" w:rsidP="0019299C">
      <w:pPr>
        <w:rPr>
          <w:rFonts w:cs="Times New Roman"/>
          <w:b/>
          <w:bCs/>
        </w:rPr>
      </w:pPr>
    </w:p>
    <w:p w14:paraId="378018D5" w14:textId="77777777" w:rsidR="0091516C" w:rsidRDefault="0091516C" w:rsidP="0019299C">
      <w:pPr>
        <w:rPr>
          <w:rFonts w:cs="Times New Roman"/>
          <w:b/>
          <w:bCs/>
        </w:rPr>
      </w:pPr>
    </w:p>
    <w:p w14:paraId="09BEED82" w14:textId="71CF4467" w:rsidR="00C524D6" w:rsidRPr="00C524D6" w:rsidRDefault="00C524D6" w:rsidP="0019299C">
      <w:pPr>
        <w:rPr>
          <w:rFonts w:cs="Times New Roman"/>
          <w:b/>
          <w:bCs/>
        </w:rPr>
      </w:pPr>
      <w:r w:rsidRPr="00C524D6">
        <w:rPr>
          <w:rFonts w:cs="Times New Roman"/>
          <w:b/>
          <w:bCs/>
        </w:rPr>
        <w:t>Regional concentration</w:t>
      </w:r>
    </w:p>
    <w:p w14:paraId="1E68C755" w14:textId="77777777" w:rsidR="00B412DF" w:rsidRPr="00F229B9" w:rsidRDefault="00B412DF" w:rsidP="0019299C">
      <w:pPr>
        <w:rPr>
          <w:rFonts w:cs="Times New Roman"/>
        </w:rPr>
      </w:pPr>
    </w:p>
    <w:p w14:paraId="46992874" w14:textId="2C0379D8" w:rsidR="00403CC9" w:rsidRPr="00785E2D" w:rsidRDefault="00FD2168" w:rsidP="0019299C">
      <w:pPr>
        <w:pStyle w:val="ListParagraph"/>
        <w:numPr>
          <w:ilvl w:val="0"/>
          <w:numId w:val="3"/>
        </w:numPr>
        <w:rPr>
          <w:rFonts w:cs="Times New Roman"/>
        </w:rPr>
      </w:pPr>
      <w:r>
        <w:rPr>
          <w:rFonts w:cs="Times New Roman"/>
        </w:rPr>
        <w:t xml:space="preserve">EPR codes regional concentration. </w:t>
      </w:r>
      <w:r w:rsidR="00F414D5">
        <w:rPr>
          <w:rFonts w:cs="Times New Roman"/>
        </w:rPr>
        <w:t>Minahan (2002: 702) suggests that the South Yemeni/</w:t>
      </w:r>
      <w:proofErr w:type="spellStart"/>
      <w:r w:rsidR="00F414D5">
        <w:rPr>
          <w:rFonts w:cs="Times New Roman"/>
        </w:rPr>
        <w:t>Hadhramis</w:t>
      </w:r>
      <w:proofErr w:type="spellEnd"/>
      <w:r w:rsidR="00F414D5">
        <w:rPr>
          <w:rFonts w:cs="Times New Roman"/>
        </w:rPr>
        <w:t xml:space="preserve"> made up 69% of the population of their regional base in southern and eastern Yemen; and that around 75% of all South Yemenis in Yemen live in that regional base. [regional concentration]</w:t>
      </w:r>
    </w:p>
    <w:p w14:paraId="2ABC7D8F" w14:textId="77777777" w:rsidR="00F414D5" w:rsidRDefault="00F414D5" w:rsidP="0019299C">
      <w:pPr>
        <w:rPr>
          <w:rFonts w:cs="Times New Roman"/>
        </w:rPr>
      </w:pPr>
    </w:p>
    <w:p w14:paraId="71BC5A79" w14:textId="77777777" w:rsidR="00B412DF" w:rsidRDefault="00364E03" w:rsidP="0019299C">
      <w:pPr>
        <w:rPr>
          <w:rFonts w:cs="Times New Roman"/>
          <w:b/>
        </w:rPr>
      </w:pPr>
      <w:r>
        <w:rPr>
          <w:rFonts w:cs="Times New Roman"/>
          <w:b/>
        </w:rPr>
        <w:t>Kin</w:t>
      </w:r>
    </w:p>
    <w:p w14:paraId="61E7C971" w14:textId="77777777" w:rsidR="00364E03" w:rsidRPr="006F657B" w:rsidRDefault="00364E03" w:rsidP="0019299C">
      <w:pPr>
        <w:rPr>
          <w:rFonts w:cs="Times New Roman"/>
          <w:bCs/>
        </w:rPr>
      </w:pPr>
    </w:p>
    <w:p w14:paraId="397C5689" w14:textId="6AEDA948" w:rsidR="000407A0" w:rsidRDefault="00F414D5" w:rsidP="0019299C">
      <w:pPr>
        <w:pStyle w:val="ListParagraph"/>
        <w:numPr>
          <w:ilvl w:val="0"/>
          <w:numId w:val="3"/>
        </w:numPr>
        <w:spacing w:after="60"/>
        <w:rPr>
          <w:rFonts w:cs="Times New Roman"/>
          <w:bCs/>
          <w:szCs w:val="22"/>
        </w:rPr>
      </w:pPr>
      <w:r>
        <w:rPr>
          <w:rFonts w:cs="Times New Roman"/>
          <w:bCs/>
          <w:szCs w:val="22"/>
        </w:rPr>
        <w:t xml:space="preserve">EPR codes ethnic kinship ties to Sunni Arabs in a range of other countries including Lebanon, </w:t>
      </w:r>
      <w:r w:rsidR="000407A0">
        <w:rPr>
          <w:rFonts w:cs="Times New Roman"/>
          <w:bCs/>
          <w:szCs w:val="22"/>
        </w:rPr>
        <w:t>Saudia Arabia, Egypt, Sudan, etc. [kin in neighboring country]</w:t>
      </w:r>
    </w:p>
    <w:p w14:paraId="18DB2185" w14:textId="77777777" w:rsidR="00785E2D" w:rsidRPr="00785E2D" w:rsidRDefault="00785E2D" w:rsidP="0019299C">
      <w:pPr>
        <w:spacing w:after="60"/>
        <w:rPr>
          <w:rFonts w:cs="Times New Roman"/>
          <w:bCs/>
          <w:szCs w:val="22"/>
        </w:rPr>
      </w:pPr>
    </w:p>
    <w:p w14:paraId="7FAE9909" w14:textId="77777777" w:rsidR="000407A0" w:rsidRDefault="000407A0" w:rsidP="0019299C">
      <w:pPr>
        <w:rPr>
          <w:rFonts w:cs="Times New Roman"/>
          <w:b/>
          <w:szCs w:val="22"/>
        </w:rPr>
      </w:pPr>
    </w:p>
    <w:p w14:paraId="5ABE3FB3" w14:textId="6163659B" w:rsidR="00794F7B" w:rsidRPr="0029438E" w:rsidRDefault="00794F7B" w:rsidP="0019299C">
      <w:pPr>
        <w:spacing w:after="60"/>
        <w:ind w:left="709" w:hanging="709"/>
        <w:rPr>
          <w:rFonts w:cs="Times New Roman"/>
          <w:b/>
          <w:szCs w:val="22"/>
        </w:rPr>
      </w:pPr>
      <w:r w:rsidRPr="00F3254B">
        <w:rPr>
          <w:rFonts w:cs="Times New Roman"/>
          <w:b/>
          <w:szCs w:val="22"/>
        </w:rPr>
        <w:t>Sources</w:t>
      </w:r>
    </w:p>
    <w:p w14:paraId="1291CA2C" w14:textId="00B1E465" w:rsidR="00F3254B" w:rsidRDefault="00F3254B" w:rsidP="0019299C">
      <w:pPr>
        <w:spacing w:after="60"/>
      </w:pPr>
    </w:p>
    <w:p w14:paraId="439A8073" w14:textId="77777777" w:rsidR="000A75EE" w:rsidRPr="00236C83" w:rsidRDefault="000A75EE" w:rsidP="000A75EE">
      <w:pPr>
        <w:spacing w:after="60"/>
        <w:ind w:left="709" w:hanging="709"/>
        <w:rPr>
          <w:szCs w:val="22"/>
        </w:rPr>
      </w:pPr>
      <w:r w:rsidRPr="00236C83">
        <w:rPr>
          <w:szCs w:val="22"/>
        </w:rPr>
        <w:t xml:space="preserve">Aden Historic Declaration (2017) ‘Aden Historic Declaration’ Southern Hirak [online], available from: http://www.southernhirak.org/2017/06/aden-historic-declaration.html [last accessed: 29 April 2022] </w:t>
      </w:r>
    </w:p>
    <w:p w14:paraId="193E8B21" w14:textId="77777777" w:rsidR="000A75EE" w:rsidRPr="00236C83" w:rsidRDefault="000A75EE" w:rsidP="000A75EE">
      <w:pPr>
        <w:spacing w:after="60"/>
        <w:ind w:left="709" w:hanging="709"/>
        <w:rPr>
          <w:szCs w:val="22"/>
        </w:rPr>
      </w:pPr>
      <w:r w:rsidRPr="00236C83">
        <w:rPr>
          <w:szCs w:val="22"/>
        </w:rPr>
        <w:t xml:space="preserve">Al Jazeera (2020), ‘Timeline: History of Separatism in Southern Yemen’ Al Jazeera [online], available from: https://www.aljazeera.com/news/2020/4/26/timeline-history-of-separatism-in-southern-yemen [last accessed: 29 April 2022] </w:t>
      </w:r>
    </w:p>
    <w:p w14:paraId="0F6C322E" w14:textId="77777777" w:rsidR="000A75EE" w:rsidRPr="00236C83" w:rsidRDefault="000A75EE" w:rsidP="000A75EE">
      <w:pPr>
        <w:spacing w:after="60"/>
        <w:ind w:left="709" w:hanging="709"/>
        <w:rPr>
          <w:szCs w:val="22"/>
        </w:rPr>
      </w:pPr>
      <w:r w:rsidRPr="00236C83">
        <w:rPr>
          <w:szCs w:val="22"/>
        </w:rPr>
        <w:t>Al-Hamdani, R. and Lackner, H. (2020) ‘War and Pieces: Political Divides in Southern Yemen’ European Council on Foreign Relations [online], available from: https://ecfr.eu/publication/war_and_pieces_political_divides_in_southern_yemen/ [last accessed:29 April 2022]</w:t>
      </w:r>
    </w:p>
    <w:p w14:paraId="44CDC33C" w14:textId="77777777" w:rsidR="000A75EE" w:rsidRPr="00651FA2" w:rsidRDefault="000A75EE" w:rsidP="000A75EE">
      <w:pPr>
        <w:tabs>
          <w:tab w:val="left" w:pos="930"/>
        </w:tabs>
        <w:spacing w:after="60"/>
        <w:ind w:left="709" w:hanging="709"/>
        <w:rPr>
          <w:lang w:val="en-GB"/>
        </w:rPr>
      </w:pPr>
      <w:r>
        <w:rPr>
          <w:lang w:val="en-GB"/>
        </w:rPr>
        <w:t xml:space="preserve">Al-Saafin, Linah (2019) ‘Who Are South Yemen’s Separatists?’ </w:t>
      </w:r>
      <w:r>
        <w:rPr>
          <w:i/>
          <w:lang w:val="en-GB"/>
        </w:rPr>
        <w:t xml:space="preserve">Al Jazeera </w:t>
      </w:r>
      <w:r>
        <w:rPr>
          <w:lang w:val="en-GB"/>
        </w:rPr>
        <w:t xml:space="preserve">[online], available from: </w:t>
      </w:r>
      <w:hyperlink r:id="rId27" w:history="1">
        <w:r w:rsidRPr="005342B1">
          <w:rPr>
            <w:rStyle w:val="Hyperlink"/>
            <w:lang w:val="en-GB"/>
          </w:rPr>
          <w:t>https://www.aljazeera.com/news/2019/9/20/who-are-south-yemens-separatists</w:t>
        </w:r>
      </w:hyperlink>
      <w:r>
        <w:rPr>
          <w:lang w:val="en-GB"/>
        </w:rPr>
        <w:t xml:space="preserve"> [last accessed: 21.8.2022]</w:t>
      </w:r>
    </w:p>
    <w:p w14:paraId="24C7BB4D" w14:textId="77777777" w:rsidR="000A75EE" w:rsidRPr="00236C83" w:rsidRDefault="000A75EE" w:rsidP="000A75EE">
      <w:pPr>
        <w:spacing w:after="60"/>
        <w:ind w:left="709" w:hanging="709"/>
        <w:rPr>
          <w:szCs w:val="22"/>
        </w:rPr>
      </w:pPr>
      <w:r w:rsidRPr="00236C83">
        <w:rPr>
          <w:szCs w:val="22"/>
        </w:rPr>
        <w:t xml:space="preserve">Baron, A. and </w:t>
      </w:r>
      <w:proofErr w:type="spellStart"/>
      <w:r w:rsidRPr="00236C83">
        <w:rPr>
          <w:szCs w:val="22"/>
        </w:rPr>
        <w:t>Basalma</w:t>
      </w:r>
      <w:proofErr w:type="spellEnd"/>
      <w:r w:rsidRPr="00236C83">
        <w:rPr>
          <w:szCs w:val="22"/>
        </w:rPr>
        <w:t>, M. (2021) ‘The Case of Hadhramaut: Can Local Efforts Transcend Wartime Divides in Yemen?’ Century Foundation [online], available from: https://tcf.org/content/report/case-hadhramaut-can-local-efforts-transcend-wartime-divides-yemen/?agreed=1 [last accessed: 29 April 2022]</w:t>
      </w:r>
    </w:p>
    <w:p w14:paraId="1D693F08" w14:textId="77777777" w:rsidR="000A75EE" w:rsidRPr="00651FA2" w:rsidRDefault="000A75EE" w:rsidP="000A75EE">
      <w:pPr>
        <w:spacing w:after="60"/>
        <w:ind w:left="709" w:hanging="709"/>
        <w:rPr>
          <w:rFonts w:cs="Times New Roman"/>
          <w:szCs w:val="22"/>
          <w:lang w:val="en-GB"/>
        </w:rPr>
      </w:pPr>
      <w:r w:rsidRPr="00651FA2">
        <w:rPr>
          <w:rFonts w:cs="Times New Roman"/>
          <w:szCs w:val="22"/>
          <w:lang w:val="en-GB"/>
        </w:rPr>
        <w:t xml:space="preserve">Baron, Adam et al. (2016). ‘The Essential Role of Local Governance in Yemen’ </w:t>
      </w:r>
      <w:r w:rsidRPr="00651FA2">
        <w:rPr>
          <w:rFonts w:cs="Times New Roman"/>
          <w:i/>
          <w:szCs w:val="22"/>
          <w:lang w:val="en-GB"/>
        </w:rPr>
        <w:t xml:space="preserve">Adam Smith International and Sana’a Centre </w:t>
      </w:r>
      <w:r w:rsidRPr="00651FA2">
        <w:rPr>
          <w:rFonts w:cs="Times New Roman"/>
          <w:szCs w:val="22"/>
          <w:lang w:val="en-GB"/>
        </w:rPr>
        <w:t xml:space="preserve">[online], available from: </w:t>
      </w:r>
      <w:hyperlink r:id="rId28" w:history="1">
        <w:r w:rsidRPr="00651FA2">
          <w:rPr>
            <w:rStyle w:val="Hyperlink"/>
            <w:rFonts w:cs="Times New Roman"/>
            <w:szCs w:val="22"/>
            <w:lang w:val="en-GB"/>
          </w:rPr>
          <w:t>https://adamsmithinternational.com/app/uploads/2019/03/the_essential_role_of_local_EN-Oct-.pdf</w:t>
        </w:r>
      </w:hyperlink>
      <w:r w:rsidRPr="00651FA2">
        <w:rPr>
          <w:rFonts w:cs="Times New Roman"/>
          <w:szCs w:val="22"/>
          <w:lang w:val="en-GB"/>
        </w:rPr>
        <w:t xml:space="preserve"> [last accessed: 21.8.2022]</w:t>
      </w:r>
    </w:p>
    <w:p w14:paraId="69A3E960" w14:textId="77777777" w:rsidR="000A75EE" w:rsidRPr="00236C83" w:rsidRDefault="000A75EE" w:rsidP="000A75EE">
      <w:pPr>
        <w:spacing w:after="60"/>
        <w:ind w:left="709" w:hanging="709"/>
        <w:rPr>
          <w:szCs w:val="22"/>
        </w:rPr>
      </w:pPr>
      <w:r w:rsidRPr="00236C83">
        <w:rPr>
          <w:szCs w:val="22"/>
        </w:rPr>
        <w:t xml:space="preserve">Brehony, Noel (2011). </w:t>
      </w:r>
      <w:r w:rsidRPr="00236C83">
        <w:rPr>
          <w:i/>
          <w:iCs/>
          <w:szCs w:val="22"/>
        </w:rPr>
        <w:t xml:space="preserve">Yemen divided: The story of a failed state in South Arabia. </w:t>
      </w:r>
      <w:r w:rsidRPr="00236C83">
        <w:rPr>
          <w:szCs w:val="22"/>
        </w:rPr>
        <w:t>New York: IB Tauris.</w:t>
      </w:r>
    </w:p>
    <w:p w14:paraId="503CEF0D" w14:textId="77777777" w:rsidR="000A75EE" w:rsidRPr="00236C83" w:rsidRDefault="000A75EE" w:rsidP="000A75EE">
      <w:pPr>
        <w:spacing w:after="60"/>
        <w:ind w:left="709" w:hanging="709"/>
        <w:rPr>
          <w:szCs w:val="22"/>
        </w:rPr>
      </w:pPr>
      <w:r w:rsidRPr="00236C83">
        <w:rPr>
          <w:szCs w:val="22"/>
        </w:rPr>
        <w:t xml:space="preserve">Britannica (2020) ‘Socotra’ </w:t>
      </w:r>
      <w:proofErr w:type="spellStart"/>
      <w:r w:rsidRPr="00236C83">
        <w:rPr>
          <w:szCs w:val="22"/>
        </w:rPr>
        <w:t>Encyclopaedia</w:t>
      </w:r>
      <w:proofErr w:type="spellEnd"/>
      <w:r w:rsidRPr="00236C83">
        <w:rPr>
          <w:szCs w:val="22"/>
        </w:rPr>
        <w:t xml:space="preserve"> Britannica [online], available from: https://www.britannica.com/place/Socotra [last accessed: 29 April 2022]</w:t>
      </w:r>
    </w:p>
    <w:p w14:paraId="4CABA422" w14:textId="77777777" w:rsidR="000A75EE" w:rsidRPr="00236C83" w:rsidRDefault="000A75EE" w:rsidP="000A75EE">
      <w:pPr>
        <w:spacing w:after="60"/>
        <w:ind w:left="709" w:hanging="709"/>
        <w:rPr>
          <w:rFonts w:cs="Times New Roman"/>
          <w:szCs w:val="22"/>
        </w:rPr>
      </w:pPr>
      <w:proofErr w:type="spellStart"/>
      <w:r w:rsidRPr="00236C83">
        <w:rPr>
          <w:rFonts w:cs="Times New Roman"/>
          <w:szCs w:val="22"/>
        </w:rPr>
        <w:lastRenderedPageBreak/>
        <w:t>Cederman</w:t>
      </w:r>
      <w:proofErr w:type="spellEnd"/>
      <w:r w:rsidRPr="00236C83">
        <w:rPr>
          <w:rFonts w:cs="Times New Roman"/>
          <w:szCs w:val="22"/>
        </w:rPr>
        <w:t xml:space="preserve">, Lars-Erik, Andreas Wimmer, and Brian Min (2010). “Why Do Ethnic Groups Rebel: New Data and Analysis.” </w:t>
      </w:r>
      <w:r w:rsidRPr="00236C83">
        <w:rPr>
          <w:rFonts w:cs="Times New Roman"/>
          <w:i/>
          <w:iCs/>
          <w:szCs w:val="22"/>
        </w:rPr>
        <w:t>World Politics</w:t>
      </w:r>
      <w:r w:rsidRPr="00236C83">
        <w:rPr>
          <w:rFonts w:cs="Times New Roman"/>
          <w:szCs w:val="22"/>
        </w:rPr>
        <w:t xml:space="preserve"> </w:t>
      </w:r>
      <w:r w:rsidRPr="00236C83">
        <w:rPr>
          <w:rFonts w:cs="Times New Roman"/>
          <w:iCs/>
          <w:szCs w:val="22"/>
        </w:rPr>
        <w:t>62</w:t>
      </w:r>
      <w:r w:rsidRPr="00236C83">
        <w:rPr>
          <w:rFonts w:cs="Times New Roman"/>
          <w:szCs w:val="22"/>
        </w:rPr>
        <w:t>(1): 87-119.</w:t>
      </w:r>
    </w:p>
    <w:p w14:paraId="6FC48118" w14:textId="77777777" w:rsidR="000A75EE" w:rsidRPr="00236C83" w:rsidRDefault="000A75EE" w:rsidP="000A75EE">
      <w:pPr>
        <w:spacing w:after="60"/>
        <w:ind w:left="709" w:hanging="709"/>
        <w:rPr>
          <w:szCs w:val="22"/>
        </w:rPr>
      </w:pPr>
      <w:r w:rsidRPr="00236C83">
        <w:rPr>
          <w:szCs w:val="22"/>
        </w:rPr>
        <w:t>Clark, V. (2010), Yemen: Dancing on the Heads of Snakes (Hampshire: Yale University Press)</w:t>
      </w:r>
    </w:p>
    <w:p w14:paraId="1D430013" w14:textId="6CBE3D3A" w:rsidR="000A75EE" w:rsidRPr="000A75EE" w:rsidRDefault="000A75EE" w:rsidP="000A75EE">
      <w:pPr>
        <w:pStyle w:val="NormalWeb"/>
        <w:spacing w:before="0" w:beforeAutospacing="0" w:after="60" w:afterAutospacing="0"/>
        <w:ind w:left="709" w:hanging="709"/>
        <w:rPr>
          <w:sz w:val="22"/>
          <w:szCs w:val="22"/>
          <w:lang w:val="en-US"/>
        </w:rPr>
      </w:pPr>
      <w:r>
        <w:rPr>
          <w:sz w:val="22"/>
          <w:szCs w:val="22"/>
          <w:lang w:val="en-US"/>
        </w:rPr>
        <w:t xml:space="preserve">Critical Threats (2018). “Yemen Situation Report.” </w:t>
      </w:r>
      <w:r w:rsidR="00000000">
        <w:fldChar w:fldCharType="begin"/>
      </w:r>
      <w:r w:rsidR="00000000" w:rsidRPr="001D585C">
        <w:rPr>
          <w:lang w:val="en-US"/>
        </w:rPr>
        <w:instrText>HYPERLINK "https://www.criticalthreats.org/briefs/yemen-situation-report/tracker-unrest-in-southern-yemen"</w:instrText>
      </w:r>
      <w:r w:rsidR="00000000">
        <w:fldChar w:fldCharType="separate"/>
      </w:r>
      <w:r w:rsidRPr="000A75EE">
        <w:rPr>
          <w:rStyle w:val="Hyperlink"/>
          <w:sz w:val="22"/>
          <w:szCs w:val="22"/>
          <w:lang w:val="en-US"/>
        </w:rPr>
        <w:t>https://www.criticalthreats.org/briefs/yemen-situation-report/tracker-unrest-in-southern-yemen</w:t>
      </w:r>
      <w:r w:rsidR="00000000">
        <w:rPr>
          <w:rStyle w:val="Hyperlink"/>
          <w:sz w:val="22"/>
          <w:szCs w:val="22"/>
          <w:lang w:val="en-US"/>
        </w:rPr>
        <w:fldChar w:fldCharType="end"/>
      </w:r>
      <w:r w:rsidRPr="000A75EE">
        <w:rPr>
          <w:sz w:val="22"/>
          <w:szCs w:val="22"/>
          <w:lang w:val="en-US"/>
        </w:rPr>
        <w:t xml:space="preserve"> [Augus</w:t>
      </w:r>
      <w:r>
        <w:rPr>
          <w:sz w:val="22"/>
          <w:szCs w:val="22"/>
          <w:lang w:val="en-US"/>
        </w:rPr>
        <w:t>t 24, 2022].</w:t>
      </w:r>
    </w:p>
    <w:p w14:paraId="60996044" w14:textId="1B621818" w:rsidR="000A75EE" w:rsidRPr="00236C83" w:rsidRDefault="000A75EE" w:rsidP="000A75EE">
      <w:pPr>
        <w:pStyle w:val="NormalWeb"/>
        <w:spacing w:before="0" w:beforeAutospacing="0" w:after="60" w:afterAutospacing="0"/>
        <w:ind w:left="709" w:hanging="709"/>
        <w:rPr>
          <w:sz w:val="22"/>
          <w:szCs w:val="22"/>
          <w:lang w:val="en-US"/>
        </w:rPr>
      </w:pPr>
      <w:r w:rsidRPr="00236C83">
        <w:rPr>
          <w:sz w:val="22"/>
          <w:szCs w:val="22"/>
          <w:lang w:val="en-US"/>
        </w:rPr>
        <w:t xml:space="preserve">Curran, Cody, Nathaniel </w:t>
      </w:r>
      <w:proofErr w:type="spellStart"/>
      <w:r w:rsidRPr="00236C83">
        <w:rPr>
          <w:sz w:val="22"/>
          <w:szCs w:val="22"/>
          <w:lang w:val="en-US"/>
        </w:rPr>
        <w:t>Horadam</w:t>
      </w:r>
      <w:proofErr w:type="spellEnd"/>
      <w:r w:rsidRPr="00236C83">
        <w:rPr>
          <w:sz w:val="22"/>
          <w:szCs w:val="22"/>
          <w:lang w:val="en-US"/>
        </w:rPr>
        <w:t xml:space="preserve">, Paul Jarvis, Matthew Lu, David Schapiro, and Miles Taylor (2011). “Tracker: Unrest in Southern Yemen.” </w:t>
      </w:r>
      <w:r w:rsidRPr="00236C83">
        <w:rPr>
          <w:i/>
          <w:sz w:val="22"/>
          <w:szCs w:val="22"/>
          <w:lang w:val="en-US"/>
        </w:rPr>
        <w:t xml:space="preserve">Critical Threats. </w:t>
      </w:r>
      <w:r w:rsidRPr="00236C83">
        <w:rPr>
          <w:sz w:val="22"/>
          <w:szCs w:val="22"/>
          <w:lang w:val="en-US"/>
        </w:rPr>
        <w:t xml:space="preserve">August 16. </w:t>
      </w:r>
      <w:r w:rsidR="00000000">
        <w:fldChar w:fldCharType="begin"/>
      </w:r>
      <w:r w:rsidR="00000000" w:rsidRPr="001D585C">
        <w:rPr>
          <w:lang w:val="en-US"/>
        </w:rPr>
        <w:instrText>HYPERLINK "http://www.criticalthreats.org/yemen/tracker-unrest-southern-yemen"</w:instrText>
      </w:r>
      <w:r w:rsidR="00000000">
        <w:fldChar w:fldCharType="separate"/>
      </w:r>
      <w:r w:rsidRPr="00236C83">
        <w:rPr>
          <w:rStyle w:val="Hyperlink"/>
          <w:sz w:val="22"/>
          <w:szCs w:val="22"/>
          <w:lang w:val="en-US"/>
        </w:rPr>
        <w:t>http://www.criticalthreats.org/yemen/tracker-unrest-southern-yemen</w:t>
      </w:r>
      <w:r w:rsidR="00000000">
        <w:rPr>
          <w:rStyle w:val="Hyperlink"/>
          <w:sz w:val="22"/>
          <w:szCs w:val="22"/>
          <w:lang w:val="en-US"/>
        </w:rPr>
        <w:fldChar w:fldCharType="end"/>
      </w:r>
      <w:r w:rsidRPr="00236C83">
        <w:rPr>
          <w:sz w:val="22"/>
          <w:szCs w:val="22"/>
          <w:lang w:val="en-US"/>
        </w:rPr>
        <w:t xml:space="preserve"> [December 13, 2013].</w:t>
      </w:r>
    </w:p>
    <w:p w14:paraId="770EF5EE" w14:textId="77777777" w:rsidR="000A75EE" w:rsidRPr="00651FA2" w:rsidRDefault="000A75EE" w:rsidP="000A75EE">
      <w:pPr>
        <w:tabs>
          <w:tab w:val="left" w:pos="930"/>
        </w:tabs>
        <w:spacing w:after="60"/>
        <w:ind w:left="709" w:hanging="709"/>
        <w:rPr>
          <w:i/>
          <w:lang w:val="en-GB"/>
        </w:rPr>
      </w:pPr>
      <w:r>
        <w:rPr>
          <w:lang w:val="en-GB"/>
        </w:rPr>
        <w:t xml:space="preserve">Day, Stephen (2010) ‘The Political Challenge of Yemen’s Southern Movement’ </w:t>
      </w:r>
      <w:r>
        <w:rPr>
          <w:i/>
          <w:lang w:val="en-GB"/>
        </w:rPr>
        <w:t xml:space="preserve">Carnegie Endowment for International Peace: Middle East Program </w:t>
      </w:r>
      <w:r>
        <w:rPr>
          <w:lang w:val="en-GB"/>
        </w:rPr>
        <w:t xml:space="preserve">Number 108 [online], available from: </w:t>
      </w:r>
      <w:hyperlink r:id="rId29" w:history="1">
        <w:r w:rsidRPr="005342B1">
          <w:rPr>
            <w:rStyle w:val="Hyperlink"/>
            <w:lang w:val="en-GB"/>
          </w:rPr>
          <w:t>https://carnegieendowment.org/files/yemen_south_movement.pdf</w:t>
        </w:r>
      </w:hyperlink>
      <w:r>
        <w:rPr>
          <w:lang w:val="en-GB"/>
        </w:rPr>
        <w:t xml:space="preserve"> [last accessed: 21.8.2022]</w:t>
      </w:r>
      <w:r>
        <w:rPr>
          <w:i/>
          <w:lang w:val="en-GB"/>
        </w:rPr>
        <w:t xml:space="preserve"> </w:t>
      </w:r>
    </w:p>
    <w:p w14:paraId="13FD9483" w14:textId="77777777" w:rsidR="000A75EE" w:rsidRPr="00236C83" w:rsidRDefault="000A75EE" w:rsidP="000A75EE">
      <w:pPr>
        <w:spacing w:after="60"/>
        <w:ind w:left="709" w:hanging="709"/>
        <w:rPr>
          <w:szCs w:val="22"/>
        </w:rPr>
      </w:pPr>
      <w:r w:rsidRPr="00236C83">
        <w:rPr>
          <w:szCs w:val="22"/>
        </w:rPr>
        <w:t>Dresch, P. (2000), A History of Modern Yemen (Cambridge, Cambridge University Press)</w:t>
      </w:r>
    </w:p>
    <w:p w14:paraId="0237328C" w14:textId="77777777" w:rsidR="000A75EE" w:rsidRPr="00236C83" w:rsidRDefault="000A75EE" w:rsidP="000A75EE">
      <w:pPr>
        <w:pStyle w:val="NormalWeb"/>
        <w:spacing w:before="0" w:beforeAutospacing="0" w:after="60" w:afterAutospacing="0"/>
        <w:ind w:left="709" w:hanging="709"/>
        <w:rPr>
          <w:i/>
          <w:iCs/>
          <w:sz w:val="22"/>
          <w:szCs w:val="22"/>
          <w:lang w:val="en-US"/>
        </w:rPr>
      </w:pPr>
      <w:r w:rsidRPr="00236C83">
        <w:rPr>
          <w:sz w:val="22"/>
          <w:szCs w:val="22"/>
          <w:lang w:val="en-US"/>
        </w:rPr>
        <w:t xml:space="preserve">GADM (2019). Database of Global Administrative Boundaries, Version 3.6. </w:t>
      </w:r>
      <w:r w:rsidR="00000000">
        <w:fldChar w:fldCharType="begin"/>
      </w:r>
      <w:r w:rsidR="00000000" w:rsidRPr="001D585C">
        <w:rPr>
          <w:lang w:val="en-US"/>
        </w:rPr>
        <w:instrText>HYPERLINK "https://gadm.org/"</w:instrText>
      </w:r>
      <w:r w:rsidR="00000000">
        <w:fldChar w:fldCharType="separate"/>
      </w:r>
      <w:r w:rsidRPr="00236C83">
        <w:rPr>
          <w:rStyle w:val="Hyperlink"/>
          <w:sz w:val="22"/>
          <w:szCs w:val="22"/>
          <w:lang w:val="en-US"/>
        </w:rPr>
        <w:t>https://gadm.org/</w:t>
      </w:r>
      <w:r w:rsidR="00000000">
        <w:rPr>
          <w:rStyle w:val="Hyperlink"/>
          <w:sz w:val="22"/>
          <w:szCs w:val="22"/>
          <w:lang w:val="en-US"/>
        </w:rPr>
        <w:fldChar w:fldCharType="end"/>
      </w:r>
      <w:r w:rsidRPr="00236C83">
        <w:rPr>
          <w:sz w:val="22"/>
          <w:szCs w:val="22"/>
          <w:lang w:val="en-US"/>
        </w:rPr>
        <w:t xml:space="preserve"> [November 19, 2021].</w:t>
      </w:r>
    </w:p>
    <w:p w14:paraId="1A9AC6E1" w14:textId="77777777" w:rsidR="000A75EE" w:rsidRPr="00236C83" w:rsidRDefault="000A75EE" w:rsidP="000A75EE">
      <w:pPr>
        <w:pStyle w:val="NormalWeb"/>
        <w:spacing w:before="0" w:beforeAutospacing="0" w:after="60" w:afterAutospacing="0"/>
        <w:ind w:left="709" w:hanging="709"/>
        <w:rPr>
          <w:sz w:val="22"/>
          <w:szCs w:val="22"/>
          <w:lang w:val="fr-CH"/>
        </w:rPr>
      </w:pPr>
      <w:r w:rsidRPr="00236C83">
        <w:rPr>
          <w:sz w:val="22"/>
          <w:szCs w:val="22"/>
          <w:lang w:val="en-US"/>
        </w:rPr>
        <w:t xml:space="preserve">Hammond, Andrew (2012). “South Yemen Separatists See New Chance after Saleh’s Demise.” </w:t>
      </w:r>
      <w:r w:rsidRPr="00236C83">
        <w:rPr>
          <w:i/>
          <w:iCs/>
          <w:sz w:val="22"/>
          <w:szCs w:val="22"/>
          <w:lang w:val="en-US"/>
        </w:rPr>
        <w:t>Reuters</w:t>
      </w:r>
      <w:r w:rsidRPr="00236C83">
        <w:rPr>
          <w:sz w:val="22"/>
          <w:szCs w:val="22"/>
          <w:lang w:val="en-US"/>
        </w:rPr>
        <w:t xml:space="preserve">. October 11. </w:t>
      </w:r>
      <w:r w:rsidR="00000000">
        <w:fldChar w:fldCharType="begin"/>
      </w:r>
      <w:r w:rsidR="00000000" w:rsidRPr="001D585C">
        <w:rPr>
          <w:lang w:val="en-US"/>
        </w:rPr>
        <w:instrText>HYPERLINK "http://www.reuters.com/article/2012/10/11/us-yemen-south-separatism-idUSBRE89A14M20121011"</w:instrText>
      </w:r>
      <w:r w:rsidR="00000000">
        <w:fldChar w:fldCharType="separate"/>
      </w:r>
      <w:r w:rsidRPr="00236C83">
        <w:rPr>
          <w:rStyle w:val="Hyperlink"/>
          <w:sz w:val="22"/>
          <w:szCs w:val="22"/>
          <w:lang w:val="fr-CH"/>
        </w:rPr>
        <w:t>http://www.reuters.com/article/2012/10/11/us-yemen-south-separatism-idUSBRE89A14M20121011</w:t>
      </w:r>
      <w:r w:rsidR="00000000">
        <w:rPr>
          <w:rStyle w:val="Hyperlink"/>
          <w:sz w:val="22"/>
          <w:szCs w:val="22"/>
          <w:lang w:val="fr-CH"/>
        </w:rPr>
        <w:fldChar w:fldCharType="end"/>
      </w:r>
      <w:r w:rsidRPr="00236C83">
        <w:rPr>
          <w:sz w:val="22"/>
          <w:szCs w:val="22"/>
          <w:lang w:val="fr-CH"/>
        </w:rPr>
        <w:t xml:space="preserve"> [June 24, 2014].</w:t>
      </w:r>
    </w:p>
    <w:p w14:paraId="3ECC6B0D" w14:textId="77777777" w:rsidR="000A75EE" w:rsidRPr="00236C83" w:rsidRDefault="000A75EE" w:rsidP="000A75EE">
      <w:pPr>
        <w:spacing w:after="60"/>
        <w:ind w:left="709" w:hanging="709"/>
        <w:rPr>
          <w:szCs w:val="22"/>
        </w:rPr>
      </w:pPr>
      <w:proofErr w:type="spellStart"/>
      <w:r w:rsidRPr="00236C83">
        <w:rPr>
          <w:szCs w:val="22"/>
        </w:rPr>
        <w:t>Heibach</w:t>
      </w:r>
      <w:proofErr w:type="spellEnd"/>
      <w:r w:rsidRPr="00236C83">
        <w:rPr>
          <w:szCs w:val="22"/>
        </w:rPr>
        <w:t>, J. (2021) ‘The Future of South Yemen and the Southern Transitional Council’ GIGA Focus Middle East No. 2 [online], available from: https://www.giga-hamburg.de/en/publications/giga-focus/the-future-of-south-yemen-and-the-southern-transitional-council [last accessed: 29 April 2022]</w:t>
      </w:r>
    </w:p>
    <w:p w14:paraId="43339CE0" w14:textId="77777777" w:rsidR="000A75EE" w:rsidRPr="00236C83" w:rsidRDefault="000A75EE" w:rsidP="000A75EE">
      <w:pPr>
        <w:pStyle w:val="NormalWeb"/>
        <w:spacing w:before="0" w:beforeAutospacing="0" w:after="60" w:afterAutospacing="0"/>
        <w:ind w:left="709" w:hanging="709"/>
        <w:rPr>
          <w:color w:val="000000"/>
          <w:sz w:val="22"/>
          <w:szCs w:val="22"/>
          <w:lang w:val="en-US"/>
        </w:rPr>
      </w:pPr>
      <w:r w:rsidRPr="00236C83">
        <w:rPr>
          <w:sz w:val="22"/>
          <w:szCs w:val="22"/>
          <w:lang w:val="en-US"/>
        </w:rPr>
        <w:t xml:space="preserve">Hewitt, Christopher, and Tom Cheetham (2000). </w:t>
      </w:r>
      <w:r w:rsidRPr="00236C83">
        <w:rPr>
          <w:i/>
          <w:sz w:val="22"/>
          <w:szCs w:val="22"/>
          <w:lang w:val="en-US"/>
        </w:rPr>
        <w:t>Encyclopedia of Modern Separatist Movements.</w:t>
      </w:r>
      <w:r w:rsidRPr="00236C83">
        <w:rPr>
          <w:sz w:val="22"/>
          <w:szCs w:val="22"/>
          <w:lang w:val="en-US"/>
        </w:rPr>
        <w:t xml:space="preserve"> Santa Barbara, CA: ABC-CLIO, pp. 324-325.</w:t>
      </w:r>
    </w:p>
    <w:p w14:paraId="2E161E55" w14:textId="77777777" w:rsidR="000A75EE" w:rsidRPr="00236C83" w:rsidRDefault="000A75EE" w:rsidP="000A75EE">
      <w:pPr>
        <w:spacing w:after="60"/>
        <w:ind w:left="709" w:hanging="709"/>
        <w:rPr>
          <w:szCs w:val="22"/>
        </w:rPr>
      </w:pPr>
      <w:r w:rsidRPr="00236C83">
        <w:rPr>
          <w:szCs w:val="22"/>
        </w:rPr>
        <w:t>H</w:t>
      </w:r>
      <w:r>
        <w:rPr>
          <w:szCs w:val="22"/>
        </w:rPr>
        <w:t>ill, G. (</w:t>
      </w:r>
      <w:r w:rsidRPr="00236C83">
        <w:rPr>
          <w:szCs w:val="22"/>
        </w:rPr>
        <w:t>2017), Yemen Endures (London: C. Hurst &amp; Co. (Publishers) Ltd.)</w:t>
      </w:r>
    </w:p>
    <w:p w14:paraId="21967E5E" w14:textId="77777777" w:rsidR="000A75EE" w:rsidRPr="00236C83" w:rsidRDefault="000A75EE" w:rsidP="000A75EE">
      <w:pPr>
        <w:spacing w:after="60"/>
        <w:ind w:left="709" w:hanging="709"/>
        <w:rPr>
          <w:szCs w:val="22"/>
        </w:rPr>
      </w:pPr>
      <w:r w:rsidRPr="00236C83">
        <w:rPr>
          <w:szCs w:val="22"/>
        </w:rPr>
        <w:t>Horton, M. (2010) ‘The Growing Separatist Threat in Yemen’s Hadramawt Governorate’ Terrorism Monitor 8:40</w:t>
      </w:r>
    </w:p>
    <w:p w14:paraId="257AADAC" w14:textId="77777777" w:rsidR="000A75EE" w:rsidRPr="00651FA2" w:rsidRDefault="000A75EE" w:rsidP="000A75EE">
      <w:pPr>
        <w:tabs>
          <w:tab w:val="left" w:pos="930"/>
        </w:tabs>
        <w:spacing w:after="60"/>
        <w:ind w:left="709" w:hanging="709"/>
        <w:rPr>
          <w:lang w:val="en-GB"/>
        </w:rPr>
      </w:pPr>
      <w:r>
        <w:rPr>
          <w:lang w:val="en-GB"/>
        </w:rPr>
        <w:t xml:space="preserve">Human Rights Watch (2009) ‘In the Name of Unity: The Yemeni Government’s Brutal Response to Southern Movement Protests’ </w:t>
      </w:r>
      <w:r>
        <w:rPr>
          <w:i/>
          <w:lang w:val="en-GB"/>
        </w:rPr>
        <w:t xml:space="preserve">Human Rights Watch </w:t>
      </w:r>
      <w:r>
        <w:rPr>
          <w:lang w:val="en-GB"/>
        </w:rPr>
        <w:t xml:space="preserve">[online], available from: </w:t>
      </w:r>
      <w:hyperlink r:id="rId30" w:history="1">
        <w:r w:rsidRPr="005342B1">
          <w:rPr>
            <w:rStyle w:val="Hyperlink"/>
            <w:lang w:val="en-GB"/>
          </w:rPr>
          <w:t>https://www.hrw.org/report/2009/12/15/name-unity/yemeni-governments-brutal-response-southern-movement-protests</w:t>
        </w:r>
      </w:hyperlink>
      <w:r>
        <w:rPr>
          <w:lang w:val="en-GB"/>
        </w:rPr>
        <w:t xml:space="preserve"> [last accessed: 21.8.2022]</w:t>
      </w:r>
    </w:p>
    <w:p w14:paraId="6E656AEF" w14:textId="77777777" w:rsidR="000A75EE" w:rsidRPr="00236C83" w:rsidRDefault="000A75EE" w:rsidP="000A75EE">
      <w:pPr>
        <w:spacing w:after="60"/>
        <w:ind w:left="709" w:hanging="709"/>
        <w:rPr>
          <w:szCs w:val="22"/>
        </w:rPr>
      </w:pPr>
      <w:r w:rsidRPr="00236C83">
        <w:rPr>
          <w:szCs w:val="22"/>
        </w:rPr>
        <w:t xml:space="preserve">Jalal, I. (2021) ‘The Riyadh Agreement: Yemen’s New Cabinet and What Remains to be Done’ </w:t>
      </w:r>
      <w:r w:rsidRPr="00236C83">
        <w:rPr>
          <w:i/>
          <w:iCs/>
          <w:szCs w:val="22"/>
        </w:rPr>
        <w:t xml:space="preserve">MEI </w:t>
      </w:r>
      <w:r w:rsidRPr="00236C83">
        <w:rPr>
          <w:szCs w:val="22"/>
        </w:rPr>
        <w:t xml:space="preserve">[online], available from: </w:t>
      </w:r>
      <w:hyperlink r:id="rId31" w:history="1">
        <w:r w:rsidRPr="00236C83">
          <w:rPr>
            <w:rStyle w:val="Hyperlink"/>
            <w:szCs w:val="22"/>
          </w:rPr>
          <w:t>https://www.mei.edu/publications/riyadh-agreement-yemens-new-cabinet-and-what-remains-be-done</w:t>
        </w:r>
      </w:hyperlink>
      <w:r w:rsidRPr="00236C83">
        <w:rPr>
          <w:szCs w:val="22"/>
        </w:rPr>
        <w:t xml:space="preserve"> [last accessed: 29 April 2022]</w:t>
      </w:r>
    </w:p>
    <w:p w14:paraId="43C44FA8" w14:textId="77777777" w:rsidR="000A75EE" w:rsidRPr="00236C83" w:rsidRDefault="000A75EE" w:rsidP="000A75EE">
      <w:pPr>
        <w:pStyle w:val="NormalWeb"/>
        <w:spacing w:before="0" w:beforeAutospacing="0" w:after="60" w:afterAutospacing="0"/>
        <w:ind w:left="709" w:hanging="709"/>
        <w:rPr>
          <w:sz w:val="22"/>
          <w:szCs w:val="22"/>
          <w:lang w:val="en-US"/>
        </w:rPr>
      </w:pPr>
      <w:proofErr w:type="spellStart"/>
      <w:r w:rsidRPr="00236C83">
        <w:rPr>
          <w:sz w:val="22"/>
          <w:szCs w:val="22"/>
          <w:lang w:val="en-US"/>
        </w:rPr>
        <w:t>Keesing’s</w:t>
      </w:r>
      <w:proofErr w:type="spellEnd"/>
      <w:r w:rsidRPr="00236C83">
        <w:rPr>
          <w:sz w:val="22"/>
          <w:szCs w:val="22"/>
          <w:lang w:val="en-US"/>
        </w:rPr>
        <w:t xml:space="preserve"> Record of World Events. </w:t>
      </w:r>
      <w:r w:rsidR="00000000">
        <w:fldChar w:fldCharType="begin"/>
      </w:r>
      <w:r w:rsidR="00000000" w:rsidRPr="001D585C">
        <w:rPr>
          <w:lang w:val="en-US"/>
        </w:rPr>
        <w:instrText>HYPERLINK "http://keesings.gvpi.net/keesings/lpext.dll?f=templates&amp;fn=main-h.htm&amp;2.0/"</w:instrText>
      </w:r>
      <w:r w:rsidR="00000000">
        <w:fldChar w:fldCharType="separate"/>
      </w:r>
      <w:r w:rsidRPr="00236C83">
        <w:rPr>
          <w:rStyle w:val="Hyperlink"/>
          <w:sz w:val="22"/>
          <w:szCs w:val="22"/>
          <w:lang w:val="en-US"/>
        </w:rPr>
        <w:t>http://www.keesings.com</w:t>
      </w:r>
      <w:r w:rsidR="00000000">
        <w:rPr>
          <w:rStyle w:val="Hyperlink"/>
          <w:sz w:val="22"/>
          <w:szCs w:val="22"/>
          <w:lang w:val="en-US"/>
        </w:rPr>
        <w:fldChar w:fldCharType="end"/>
      </w:r>
      <w:r w:rsidRPr="00236C83">
        <w:rPr>
          <w:sz w:val="22"/>
          <w:szCs w:val="22"/>
          <w:lang w:val="en-US"/>
        </w:rPr>
        <w:t xml:space="preserve"> [June 23, 2003].</w:t>
      </w:r>
    </w:p>
    <w:p w14:paraId="5D30AB2F" w14:textId="77777777" w:rsidR="000A75EE" w:rsidRPr="00236C83" w:rsidRDefault="000A75EE" w:rsidP="000A75EE">
      <w:pPr>
        <w:pStyle w:val="NormalWeb"/>
        <w:spacing w:before="0" w:beforeAutospacing="0" w:after="60" w:afterAutospacing="0"/>
        <w:ind w:left="709" w:hanging="709"/>
        <w:rPr>
          <w:sz w:val="22"/>
          <w:szCs w:val="22"/>
          <w:lang w:val="en-US"/>
        </w:rPr>
      </w:pPr>
      <w:proofErr w:type="spellStart"/>
      <w:r w:rsidRPr="00236C83">
        <w:rPr>
          <w:sz w:val="22"/>
          <w:szCs w:val="22"/>
          <w:lang w:val="en-US"/>
        </w:rPr>
        <w:t>Kostiner</w:t>
      </w:r>
      <w:proofErr w:type="spellEnd"/>
      <w:r w:rsidRPr="00236C83">
        <w:rPr>
          <w:sz w:val="22"/>
          <w:szCs w:val="22"/>
          <w:lang w:val="en-US"/>
        </w:rPr>
        <w:t xml:space="preserve">, Joseph (1996). </w:t>
      </w:r>
      <w:r w:rsidRPr="00236C83">
        <w:rPr>
          <w:i/>
          <w:sz w:val="22"/>
          <w:szCs w:val="22"/>
          <w:lang w:val="en-US"/>
        </w:rPr>
        <w:t>Yemen: The Tortuous Quest for Unity, 1990-1994.</w:t>
      </w:r>
      <w:r w:rsidRPr="00236C83">
        <w:rPr>
          <w:sz w:val="22"/>
          <w:szCs w:val="22"/>
          <w:lang w:val="en-US"/>
        </w:rPr>
        <w:t xml:space="preserve"> London: The Royal Institute of International Affairs.</w:t>
      </w:r>
    </w:p>
    <w:p w14:paraId="2F240B08" w14:textId="77777777" w:rsidR="000A75EE" w:rsidRPr="00236C83" w:rsidRDefault="000A75EE" w:rsidP="000A75EE">
      <w:pPr>
        <w:spacing w:after="60"/>
        <w:ind w:left="709" w:hanging="709"/>
        <w:rPr>
          <w:szCs w:val="22"/>
        </w:rPr>
      </w:pPr>
      <w:r w:rsidRPr="00236C83">
        <w:rPr>
          <w:szCs w:val="22"/>
        </w:rPr>
        <w:t>Lackner, H. (2017), Yemen in Crisis (London: Saqi Books)</w:t>
      </w:r>
    </w:p>
    <w:p w14:paraId="14C80D66" w14:textId="77777777" w:rsidR="000A75EE" w:rsidRPr="00236C83" w:rsidRDefault="000A75EE" w:rsidP="000A75EE">
      <w:pPr>
        <w:pStyle w:val="NormalWeb"/>
        <w:spacing w:before="0" w:beforeAutospacing="0" w:after="60" w:afterAutospacing="0"/>
        <w:ind w:left="709" w:hanging="709"/>
        <w:rPr>
          <w:sz w:val="22"/>
          <w:szCs w:val="22"/>
          <w:lang w:val="en-US"/>
        </w:rPr>
      </w:pPr>
      <w:r w:rsidRPr="00236C83">
        <w:rPr>
          <w:sz w:val="22"/>
          <w:szCs w:val="22"/>
          <w:lang w:val="fr-CH"/>
        </w:rPr>
        <w:t xml:space="preserve">Lexis Nexis. </w:t>
      </w:r>
      <w:r w:rsidR="00000000">
        <w:fldChar w:fldCharType="begin"/>
      </w:r>
      <w:r w:rsidR="00000000" w:rsidRPr="001D585C">
        <w:rPr>
          <w:lang w:val="en-US"/>
        </w:rPr>
        <w:instrText>HYPERLINK "http://www.lexis-nexis.com"</w:instrText>
      </w:r>
      <w:r w:rsidR="00000000">
        <w:fldChar w:fldCharType="separate"/>
      </w:r>
      <w:r w:rsidRPr="00236C83">
        <w:rPr>
          <w:rStyle w:val="Hyperlink"/>
          <w:sz w:val="22"/>
          <w:szCs w:val="22"/>
          <w:lang w:val="en-US"/>
        </w:rPr>
        <w:t>http://www.lexis-nexis.com</w:t>
      </w:r>
      <w:r w:rsidR="00000000">
        <w:rPr>
          <w:rStyle w:val="Hyperlink"/>
          <w:sz w:val="22"/>
          <w:szCs w:val="22"/>
          <w:lang w:val="en-US"/>
        </w:rPr>
        <w:fldChar w:fldCharType="end"/>
      </w:r>
      <w:r w:rsidRPr="00236C83">
        <w:rPr>
          <w:sz w:val="22"/>
          <w:szCs w:val="22"/>
          <w:lang w:val="en-US"/>
        </w:rPr>
        <w:t xml:space="preserve"> [December 10, 2013].</w:t>
      </w:r>
    </w:p>
    <w:p w14:paraId="59B6AD36" w14:textId="77777777" w:rsidR="000A75EE" w:rsidRPr="00236C83" w:rsidRDefault="000A75EE" w:rsidP="000A75EE">
      <w:pPr>
        <w:spacing w:after="60"/>
        <w:ind w:left="709" w:hanging="709"/>
        <w:rPr>
          <w:szCs w:val="22"/>
        </w:rPr>
      </w:pPr>
      <w:r w:rsidRPr="00236C83">
        <w:rPr>
          <w:szCs w:val="22"/>
        </w:rPr>
        <w:t>Middle East Eye (2017). “Yemen war: Demands for southern independence split coalition.” http://www.middleeasteye.net/news/yemen-war-how-independence-calls-could-split-coalition-1812416955 [August 25, 2017].</w:t>
      </w:r>
    </w:p>
    <w:p w14:paraId="501FE26F" w14:textId="77777777" w:rsidR="000A75EE" w:rsidRPr="00236C83" w:rsidRDefault="000A75EE" w:rsidP="000A75EE">
      <w:pPr>
        <w:pStyle w:val="NormalWeb"/>
        <w:spacing w:before="0" w:beforeAutospacing="0" w:after="60" w:afterAutospacing="0"/>
        <w:ind w:left="709" w:hanging="709"/>
        <w:rPr>
          <w:sz w:val="22"/>
          <w:szCs w:val="22"/>
          <w:lang w:val="en-US"/>
        </w:rPr>
      </w:pPr>
      <w:r w:rsidRPr="00236C83">
        <w:rPr>
          <w:sz w:val="22"/>
          <w:szCs w:val="22"/>
          <w:lang w:val="en-US"/>
        </w:rPr>
        <w:t xml:space="preserve">Minahan, James (1996). </w:t>
      </w:r>
      <w:r w:rsidRPr="00236C83">
        <w:rPr>
          <w:i/>
          <w:sz w:val="22"/>
          <w:szCs w:val="22"/>
          <w:lang w:val="en-US"/>
        </w:rPr>
        <w:t xml:space="preserve">Nations without States: A Historical Dictionary of Contemporary National Movements. </w:t>
      </w:r>
      <w:r w:rsidRPr="00236C83">
        <w:rPr>
          <w:sz w:val="22"/>
          <w:szCs w:val="22"/>
          <w:lang w:val="en-US"/>
        </w:rPr>
        <w:t>London: Greenwood Press, pp. 542-544.</w:t>
      </w:r>
    </w:p>
    <w:p w14:paraId="723E92CA" w14:textId="77777777" w:rsidR="000A75EE" w:rsidRPr="00236C83" w:rsidRDefault="000A75EE" w:rsidP="000A75EE">
      <w:pPr>
        <w:pStyle w:val="NormalWeb"/>
        <w:spacing w:before="0" w:beforeAutospacing="0" w:after="60" w:afterAutospacing="0"/>
        <w:ind w:left="709" w:hanging="709"/>
        <w:rPr>
          <w:sz w:val="22"/>
          <w:szCs w:val="22"/>
          <w:lang w:val="en-US"/>
        </w:rPr>
      </w:pPr>
      <w:r w:rsidRPr="00236C83">
        <w:rPr>
          <w:sz w:val="22"/>
          <w:szCs w:val="22"/>
          <w:lang w:val="en-US"/>
        </w:rPr>
        <w:t xml:space="preserve">Minahan, James (2002). </w:t>
      </w:r>
      <w:r w:rsidRPr="00236C83">
        <w:rPr>
          <w:i/>
          <w:sz w:val="22"/>
          <w:szCs w:val="22"/>
          <w:lang w:val="en-US"/>
        </w:rPr>
        <w:t xml:space="preserve">Encyclopedia of the Stateless Nations. </w:t>
      </w:r>
      <w:r w:rsidRPr="00236C83">
        <w:rPr>
          <w:sz w:val="22"/>
          <w:szCs w:val="22"/>
          <w:lang w:val="en-US"/>
        </w:rPr>
        <w:t>Westport, CT: Greenwood Press, pp. 702-707.</w:t>
      </w:r>
    </w:p>
    <w:p w14:paraId="659240BF" w14:textId="77777777" w:rsidR="000A75EE" w:rsidRPr="00236C83" w:rsidRDefault="000A75EE" w:rsidP="000A75EE">
      <w:pPr>
        <w:spacing w:after="60"/>
        <w:ind w:left="709" w:hanging="709"/>
        <w:rPr>
          <w:rFonts w:eastAsia="Times New Roman" w:cs="Times New Roman"/>
          <w:iCs/>
          <w:szCs w:val="22"/>
        </w:rPr>
      </w:pPr>
      <w:r w:rsidRPr="00236C83">
        <w:rPr>
          <w:rFonts w:eastAsia="Times New Roman" w:cs="Times New Roman"/>
          <w:szCs w:val="22"/>
        </w:rPr>
        <w:t>Minahan, James (2016).</w:t>
      </w:r>
      <w:r w:rsidRPr="00236C83">
        <w:rPr>
          <w:rFonts w:eastAsia="Times"/>
          <w:i/>
          <w:szCs w:val="22"/>
        </w:rPr>
        <w:t xml:space="preserve"> Encyclopedia of Stateless Nations. Second Edition. </w:t>
      </w:r>
      <w:r w:rsidRPr="00236C83">
        <w:rPr>
          <w:rFonts w:eastAsia="Times"/>
          <w:iCs/>
          <w:szCs w:val="22"/>
        </w:rPr>
        <w:t>Santa Barbara, CA: Greenwood Press.</w:t>
      </w:r>
    </w:p>
    <w:p w14:paraId="36CAD8D9" w14:textId="77777777" w:rsidR="000A75EE" w:rsidRPr="00236C83" w:rsidRDefault="000A75EE" w:rsidP="000A75EE">
      <w:pPr>
        <w:spacing w:after="60"/>
        <w:ind w:left="709" w:hanging="709"/>
        <w:rPr>
          <w:szCs w:val="22"/>
        </w:rPr>
      </w:pPr>
      <w:r w:rsidRPr="00236C83">
        <w:rPr>
          <w:szCs w:val="22"/>
        </w:rPr>
        <w:t>Peace Agreements Database (n.d.) ‘Yemen Timeline’ Peace Agreements Database [online], available from: https://www.peaceagreements.org/yemen-timeline [last accessed: 29 April 2022]</w:t>
      </w:r>
    </w:p>
    <w:p w14:paraId="1EEDC12B" w14:textId="77777777" w:rsidR="000A75EE" w:rsidRPr="00236C83" w:rsidRDefault="000A75EE" w:rsidP="000A75EE">
      <w:pPr>
        <w:spacing w:after="60"/>
        <w:ind w:left="709" w:hanging="709"/>
        <w:rPr>
          <w:szCs w:val="22"/>
        </w:rPr>
      </w:pPr>
      <w:proofErr w:type="spellStart"/>
      <w:r w:rsidRPr="00236C83">
        <w:rPr>
          <w:szCs w:val="22"/>
        </w:rPr>
        <w:t>Peutz</w:t>
      </w:r>
      <w:proofErr w:type="spellEnd"/>
      <w:r w:rsidRPr="00236C83">
        <w:rPr>
          <w:szCs w:val="22"/>
        </w:rPr>
        <w:t>, N. (2012) ‘Revolution in Socotra’ Middle East Report 263</w:t>
      </w:r>
    </w:p>
    <w:p w14:paraId="22185B46" w14:textId="77777777" w:rsidR="000A75EE" w:rsidRPr="00236C83" w:rsidRDefault="000A75EE" w:rsidP="000A75EE">
      <w:pPr>
        <w:spacing w:after="60"/>
        <w:ind w:left="709" w:hanging="709"/>
        <w:rPr>
          <w:szCs w:val="22"/>
        </w:rPr>
      </w:pPr>
      <w:r w:rsidRPr="00236C83">
        <w:rPr>
          <w:szCs w:val="22"/>
        </w:rPr>
        <w:lastRenderedPageBreak/>
        <w:t>Reuters (2011). “South Yemen politician wants referendum on secession.” http://www.reuters.com/article/us-yemen-south-separatism/south-yemen-separatists-see-new-chance-after-salehs-demise-idUSBRE89A14M20121011 [August 25, 2017].</w:t>
      </w:r>
    </w:p>
    <w:p w14:paraId="1B725F4E" w14:textId="77777777" w:rsidR="000A75EE" w:rsidRPr="00236C83" w:rsidRDefault="000A75EE" w:rsidP="000A75EE">
      <w:pPr>
        <w:spacing w:after="60"/>
        <w:ind w:left="709" w:hanging="709"/>
        <w:rPr>
          <w:szCs w:val="22"/>
        </w:rPr>
      </w:pPr>
      <w:r w:rsidRPr="00236C83">
        <w:rPr>
          <w:szCs w:val="22"/>
        </w:rPr>
        <w:t>Reuters (2012). “South Yemen separatists see new chance after Saleh's demise.” http://www.reuters.com/article/us-yemen-south-separatism/south-yemen-separatists-see-new-chance-after-salehs-demise-idUSBRE89A14M20121011 [August 25, 2017].</w:t>
      </w:r>
    </w:p>
    <w:p w14:paraId="0DBEE2C5" w14:textId="77777777" w:rsidR="000A75EE" w:rsidRPr="00236C83" w:rsidRDefault="000A75EE" w:rsidP="000A75EE">
      <w:pPr>
        <w:pStyle w:val="NormalWeb"/>
        <w:spacing w:before="0" w:beforeAutospacing="0" w:after="60" w:afterAutospacing="0"/>
        <w:ind w:left="709" w:hanging="709"/>
        <w:rPr>
          <w:sz w:val="22"/>
          <w:szCs w:val="22"/>
          <w:lang w:val="en-US"/>
        </w:rPr>
      </w:pPr>
      <w:bookmarkStart w:id="5" w:name="_Hlk87882186"/>
      <w:r w:rsidRPr="00236C83">
        <w:rPr>
          <w:sz w:val="22"/>
          <w:szCs w:val="22"/>
          <w:lang w:val="en-US"/>
        </w:rPr>
        <w:t xml:space="preserve">Roth, Christopher F. (2015). </w:t>
      </w:r>
      <w:r w:rsidRPr="00236C83">
        <w:rPr>
          <w:i/>
          <w:iCs/>
          <w:sz w:val="22"/>
          <w:szCs w:val="22"/>
          <w:lang w:val="en-US"/>
        </w:rPr>
        <w:t>Let's Split! A Complete Guide to Separatist Movements and Aspirant Nations, from Abkhazia to Zanzibar.</w:t>
      </w:r>
      <w:r w:rsidRPr="00236C83">
        <w:rPr>
          <w:sz w:val="22"/>
          <w:szCs w:val="22"/>
          <w:lang w:val="en-US"/>
        </w:rPr>
        <w:t xml:space="preserve"> Sacramento, CA: Litwin Books.</w:t>
      </w:r>
    </w:p>
    <w:bookmarkEnd w:id="5"/>
    <w:p w14:paraId="6F0E5237" w14:textId="77777777" w:rsidR="000A75EE" w:rsidRPr="00236C83" w:rsidRDefault="000A75EE" w:rsidP="000A75EE">
      <w:pPr>
        <w:pStyle w:val="NormalWeb"/>
        <w:spacing w:before="0" w:beforeAutospacing="0" w:after="60" w:afterAutospacing="0"/>
        <w:ind w:left="709" w:hanging="709"/>
        <w:rPr>
          <w:sz w:val="22"/>
          <w:szCs w:val="22"/>
          <w:lang w:val="en-US"/>
        </w:rPr>
      </w:pPr>
      <w:r w:rsidRPr="00236C83">
        <w:rPr>
          <w:sz w:val="22"/>
          <w:szCs w:val="22"/>
          <w:lang w:val="en-US"/>
        </w:rPr>
        <w:t xml:space="preserve">Salama, Vivian (2013). “South Yemen Separatists Call For Secession.” </w:t>
      </w:r>
      <w:r w:rsidRPr="00236C83">
        <w:rPr>
          <w:i/>
          <w:iCs/>
          <w:sz w:val="22"/>
          <w:szCs w:val="22"/>
          <w:lang w:val="en-US"/>
        </w:rPr>
        <w:t>Al-Monitor</w:t>
      </w:r>
      <w:r w:rsidRPr="00236C83">
        <w:rPr>
          <w:sz w:val="22"/>
          <w:szCs w:val="22"/>
          <w:lang w:val="en-US"/>
        </w:rPr>
        <w:t xml:space="preserve">. March 1. </w:t>
      </w:r>
      <w:r w:rsidR="00000000">
        <w:fldChar w:fldCharType="begin"/>
      </w:r>
      <w:r w:rsidR="00000000" w:rsidRPr="001D585C">
        <w:rPr>
          <w:lang w:val="en-US"/>
        </w:rPr>
        <w:instrText>HYPERLINK "http://www.al-monitor.com/pulse/originals/2013/03/south-yemen-aden-separatist-movement-clashes.html"</w:instrText>
      </w:r>
      <w:r w:rsidR="00000000">
        <w:fldChar w:fldCharType="separate"/>
      </w:r>
      <w:r w:rsidRPr="00236C83">
        <w:rPr>
          <w:rStyle w:val="Hyperlink"/>
          <w:sz w:val="22"/>
          <w:szCs w:val="22"/>
          <w:lang w:val="en-US"/>
        </w:rPr>
        <w:t>http://www.al-monitor.com/pulse/originals/2013/03/south-yemen-aden-separatist-movement-clashes.html</w:t>
      </w:r>
      <w:r w:rsidR="00000000">
        <w:rPr>
          <w:rStyle w:val="Hyperlink"/>
          <w:sz w:val="22"/>
          <w:szCs w:val="22"/>
          <w:lang w:val="en-US"/>
        </w:rPr>
        <w:fldChar w:fldCharType="end"/>
      </w:r>
      <w:r w:rsidRPr="00236C83">
        <w:rPr>
          <w:sz w:val="22"/>
          <w:szCs w:val="22"/>
          <w:lang w:val="en-US"/>
        </w:rPr>
        <w:t xml:space="preserve"> [June 24, 2014].</w:t>
      </w:r>
    </w:p>
    <w:p w14:paraId="13750018" w14:textId="77777777" w:rsidR="000A75EE" w:rsidRPr="00236C83" w:rsidRDefault="000A75EE" w:rsidP="000A75EE">
      <w:pPr>
        <w:spacing w:after="60"/>
        <w:ind w:left="709" w:hanging="709"/>
        <w:rPr>
          <w:szCs w:val="22"/>
        </w:rPr>
      </w:pPr>
      <w:r w:rsidRPr="00236C83">
        <w:rPr>
          <w:szCs w:val="22"/>
          <w:lang w:val="de-CH"/>
        </w:rPr>
        <w:t xml:space="preserve">Sambanis, Nicholas, &amp; </w:t>
      </w:r>
      <w:proofErr w:type="spellStart"/>
      <w:r w:rsidRPr="00236C83">
        <w:rPr>
          <w:szCs w:val="22"/>
          <w:lang w:val="de-CH"/>
        </w:rPr>
        <w:t>Schulhofer</w:t>
      </w:r>
      <w:proofErr w:type="spellEnd"/>
      <w:r w:rsidRPr="00236C83">
        <w:rPr>
          <w:szCs w:val="22"/>
          <w:lang w:val="de-CH"/>
        </w:rPr>
        <w:t xml:space="preserve">-Wohl, Jonas (2019). </w:t>
      </w:r>
      <w:r w:rsidRPr="00236C83">
        <w:rPr>
          <w:szCs w:val="22"/>
        </w:rPr>
        <w:t xml:space="preserve">“Sovereignty Rupture as a Central Concept in Quantitative Measures of Civil War.” </w:t>
      </w:r>
      <w:r w:rsidRPr="00236C83">
        <w:rPr>
          <w:i/>
          <w:iCs/>
          <w:szCs w:val="22"/>
        </w:rPr>
        <w:t>Journal of Conflict Resolution</w:t>
      </w:r>
      <w:r w:rsidRPr="00236C83">
        <w:rPr>
          <w:szCs w:val="22"/>
        </w:rPr>
        <w:t xml:space="preserve"> 63(6): 1542–1578. </w:t>
      </w:r>
    </w:p>
    <w:p w14:paraId="0A9152CB" w14:textId="77777777" w:rsidR="000A75EE" w:rsidRPr="00236C83" w:rsidRDefault="000A75EE" w:rsidP="000A75EE">
      <w:pPr>
        <w:spacing w:after="60"/>
        <w:ind w:left="709" w:hanging="709"/>
        <w:rPr>
          <w:szCs w:val="22"/>
        </w:rPr>
      </w:pPr>
      <w:r w:rsidRPr="00236C83">
        <w:rPr>
          <w:szCs w:val="22"/>
        </w:rPr>
        <w:t xml:space="preserve">Shoup, John A. (2011). </w:t>
      </w:r>
      <w:r w:rsidRPr="00236C83">
        <w:rPr>
          <w:i/>
          <w:iCs/>
          <w:szCs w:val="22"/>
        </w:rPr>
        <w:t xml:space="preserve">Ethnic Groups of Africa and the Middle East. An Encyclopedia. </w:t>
      </w:r>
      <w:r w:rsidRPr="00236C83">
        <w:rPr>
          <w:szCs w:val="22"/>
        </w:rPr>
        <w:t>Santa Barbara, CA: ABC-CLIO.</w:t>
      </w:r>
    </w:p>
    <w:p w14:paraId="0421E076" w14:textId="77777777" w:rsidR="000A75EE" w:rsidRPr="00236C83" w:rsidRDefault="000A75EE" w:rsidP="000A75EE">
      <w:pPr>
        <w:spacing w:after="60"/>
        <w:ind w:left="709" w:hanging="709"/>
        <w:rPr>
          <w:szCs w:val="22"/>
        </w:rPr>
      </w:pPr>
      <w:r w:rsidRPr="00236C83">
        <w:rPr>
          <w:szCs w:val="22"/>
        </w:rPr>
        <w:t>Stracke, N. and Haidar, M. S. (2010) ‘The Southern Movement in Yemen’ Gulf Research Center [online], available from: https://www.files.ethz.ch/isn/120929/The_Southern_Movement_in_Yemen_4796.pdf [last accessed: 29 April 2022]</w:t>
      </w:r>
    </w:p>
    <w:p w14:paraId="22ACB083" w14:textId="77777777" w:rsidR="000A75EE" w:rsidRPr="00236C83" w:rsidRDefault="000A75EE" w:rsidP="000A75EE">
      <w:pPr>
        <w:widowControl w:val="0"/>
        <w:spacing w:after="60"/>
        <w:ind w:left="709" w:hanging="709"/>
        <w:rPr>
          <w:rFonts w:cs="Times New Roman"/>
          <w:szCs w:val="22"/>
        </w:rPr>
      </w:pPr>
      <w:r w:rsidRPr="00236C83">
        <w:rPr>
          <w:rFonts w:cs="Times New Roman"/>
          <w:szCs w:val="22"/>
        </w:rPr>
        <w:t xml:space="preserve">Vogt, Manuel, Nils-Christian Bormann, Seraina Rüegger, Lars-Erik </w:t>
      </w:r>
      <w:proofErr w:type="spellStart"/>
      <w:r w:rsidRPr="00236C83">
        <w:rPr>
          <w:rFonts w:cs="Times New Roman"/>
          <w:szCs w:val="22"/>
        </w:rPr>
        <w:t>Cederman</w:t>
      </w:r>
      <w:proofErr w:type="spellEnd"/>
      <w:r w:rsidRPr="00236C83">
        <w:rPr>
          <w:rFonts w:cs="Times New Roman"/>
          <w:szCs w:val="22"/>
        </w:rPr>
        <w:t xml:space="preserve">, Philipp Hunziker, and Luc Girardin (2015). “Integrating Data on Ethnicity, Geography, and Conflict: The Ethnic Power Relations Data Set Family.” </w:t>
      </w:r>
      <w:r w:rsidRPr="00236C83">
        <w:rPr>
          <w:rFonts w:cs="Times New Roman"/>
          <w:i/>
          <w:iCs/>
          <w:szCs w:val="22"/>
        </w:rPr>
        <w:t>Journal of Conflict Resolution</w:t>
      </w:r>
      <w:r w:rsidRPr="00236C83">
        <w:rPr>
          <w:rFonts w:cs="Times New Roman"/>
          <w:szCs w:val="22"/>
        </w:rPr>
        <w:t xml:space="preserve"> 59(7): 1327-1342.</w:t>
      </w:r>
    </w:p>
    <w:p w14:paraId="38F73710" w14:textId="496AA5A9" w:rsidR="000A75EE" w:rsidRDefault="000A75EE" w:rsidP="000A75EE">
      <w:pPr>
        <w:spacing w:after="60"/>
        <w:ind w:left="709" w:hanging="709"/>
        <w:rPr>
          <w:szCs w:val="22"/>
        </w:rPr>
      </w:pPr>
      <w:r>
        <w:rPr>
          <w:szCs w:val="22"/>
        </w:rPr>
        <w:t xml:space="preserve">Wikipedia (2022). “South Yemen Insurgency.” </w:t>
      </w:r>
      <w:hyperlink r:id="rId32" w:history="1">
        <w:r w:rsidRPr="008D7838">
          <w:rPr>
            <w:rStyle w:val="Hyperlink"/>
            <w:szCs w:val="22"/>
          </w:rPr>
          <w:t>https://en.wikipedia.org/wiki/South_Yemen_insurgency</w:t>
        </w:r>
      </w:hyperlink>
      <w:r>
        <w:rPr>
          <w:szCs w:val="22"/>
        </w:rPr>
        <w:t xml:space="preserve"> [August 24, 2022].</w:t>
      </w:r>
    </w:p>
    <w:p w14:paraId="55FC5A6B" w14:textId="4D25A9FD" w:rsidR="000A75EE" w:rsidRDefault="000A75EE" w:rsidP="000A75EE">
      <w:pPr>
        <w:spacing w:after="60"/>
        <w:ind w:left="709" w:hanging="709"/>
        <w:rPr>
          <w:szCs w:val="22"/>
        </w:rPr>
      </w:pPr>
      <w:r w:rsidRPr="00236C83">
        <w:rPr>
          <w:szCs w:val="22"/>
        </w:rPr>
        <w:t>Younes, A. (2019) ‘Analysis: The Divergent Saudi-UAE Strategies in Yemen’, Al Jazeera [online], available from: https://www.aljazeera.com/news/2019/8/31/analysis-the-divergent-saudi-uae-strategies-in-yemen [last accessed: 29 April 2022].</w:t>
      </w:r>
    </w:p>
    <w:p w14:paraId="3A72BC28" w14:textId="77777777" w:rsidR="00C73644" w:rsidRPr="00C73644" w:rsidRDefault="00C73644" w:rsidP="00236C83">
      <w:pPr>
        <w:spacing w:after="60"/>
        <w:ind w:left="709" w:hanging="709"/>
        <w:rPr>
          <w:szCs w:val="22"/>
          <w:lang w:val="en-GB"/>
        </w:rPr>
      </w:pPr>
    </w:p>
    <w:p w14:paraId="1959D1C7" w14:textId="2704DA0E" w:rsidR="006D7F2E" w:rsidRDefault="006D7F2E" w:rsidP="00C73644">
      <w:pPr>
        <w:spacing w:after="60"/>
      </w:pPr>
    </w:p>
    <w:sectPr w:rsidR="006D7F2E" w:rsidSect="00377142">
      <w:footerReference w:type="default" r:id="rId33"/>
      <w:headerReference w:type="first" r:id="rId34"/>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F097B5" w14:textId="77777777" w:rsidR="00A65089" w:rsidRDefault="00A65089" w:rsidP="00A76598">
      <w:r>
        <w:separator/>
      </w:r>
    </w:p>
  </w:endnote>
  <w:endnote w:type="continuationSeparator" w:id="0">
    <w:p w14:paraId="4CD7DC2C" w14:textId="77777777" w:rsidR="00A65089" w:rsidRDefault="00A65089"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056B01E1" w:rsidR="005D21B0" w:rsidRDefault="005D21B0">
        <w:pPr>
          <w:pStyle w:val="Footer"/>
          <w:jc w:val="center"/>
        </w:pPr>
        <w:r>
          <w:fldChar w:fldCharType="begin"/>
        </w:r>
        <w:r>
          <w:instrText>PAGE   \* MERGEFORMAT</w:instrText>
        </w:r>
        <w:r>
          <w:fldChar w:fldCharType="separate"/>
        </w:r>
        <w:r w:rsidR="004245A0" w:rsidRPr="004245A0">
          <w:rPr>
            <w:noProof/>
            <w:lang w:val="de-DE"/>
          </w:rPr>
          <w:t>20</w:t>
        </w:r>
        <w:r>
          <w:fldChar w:fldCharType="end"/>
        </w:r>
      </w:p>
    </w:sdtContent>
  </w:sdt>
  <w:p w14:paraId="3FEDBBF0" w14:textId="77777777" w:rsidR="005D21B0" w:rsidRDefault="005D21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E771D6" w14:textId="77777777" w:rsidR="00A65089" w:rsidRPr="00ED0D02" w:rsidRDefault="00A65089" w:rsidP="00ED0D02">
      <w:pPr>
        <w:pStyle w:val="Footer"/>
      </w:pPr>
      <w:r>
        <w:separator/>
      </w:r>
    </w:p>
  </w:footnote>
  <w:footnote w:type="continuationSeparator" w:id="0">
    <w:p w14:paraId="1288EF1E" w14:textId="77777777" w:rsidR="00A65089" w:rsidRDefault="00A65089"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5D21B0" w:rsidRDefault="005D21B0" w:rsidP="00437505">
    <w:pPr>
      <w:pStyle w:val="Header"/>
      <w:rPr>
        <w:sz w:val="20"/>
        <w:szCs w:val="20"/>
      </w:rPr>
    </w:pPr>
  </w:p>
  <w:p w14:paraId="2E890DAE" w14:textId="77777777" w:rsidR="005D21B0" w:rsidRDefault="005D21B0" w:rsidP="00437505">
    <w:pPr>
      <w:pStyle w:val="Header"/>
      <w:rPr>
        <w:sz w:val="20"/>
        <w:szCs w:val="20"/>
      </w:rPr>
    </w:pPr>
  </w:p>
  <w:p w14:paraId="5ADEA466" w14:textId="77777777" w:rsidR="005D21B0" w:rsidRDefault="005D21B0" w:rsidP="00437505">
    <w:pPr>
      <w:pStyle w:val="Header"/>
      <w:rPr>
        <w:sz w:val="20"/>
        <w:szCs w:val="20"/>
      </w:rPr>
    </w:pPr>
  </w:p>
  <w:p w14:paraId="2A55D53E" w14:textId="77777777" w:rsidR="005D21B0" w:rsidRDefault="005D21B0" w:rsidP="00437505">
    <w:pPr>
      <w:pStyle w:val="Header"/>
      <w:rPr>
        <w:sz w:val="20"/>
        <w:szCs w:val="20"/>
      </w:rPr>
    </w:pPr>
  </w:p>
  <w:p w14:paraId="39E26C7D" w14:textId="77777777" w:rsidR="005D21B0" w:rsidRDefault="005D21B0" w:rsidP="00437505">
    <w:pPr>
      <w:pStyle w:val="Header"/>
      <w:rPr>
        <w:sz w:val="20"/>
        <w:szCs w:val="20"/>
      </w:rPr>
    </w:pPr>
  </w:p>
  <w:p w14:paraId="3E68BD65" w14:textId="77777777" w:rsidR="005D21B0" w:rsidRPr="00437505" w:rsidRDefault="005D21B0"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0CB4"/>
    <w:multiLevelType w:val="hybridMultilevel"/>
    <w:tmpl w:val="31700A5C"/>
    <w:lvl w:ilvl="0" w:tplc="88F6EAA4">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24101D"/>
    <w:multiLevelType w:val="hybridMultilevel"/>
    <w:tmpl w:val="C88EAC92"/>
    <w:lvl w:ilvl="0" w:tplc="4D8C825E">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71C91"/>
    <w:multiLevelType w:val="hybridMultilevel"/>
    <w:tmpl w:val="5398749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5C5B1D"/>
    <w:multiLevelType w:val="hybridMultilevel"/>
    <w:tmpl w:val="A82AC1AC"/>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8185F"/>
    <w:multiLevelType w:val="hybridMultilevel"/>
    <w:tmpl w:val="5106B85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2C00FB4"/>
    <w:multiLevelType w:val="hybridMultilevel"/>
    <w:tmpl w:val="9216CAC4"/>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7BE1A9C"/>
    <w:multiLevelType w:val="hybridMultilevel"/>
    <w:tmpl w:val="F27C2E6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4A380A2E"/>
    <w:multiLevelType w:val="hybridMultilevel"/>
    <w:tmpl w:val="DCBE1DFE"/>
    <w:lvl w:ilvl="0" w:tplc="44B0A64A">
      <w:start w:val="1995"/>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4F843D25"/>
    <w:multiLevelType w:val="hybridMultilevel"/>
    <w:tmpl w:val="01EE66E8"/>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3534FF1"/>
    <w:multiLevelType w:val="multilevel"/>
    <w:tmpl w:val="38AA4E4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5C702A8"/>
    <w:multiLevelType w:val="hybridMultilevel"/>
    <w:tmpl w:val="3368713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13" w15:restartNumberingAfterBreak="0">
    <w:nsid w:val="5EFF283A"/>
    <w:multiLevelType w:val="hybridMultilevel"/>
    <w:tmpl w:val="C788477A"/>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3E21274"/>
    <w:multiLevelType w:val="hybridMultilevel"/>
    <w:tmpl w:val="E88CC32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4A56C50"/>
    <w:multiLevelType w:val="hybridMultilevel"/>
    <w:tmpl w:val="15D269CA"/>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514BBA"/>
    <w:multiLevelType w:val="hybridMultilevel"/>
    <w:tmpl w:val="45D6814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BD4BF7"/>
    <w:multiLevelType w:val="hybridMultilevel"/>
    <w:tmpl w:val="7EBC8D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FB658DD"/>
    <w:multiLevelType w:val="hybridMultilevel"/>
    <w:tmpl w:val="BFD02F7E"/>
    <w:lvl w:ilvl="0" w:tplc="88F6EAA4">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6804FCA"/>
    <w:multiLevelType w:val="hybridMultilevel"/>
    <w:tmpl w:val="5D7CECE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9783BA3"/>
    <w:multiLevelType w:val="hybridMultilevel"/>
    <w:tmpl w:val="2916BA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9E771D2"/>
    <w:multiLevelType w:val="hybridMultilevel"/>
    <w:tmpl w:val="1BBEBEB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4929666">
    <w:abstractNumId w:val="12"/>
  </w:num>
  <w:num w:numId="2" w16cid:durableId="230383544">
    <w:abstractNumId w:val="8"/>
  </w:num>
  <w:num w:numId="3" w16cid:durableId="1071150185">
    <w:abstractNumId w:val="7"/>
  </w:num>
  <w:num w:numId="4" w16cid:durableId="532303081">
    <w:abstractNumId w:val="1"/>
  </w:num>
  <w:num w:numId="5" w16cid:durableId="2115856650">
    <w:abstractNumId w:val="3"/>
  </w:num>
  <w:num w:numId="6" w16cid:durableId="766540196">
    <w:abstractNumId w:val="18"/>
  </w:num>
  <w:num w:numId="7" w16cid:durableId="1132207315">
    <w:abstractNumId w:val="0"/>
  </w:num>
  <w:num w:numId="8" w16cid:durableId="1926255753">
    <w:abstractNumId w:val="13"/>
  </w:num>
  <w:num w:numId="9" w16cid:durableId="823550128">
    <w:abstractNumId w:val="15"/>
  </w:num>
  <w:num w:numId="10" w16cid:durableId="1005136880">
    <w:abstractNumId w:val="10"/>
  </w:num>
  <w:num w:numId="11" w16cid:durableId="1549295170">
    <w:abstractNumId w:val="6"/>
  </w:num>
  <w:num w:numId="12" w16cid:durableId="1011100820">
    <w:abstractNumId w:val="2"/>
  </w:num>
  <w:num w:numId="13" w16cid:durableId="184056340">
    <w:abstractNumId w:val="14"/>
  </w:num>
  <w:num w:numId="14" w16cid:durableId="1914076455">
    <w:abstractNumId w:val="17"/>
  </w:num>
  <w:num w:numId="15" w16cid:durableId="1975016366">
    <w:abstractNumId w:val="5"/>
  </w:num>
  <w:num w:numId="16" w16cid:durableId="1118723450">
    <w:abstractNumId w:val="21"/>
  </w:num>
  <w:num w:numId="17" w16cid:durableId="1353069827">
    <w:abstractNumId w:val="9"/>
  </w:num>
  <w:num w:numId="18" w16cid:durableId="810170216">
    <w:abstractNumId w:val="4"/>
  </w:num>
  <w:num w:numId="19" w16cid:durableId="775371853">
    <w:abstractNumId w:val="19"/>
  </w:num>
  <w:num w:numId="20" w16cid:durableId="1770269066">
    <w:abstractNumId w:val="11"/>
  </w:num>
  <w:num w:numId="21" w16cid:durableId="866061383">
    <w:abstractNumId w:val="20"/>
  </w:num>
  <w:num w:numId="22" w16cid:durableId="15915211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4E3D"/>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7A0"/>
    <w:rsid w:val="00040BCA"/>
    <w:rsid w:val="00041168"/>
    <w:rsid w:val="00042495"/>
    <w:rsid w:val="00042720"/>
    <w:rsid w:val="00043E7A"/>
    <w:rsid w:val="00043EC6"/>
    <w:rsid w:val="000452E9"/>
    <w:rsid w:val="00045B63"/>
    <w:rsid w:val="00045C26"/>
    <w:rsid w:val="00046BDD"/>
    <w:rsid w:val="0004727B"/>
    <w:rsid w:val="0004756E"/>
    <w:rsid w:val="00050EE1"/>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6B"/>
    <w:rsid w:val="00061AE1"/>
    <w:rsid w:val="00061BEA"/>
    <w:rsid w:val="00061D17"/>
    <w:rsid w:val="00061F14"/>
    <w:rsid w:val="0006244A"/>
    <w:rsid w:val="00062DCE"/>
    <w:rsid w:val="0006328A"/>
    <w:rsid w:val="000639F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5699"/>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3D"/>
    <w:rsid w:val="00095958"/>
    <w:rsid w:val="00095BF9"/>
    <w:rsid w:val="00095D60"/>
    <w:rsid w:val="0009603F"/>
    <w:rsid w:val="00096527"/>
    <w:rsid w:val="00096D3F"/>
    <w:rsid w:val="00097593"/>
    <w:rsid w:val="000976AF"/>
    <w:rsid w:val="000A20BD"/>
    <w:rsid w:val="000A2A4F"/>
    <w:rsid w:val="000A3447"/>
    <w:rsid w:val="000A3C19"/>
    <w:rsid w:val="000A3C5C"/>
    <w:rsid w:val="000A3FC3"/>
    <w:rsid w:val="000A42E4"/>
    <w:rsid w:val="000A5A81"/>
    <w:rsid w:val="000A5B27"/>
    <w:rsid w:val="000A6439"/>
    <w:rsid w:val="000A649E"/>
    <w:rsid w:val="000A6A0F"/>
    <w:rsid w:val="000A7508"/>
    <w:rsid w:val="000A75EE"/>
    <w:rsid w:val="000A79BA"/>
    <w:rsid w:val="000A7B8E"/>
    <w:rsid w:val="000B0AE4"/>
    <w:rsid w:val="000B0EE6"/>
    <w:rsid w:val="000B1D8D"/>
    <w:rsid w:val="000B1ED6"/>
    <w:rsid w:val="000B230A"/>
    <w:rsid w:val="000B25BA"/>
    <w:rsid w:val="000B271E"/>
    <w:rsid w:val="000B2DEC"/>
    <w:rsid w:val="000B3049"/>
    <w:rsid w:val="000B45BE"/>
    <w:rsid w:val="000B4BD9"/>
    <w:rsid w:val="000B6063"/>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0"/>
    <w:rsid w:val="000C7F7F"/>
    <w:rsid w:val="000D06D1"/>
    <w:rsid w:val="000D224D"/>
    <w:rsid w:val="000D2990"/>
    <w:rsid w:val="000D350D"/>
    <w:rsid w:val="000D3FD1"/>
    <w:rsid w:val="000D4B6C"/>
    <w:rsid w:val="000D5351"/>
    <w:rsid w:val="000D56A2"/>
    <w:rsid w:val="000D66C5"/>
    <w:rsid w:val="000D6A67"/>
    <w:rsid w:val="000D6BEC"/>
    <w:rsid w:val="000D7120"/>
    <w:rsid w:val="000D782B"/>
    <w:rsid w:val="000D7BA5"/>
    <w:rsid w:val="000E0804"/>
    <w:rsid w:val="000E0A17"/>
    <w:rsid w:val="000E0ACE"/>
    <w:rsid w:val="000E18F7"/>
    <w:rsid w:val="000E1F93"/>
    <w:rsid w:val="000E21DA"/>
    <w:rsid w:val="000E2CFC"/>
    <w:rsid w:val="000E2E86"/>
    <w:rsid w:val="000E2EB3"/>
    <w:rsid w:val="000E301F"/>
    <w:rsid w:val="000E34C5"/>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2638"/>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5EC1"/>
    <w:rsid w:val="001263A8"/>
    <w:rsid w:val="00126B56"/>
    <w:rsid w:val="0012776D"/>
    <w:rsid w:val="00130086"/>
    <w:rsid w:val="0013027D"/>
    <w:rsid w:val="001309E5"/>
    <w:rsid w:val="00130C63"/>
    <w:rsid w:val="00132834"/>
    <w:rsid w:val="001334D3"/>
    <w:rsid w:val="001338B9"/>
    <w:rsid w:val="00133FFA"/>
    <w:rsid w:val="0013498D"/>
    <w:rsid w:val="00135160"/>
    <w:rsid w:val="00136184"/>
    <w:rsid w:val="00136356"/>
    <w:rsid w:val="00137083"/>
    <w:rsid w:val="00137126"/>
    <w:rsid w:val="0013735A"/>
    <w:rsid w:val="00137610"/>
    <w:rsid w:val="0013775B"/>
    <w:rsid w:val="00140038"/>
    <w:rsid w:val="0014179D"/>
    <w:rsid w:val="001419ED"/>
    <w:rsid w:val="00141EB9"/>
    <w:rsid w:val="0014200F"/>
    <w:rsid w:val="00144214"/>
    <w:rsid w:val="00145619"/>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042"/>
    <w:rsid w:val="00187192"/>
    <w:rsid w:val="00187474"/>
    <w:rsid w:val="00187C57"/>
    <w:rsid w:val="00187E12"/>
    <w:rsid w:val="00190B84"/>
    <w:rsid w:val="0019179C"/>
    <w:rsid w:val="001924B3"/>
    <w:rsid w:val="0019299C"/>
    <w:rsid w:val="0019346B"/>
    <w:rsid w:val="0019481A"/>
    <w:rsid w:val="00194A19"/>
    <w:rsid w:val="00194FF3"/>
    <w:rsid w:val="00195020"/>
    <w:rsid w:val="001966AC"/>
    <w:rsid w:val="001968AB"/>
    <w:rsid w:val="001968D4"/>
    <w:rsid w:val="00196A1E"/>
    <w:rsid w:val="00196F59"/>
    <w:rsid w:val="00196F8F"/>
    <w:rsid w:val="0019767F"/>
    <w:rsid w:val="0019772C"/>
    <w:rsid w:val="0019784F"/>
    <w:rsid w:val="001A03BD"/>
    <w:rsid w:val="001A0870"/>
    <w:rsid w:val="001A2AA5"/>
    <w:rsid w:val="001A2AB6"/>
    <w:rsid w:val="001A36BA"/>
    <w:rsid w:val="001A3D4E"/>
    <w:rsid w:val="001A4089"/>
    <w:rsid w:val="001A45FA"/>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D24"/>
    <w:rsid w:val="001C4FD0"/>
    <w:rsid w:val="001C50E0"/>
    <w:rsid w:val="001C546C"/>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11A"/>
    <w:rsid w:val="001D37E3"/>
    <w:rsid w:val="001D3EF2"/>
    <w:rsid w:val="001D3FE2"/>
    <w:rsid w:val="001D480B"/>
    <w:rsid w:val="001D5661"/>
    <w:rsid w:val="001D56E2"/>
    <w:rsid w:val="001D585C"/>
    <w:rsid w:val="001D5CE3"/>
    <w:rsid w:val="001D636A"/>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939"/>
    <w:rsid w:val="00214A25"/>
    <w:rsid w:val="00215394"/>
    <w:rsid w:val="002157C2"/>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6C83"/>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319"/>
    <w:rsid w:val="002944FA"/>
    <w:rsid w:val="00295009"/>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C94"/>
    <w:rsid w:val="002C5ECA"/>
    <w:rsid w:val="002C5F1C"/>
    <w:rsid w:val="002C61AE"/>
    <w:rsid w:val="002C6801"/>
    <w:rsid w:val="002C7206"/>
    <w:rsid w:val="002C73F1"/>
    <w:rsid w:val="002C7C0A"/>
    <w:rsid w:val="002D0101"/>
    <w:rsid w:val="002D2036"/>
    <w:rsid w:val="002D24AD"/>
    <w:rsid w:val="002D2A50"/>
    <w:rsid w:val="002D35A5"/>
    <w:rsid w:val="002D3711"/>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389"/>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565"/>
    <w:rsid w:val="00303948"/>
    <w:rsid w:val="003058D8"/>
    <w:rsid w:val="003061CF"/>
    <w:rsid w:val="00306B79"/>
    <w:rsid w:val="00306D31"/>
    <w:rsid w:val="003073AE"/>
    <w:rsid w:val="00307B87"/>
    <w:rsid w:val="00307BAE"/>
    <w:rsid w:val="00307EC2"/>
    <w:rsid w:val="00311A15"/>
    <w:rsid w:val="00311DED"/>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60A9"/>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0835"/>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D96"/>
    <w:rsid w:val="00376E17"/>
    <w:rsid w:val="00377142"/>
    <w:rsid w:val="00377418"/>
    <w:rsid w:val="00377A6D"/>
    <w:rsid w:val="00377A8B"/>
    <w:rsid w:val="003806A6"/>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39A"/>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2E9E"/>
    <w:rsid w:val="003B3618"/>
    <w:rsid w:val="003B3685"/>
    <w:rsid w:val="003B56B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3D3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667D"/>
    <w:rsid w:val="003E7386"/>
    <w:rsid w:val="003E7671"/>
    <w:rsid w:val="003E7A73"/>
    <w:rsid w:val="003F0053"/>
    <w:rsid w:val="003F01CF"/>
    <w:rsid w:val="003F09C6"/>
    <w:rsid w:val="003F0C56"/>
    <w:rsid w:val="003F0CF6"/>
    <w:rsid w:val="003F1C2F"/>
    <w:rsid w:val="003F218B"/>
    <w:rsid w:val="003F26B8"/>
    <w:rsid w:val="003F2B28"/>
    <w:rsid w:val="003F3867"/>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300"/>
    <w:rsid w:val="00410695"/>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45A0"/>
    <w:rsid w:val="004253CA"/>
    <w:rsid w:val="00425687"/>
    <w:rsid w:val="00425FB4"/>
    <w:rsid w:val="00426D03"/>
    <w:rsid w:val="0042778C"/>
    <w:rsid w:val="00427A10"/>
    <w:rsid w:val="00427CB8"/>
    <w:rsid w:val="004300C4"/>
    <w:rsid w:val="00430464"/>
    <w:rsid w:val="004305E2"/>
    <w:rsid w:val="00430EFD"/>
    <w:rsid w:val="004323C2"/>
    <w:rsid w:val="00432730"/>
    <w:rsid w:val="00432E20"/>
    <w:rsid w:val="0043329B"/>
    <w:rsid w:val="00433CFA"/>
    <w:rsid w:val="0043488F"/>
    <w:rsid w:val="00434A89"/>
    <w:rsid w:val="0043509D"/>
    <w:rsid w:val="0043542E"/>
    <w:rsid w:val="0043670A"/>
    <w:rsid w:val="00436728"/>
    <w:rsid w:val="00437505"/>
    <w:rsid w:val="00440581"/>
    <w:rsid w:val="0044071E"/>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9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904FE"/>
    <w:rsid w:val="004905F5"/>
    <w:rsid w:val="00490919"/>
    <w:rsid w:val="00490A89"/>
    <w:rsid w:val="004920B3"/>
    <w:rsid w:val="00492B60"/>
    <w:rsid w:val="00493727"/>
    <w:rsid w:val="00493FE0"/>
    <w:rsid w:val="00494B41"/>
    <w:rsid w:val="004976A3"/>
    <w:rsid w:val="00497E75"/>
    <w:rsid w:val="004A08C2"/>
    <w:rsid w:val="004A2912"/>
    <w:rsid w:val="004A3A65"/>
    <w:rsid w:val="004A463F"/>
    <w:rsid w:val="004A609C"/>
    <w:rsid w:val="004A62A5"/>
    <w:rsid w:val="004A6B84"/>
    <w:rsid w:val="004A6DD9"/>
    <w:rsid w:val="004A704B"/>
    <w:rsid w:val="004A7CA1"/>
    <w:rsid w:val="004B018E"/>
    <w:rsid w:val="004B089F"/>
    <w:rsid w:val="004B17F1"/>
    <w:rsid w:val="004B2082"/>
    <w:rsid w:val="004B3355"/>
    <w:rsid w:val="004B3D05"/>
    <w:rsid w:val="004B400E"/>
    <w:rsid w:val="004B40A1"/>
    <w:rsid w:val="004B4C1C"/>
    <w:rsid w:val="004B4D92"/>
    <w:rsid w:val="004B558A"/>
    <w:rsid w:val="004B5AE9"/>
    <w:rsid w:val="004B5DD8"/>
    <w:rsid w:val="004B607A"/>
    <w:rsid w:val="004B7363"/>
    <w:rsid w:val="004B7487"/>
    <w:rsid w:val="004B7737"/>
    <w:rsid w:val="004B7F6C"/>
    <w:rsid w:val="004C012C"/>
    <w:rsid w:val="004C0534"/>
    <w:rsid w:val="004C17F9"/>
    <w:rsid w:val="004C2C51"/>
    <w:rsid w:val="004C3255"/>
    <w:rsid w:val="004C3762"/>
    <w:rsid w:val="004C3D98"/>
    <w:rsid w:val="004C3E41"/>
    <w:rsid w:val="004C454D"/>
    <w:rsid w:val="004C4A7C"/>
    <w:rsid w:val="004C4ACB"/>
    <w:rsid w:val="004C4B3B"/>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6310"/>
    <w:rsid w:val="004D6C27"/>
    <w:rsid w:val="004D7BC8"/>
    <w:rsid w:val="004D7E1D"/>
    <w:rsid w:val="004D7F84"/>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074B2"/>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6F4A"/>
    <w:rsid w:val="00517091"/>
    <w:rsid w:val="005203EE"/>
    <w:rsid w:val="0052058A"/>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91D"/>
    <w:rsid w:val="00540D8B"/>
    <w:rsid w:val="00543FC4"/>
    <w:rsid w:val="005441BA"/>
    <w:rsid w:val="005457CC"/>
    <w:rsid w:val="00545A3C"/>
    <w:rsid w:val="00545BBE"/>
    <w:rsid w:val="0054707C"/>
    <w:rsid w:val="00547568"/>
    <w:rsid w:val="005475BC"/>
    <w:rsid w:val="00547B34"/>
    <w:rsid w:val="00547D9F"/>
    <w:rsid w:val="00547E46"/>
    <w:rsid w:val="00547F0E"/>
    <w:rsid w:val="0055027A"/>
    <w:rsid w:val="00550BD7"/>
    <w:rsid w:val="00550DC5"/>
    <w:rsid w:val="00550E82"/>
    <w:rsid w:val="00551655"/>
    <w:rsid w:val="00551BE9"/>
    <w:rsid w:val="0055265C"/>
    <w:rsid w:val="00552C59"/>
    <w:rsid w:val="005535DD"/>
    <w:rsid w:val="005544D0"/>
    <w:rsid w:val="00554703"/>
    <w:rsid w:val="00554819"/>
    <w:rsid w:val="00555022"/>
    <w:rsid w:val="00555557"/>
    <w:rsid w:val="00555B4F"/>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3DF2"/>
    <w:rsid w:val="00564F24"/>
    <w:rsid w:val="00565302"/>
    <w:rsid w:val="00565DAD"/>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111"/>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2407"/>
    <w:rsid w:val="005A39F2"/>
    <w:rsid w:val="005A3BFF"/>
    <w:rsid w:val="005A4059"/>
    <w:rsid w:val="005A49BF"/>
    <w:rsid w:val="005A4BC4"/>
    <w:rsid w:val="005A4EAD"/>
    <w:rsid w:val="005A5435"/>
    <w:rsid w:val="005A5D84"/>
    <w:rsid w:val="005A5DD6"/>
    <w:rsid w:val="005A5E71"/>
    <w:rsid w:val="005A632D"/>
    <w:rsid w:val="005A761F"/>
    <w:rsid w:val="005B05A4"/>
    <w:rsid w:val="005B08F0"/>
    <w:rsid w:val="005B0DE5"/>
    <w:rsid w:val="005B1247"/>
    <w:rsid w:val="005B310C"/>
    <w:rsid w:val="005B311C"/>
    <w:rsid w:val="005B3843"/>
    <w:rsid w:val="005B388D"/>
    <w:rsid w:val="005B3D1E"/>
    <w:rsid w:val="005B4B14"/>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C7F51"/>
    <w:rsid w:val="005D0174"/>
    <w:rsid w:val="005D01B6"/>
    <w:rsid w:val="005D02BB"/>
    <w:rsid w:val="005D048E"/>
    <w:rsid w:val="005D06CF"/>
    <w:rsid w:val="005D10A7"/>
    <w:rsid w:val="005D19F6"/>
    <w:rsid w:val="005D21B0"/>
    <w:rsid w:val="005D24D8"/>
    <w:rsid w:val="005D2915"/>
    <w:rsid w:val="005D4634"/>
    <w:rsid w:val="005D646E"/>
    <w:rsid w:val="005D6FC4"/>
    <w:rsid w:val="005D7B1D"/>
    <w:rsid w:val="005D7FAC"/>
    <w:rsid w:val="005E0A34"/>
    <w:rsid w:val="005E1083"/>
    <w:rsid w:val="005E1BC2"/>
    <w:rsid w:val="005E2DED"/>
    <w:rsid w:val="005E2EF6"/>
    <w:rsid w:val="005E331F"/>
    <w:rsid w:val="005E36B4"/>
    <w:rsid w:val="005E3DD7"/>
    <w:rsid w:val="005E409A"/>
    <w:rsid w:val="005E45C7"/>
    <w:rsid w:val="005E5171"/>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38"/>
    <w:rsid w:val="00614E82"/>
    <w:rsid w:val="006156F5"/>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5B06"/>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4EAB"/>
    <w:rsid w:val="006550C4"/>
    <w:rsid w:val="00656859"/>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D6C"/>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737"/>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7A9"/>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D7F2E"/>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06B"/>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3C36"/>
    <w:rsid w:val="0071403A"/>
    <w:rsid w:val="00714B29"/>
    <w:rsid w:val="00715BA1"/>
    <w:rsid w:val="007160D3"/>
    <w:rsid w:val="007170F4"/>
    <w:rsid w:val="00722EBB"/>
    <w:rsid w:val="00723034"/>
    <w:rsid w:val="00723C3E"/>
    <w:rsid w:val="00724DFD"/>
    <w:rsid w:val="00730285"/>
    <w:rsid w:val="00730FF8"/>
    <w:rsid w:val="00731A29"/>
    <w:rsid w:val="00731D0F"/>
    <w:rsid w:val="00731FE9"/>
    <w:rsid w:val="0073415F"/>
    <w:rsid w:val="0073502A"/>
    <w:rsid w:val="0073534F"/>
    <w:rsid w:val="00735B14"/>
    <w:rsid w:val="00736060"/>
    <w:rsid w:val="0073767C"/>
    <w:rsid w:val="00737AF4"/>
    <w:rsid w:val="00737DAE"/>
    <w:rsid w:val="00740ACD"/>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352"/>
    <w:rsid w:val="00767600"/>
    <w:rsid w:val="00767D72"/>
    <w:rsid w:val="00770105"/>
    <w:rsid w:val="00770E93"/>
    <w:rsid w:val="00770F47"/>
    <w:rsid w:val="007712A0"/>
    <w:rsid w:val="00771405"/>
    <w:rsid w:val="007722E0"/>
    <w:rsid w:val="007726B3"/>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5E2D"/>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3A1"/>
    <w:rsid w:val="00794F7B"/>
    <w:rsid w:val="007964D9"/>
    <w:rsid w:val="0079670E"/>
    <w:rsid w:val="00796720"/>
    <w:rsid w:val="007A007C"/>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119"/>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6105"/>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B84"/>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5EF5"/>
    <w:rsid w:val="008760B2"/>
    <w:rsid w:val="0087642A"/>
    <w:rsid w:val="00880C5E"/>
    <w:rsid w:val="00880DFC"/>
    <w:rsid w:val="00882C8F"/>
    <w:rsid w:val="0088301C"/>
    <w:rsid w:val="0088315E"/>
    <w:rsid w:val="0088374D"/>
    <w:rsid w:val="008841A6"/>
    <w:rsid w:val="0088480F"/>
    <w:rsid w:val="00884814"/>
    <w:rsid w:val="00884CF6"/>
    <w:rsid w:val="00884E1A"/>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1598"/>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792"/>
    <w:rsid w:val="008C3D46"/>
    <w:rsid w:val="008C5E4B"/>
    <w:rsid w:val="008C6809"/>
    <w:rsid w:val="008D0CB6"/>
    <w:rsid w:val="008D1000"/>
    <w:rsid w:val="008D1694"/>
    <w:rsid w:val="008D2DA8"/>
    <w:rsid w:val="008D2E04"/>
    <w:rsid w:val="008D3A0F"/>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1A49"/>
    <w:rsid w:val="008E25C5"/>
    <w:rsid w:val="008E281A"/>
    <w:rsid w:val="008E3B1F"/>
    <w:rsid w:val="008E3C41"/>
    <w:rsid w:val="008E3E82"/>
    <w:rsid w:val="008E4B92"/>
    <w:rsid w:val="008E4CB3"/>
    <w:rsid w:val="008E5699"/>
    <w:rsid w:val="008E5D73"/>
    <w:rsid w:val="008E6585"/>
    <w:rsid w:val="008E73D6"/>
    <w:rsid w:val="008F046F"/>
    <w:rsid w:val="008F17A1"/>
    <w:rsid w:val="008F2394"/>
    <w:rsid w:val="008F27B5"/>
    <w:rsid w:val="008F2B00"/>
    <w:rsid w:val="008F2B99"/>
    <w:rsid w:val="008F3B77"/>
    <w:rsid w:val="008F3B9E"/>
    <w:rsid w:val="008F41B2"/>
    <w:rsid w:val="008F42AE"/>
    <w:rsid w:val="008F4464"/>
    <w:rsid w:val="008F50D7"/>
    <w:rsid w:val="008F52A8"/>
    <w:rsid w:val="008F7075"/>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0B44"/>
    <w:rsid w:val="009111DC"/>
    <w:rsid w:val="009114FD"/>
    <w:rsid w:val="00911D3E"/>
    <w:rsid w:val="00911D98"/>
    <w:rsid w:val="00912108"/>
    <w:rsid w:val="00912267"/>
    <w:rsid w:val="00912B90"/>
    <w:rsid w:val="00912D93"/>
    <w:rsid w:val="009145A1"/>
    <w:rsid w:val="00915121"/>
    <w:rsid w:val="0091516C"/>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709"/>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3AD"/>
    <w:rsid w:val="00971411"/>
    <w:rsid w:val="00971A3B"/>
    <w:rsid w:val="009723BB"/>
    <w:rsid w:val="00972545"/>
    <w:rsid w:val="0097449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0A2"/>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6F91"/>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E7ED0"/>
    <w:rsid w:val="009F13A6"/>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59ED"/>
    <w:rsid w:val="00A0772A"/>
    <w:rsid w:val="00A115A1"/>
    <w:rsid w:val="00A119E3"/>
    <w:rsid w:val="00A1210C"/>
    <w:rsid w:val="00A1272B"/>
    <w:rsid w:val="00A1288C"/>
    <w:rsid w:val="00A12D7A"/>
    <w:rsid w:val="00A12DCB"/>
    <w:rsid w:val="00A13BD7"/>
    <w:rsid w:val="00A13D4C"/>
    <w:rsid w:val="00A14B7E"/>
    <w:rsid w:val="00A1535E"/>
    <w:rsid w:val="00A16093"/>
    <w:rsid w:val="00A1649B"/>
    <w:rsid w:val="00A16D25"/>
    <w:rsid w:val="00A17218"/>
    <w:rsid w:val="00A179F9"/>
    <w:rsid w:val="00A20A50"/>
    <w:rsid w:val="00A21030"/>
    <w:rsid w:val="00A2141E"/>
    <w:rsid w:val="00A21D3C"/>
    <w:rsid w:val="00A22F0C"/>
    <w:rsid w:val="00A230B1"/>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50D"/>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3EBA"/>
    <w:rsid w:val="00A540FC"/>
    <w:rsid w:val="00A54400"/>
    <w:rsid w:val="00A55F4F"/>
    <w:rsid w:val="00A561EB"/>
    <w:rsid w:val="00A5737E"/>
    <w:rsid w:val="00A574C2"/>
    <w:rsid w:val="00A577C5"/>
    <w:rsid w:val="00A57AB0"/>
    <w:rsid w:val="00A60A1E"/>
    <w:rsid w:val="00A618A4"/>
    <w:rsid w:val="00A61909"/>
    <w:rsid w:val="00A61EA3"/>
    <w:rsid w:val="00A6262B"/>
    <w:rsid w:val="00A6277F"/>
    <w:rsid w:val="00A62D38"/>
    <w:rsid w:val="00A62DD2"/>
    <w:rsid w:val="00A6301C"/>
    <w:rsid w:val="00A63767"/>
    <w:rsid w:val="00A63DE6"/>
    <w:rsid w:val="00A65089"/>
    <w:rsid w:val="00A65461"/>
    <w:rsid w:val="00A660CA"/>
    <w:rsid w:val="00A66569"/>
    <w:rsid w:val="00A6690A"/>
    <w:rsid w:val="00A703BD"/>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5E"/>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2AF1"/>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D5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19C6"/>
    <w:rsid w:val="00AD2072"/>
    <w:rsid w:val="00AD5731"/>
    <w:rsid w:val="00AD600E"/>
    <w:rsid w:val="00AD69B2"/>
    <w:rsid w:val="00AD7C38"/>
    <w:rsid w:val="00AE00B7"/>
    <w:rsid w:val="00AE0DFD"/>
    <w:rsid w:val="00AE15AA"/>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31B"/>
    <w:rsid w:val="00B119D1"/>
    <w:rsid w:val="00B12632"/>
    <w:rsid w:val="00B126EE"/>
    <w:rsid w:val="00B12CFA"/>
    <w:rsid w:val="00B14957"/>
    <w:rsid w:val="00B1593C"/>
    <w:rsid w:val="00B1669A"/>
    <w:rsid w:val="00B17ABD"/>
    <w:rsid w:val="00B17E50"/>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47D3D"/>
    <w:rsid w:val="00B50139"/>
    <w:rsid w:val="00B50462"/>
    <w:rsid w:val="00B505D7"/>
    <w:rsid w:val="00B5112B"/>
    <w:rsid w:val="00B51EAB"/>
    <w:rsid w:val="00B51EB4"/>
    <w:rsid w:val="00B524E4"/>
    <w:rsid w:val="00B5264D"/>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026B"/>
    <w:rsid w:val="00B81841"/>
    <w:rsid w:val="00B81C70"/>
    <w:rsid w:val="00B83693"/>
    <w:rsid w:val="00B855AD"/>
    <w:rsid w:val="00B85EA1"/>
    <w:rsid w:val="00B867A6"/>
    <w:rsid w:val="00B86CC6"/>
    <w:rsid w:val="00B86FE1"/>
    <w:rsid w:val="00B8732E"/>
    <w:rsid w:val="00B905CD"/>
    <w:rsid w:val="00B9068B"/>
    <w:rsid w:val="00B9093F"/>
    <w:rsid w:val="00B91DB4"/>
    <w:rsid w:val="00B9268D"/>
    <w:rsid w:val="00B935C0"/>
    <w:rsid w:val="00B93841"/>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30"/>
    <w:rsid w:val="00BB5AB0"/>
    <w:rsid w:val="00BB5BEB"/>
    <w:rsid w:val="00BB637C"/>
    <w:rsid w:val="00BB73A9"/>
    <w:rsid w:val="00BB788A"/>
    <w:rsid w:val="00BC05D2"/>
    <w:rsid w:val="00BC07F3"/>
    <w:rsid w:val="00BC0E1C"/>
    <w:rsid w:val="00BC0F78"/>
    <w:rsid w:val="00BC1A8C"/>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72E9"/>
    <w:rsid w:val="00BE004E"/>
    <w:rsid w:val="00BE13F4"/>
    <w:rsid w:val="00BE1A6F"/>
    <w:rsid w:val="00BE2EDC"/>
    <w:rsid w:val="00BE435A"/>
    <w:rsid w:val="00BE62F4"/>
    <w:rsid w:val="00BE6896"/>
    <w:rsid w:val="00BE7285"/>
    <w:rsid w:val="00BE7A78"/>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273E"/>
    <w:rsid w:val="00C03241"/>
    <w:rsid w:val="00C0354F"/>
    <w:rsid w:val="00C037EC"/>
    <w:rsid w:val="00C045DD"/>
    <w:rsid w:val="00C048F9"/>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1D32"/>
    <w:rsid w:val="00C2272E"/>
    <w:rsid w:val="00C23476"/>
    <w:rsid w:val="00C23840"/>
    <w:rsid w:val="00C23A71"/>
    <w:rsid w:val="00C23D57"/>
    <w:rsid w:val="00C23FCF"/>
    <w:rsid w:val="00C24DA7"/>
    <w:rsid w:val="00C254D0"/>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2A5"/>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5F93"/>
    <w:rsid w:val="00C67665"/>
    <w:rsid w:val="00C67EED"/>
    <w:rsid w:val="00C70412"/>
    <w:rsid w:val="00C706A9"/>
    <w:rsid w:val="00C70C8F"/>
    <w:rsid w:val="00C712E5"/>
    <w:rsid w:val="00C722D0"/>
    <w:rsid w:val="00C72A57"/>
    <w:rsid w:val="00C72B51"/>
    <w:rsid w:val="00C7309D"/>
    <w:rsid w:val="00C7353D"/>
    <w:rsid w:val="00C7363E"/>
    <w:rsid w:val="00C73644"/>
    <w:rsid w:val="00C73F58"/>
    <w:rsid w:val="00C748A6"/>
    <w:rsid w:val="00C74BFD"/>
    <w:rsid w:val="00C75C3F"/>
    <w:rsid w:val="00C76999"/>
    <w:rsid w:val="00C7762B"/>
    <w:rsid w:val="00C7791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57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1653"/>
    <w:rsid w:val="00CB223D"/>
    <w:rsid w:val="00CB2CCF"/>
    <w:rsid w:val="00CB2DF1"/>
    <w:rsid w:val="00CB2FB7"/>
    <w:rsid w:val="00CB348B"/>
    <w:rsid w:val="00CB3AD0"/>
    <w:rsid w:val="00CB3EBE"/>
    <w:rsid w:val="00CB3FC3"/>
    <w:rsid w:val="00CB4B64"/>
    <w:rsid w:val="00CB4DD1"/>
    <w:rsid w:val="00CB5517"/>
    <w:rsid w:val="00CB654C"/>
    <w:rsid w:val="00CB65B9"/>
    <w:rsid w:val="00CB77C6"/>
    <w:rsid w:val="00CB7E0C"/>
    <w:rsid w:val="00CC2E7F"/>
    <w:rsid w:val="00CC334D"/>
    <w:rsid w:val="00CC339B"/>
    <w:rsid w:val="00CC38C3"/>
    <w:rsid w:val="00CC5709"/>
    <w:rsid w:val="00CC6B4B"/>
    <w:rsid w:val="00CC7BF8"/>
    <w:rsid w:val="00CD0B38"/>
    <w:rsid w:val="00CD1CCE"/>
    <w:rsid w:val="00CD2835"/>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E76A1"/>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9BA"/>
    <w:rsid w:val="00D04B11"/>
    <w:rsid w:val="00D05045"/>
    <w:rsid w:val="00D05F74"/>
    <w:rsid w:val="00D06072"/>
    <w:rsid w:val="00D069AB"/>
    <w:rsid w:val="00D07AA3"/>
    <w:rsid w:val="00D07E9C"/>
    <w:rsid w:val="00D1011C"/>
    <w:rsid w:val="00D10776"/>
    <w:rsid w:val="00D10A2D"/>
    <w:rsid w:val="00D11B82"/>
    <w:rsid w:val="00D12407"/>
    <w:rsid w:val="00D12A79"/>
    <w:rsid w:val="00D12AA9"/>
    <w:rsid w:val="00D1471F"/>
    <w:rsid w:val="00D14C12"/>
    <w:rsid w:val="00D155C7"/>
    <w:rsid w:val="00D158B1"/>
    <w:rsid w:val="00D15B8D"/>
    <w:rsid w:val="00D15C65"/>
    <w:rsid w:val="00D15C68"/>
    <w:rsid w:val="00D16684"/>
    <w:rsid w:val="00D17A37"/>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6249"/>
    <w:rsid w:val="00D2793B"/>
    <w:rsid w:val="00D308B8"/>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A7C"/>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7D8"/>
    <w:rsid w:val="00D67B05"/>
    <w:rsid w:val="00D67B62"/>
    <w:rsid w:val="00D67F5E"/>
    <w:rsid w:val="00D70306"/>
    <w:rsid w:val="00D70A7F"/>
    <w:rsid w:val="00D711C7"/>
    <w:rsid w:val="00D716D5"/>
    <w:rsid w:val="00D72C58"/>
    <w:rsid w:val="00D731F9"/>
    <w:rsid w:val="00D73698"/>
    <w:rsid w:val="00D742C8"/>
    <w:rsid w:val="00D74776"/>
    <w:rsid w:val="00D76D2E"/>
    <w:rsid w:val="00D7710D"/>
    <w:rsid w:val="00D7722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33E"/>
    <w:rsid w:val="00DB7420"/>
    <w:rsid w:val="00DB7CFE"/>
    <w:rsid w:val="00DB7F40"/>
    <w:rsid w:val="00DC040E"/>
    <w:rsid w:val="00DC04E5"/>
    <w:rsid w:val="00DC15EF"/>
    <w:rsid w:val="00DC160B"/>
    <w:rsid w:val="00DC1BC3"/>
    <w:rsid w:val="00DC224C"/>
    <w:rsid w:val="00DC2A26"/>
    <w:rsid w:val="00DC5F6F"/>
    <w:rsid w:val="00DC67E0"/>
    <w:rsid w:val="00DC6CE6"/>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0D0"/>
    <w:rsid w:val="00E00365"/>
    <w:rsid w:val="00E008FC"/>
    <w:rsid w:val="00E00A02"/>
    <w:rsid w:val="00E00C50"/>
    <w:rsid w:val="00E02443"/>
    <w:rsid w:val="00E03234"/>
    <w:rsid w:val="00E03467"/>
    <w:rsid w:val="00E0350C"/>
    <w:rsid w:val="00E03A74"/>
    <w:rsid w:val="00E03FFA"/>
    <w:rsid w:val="00E047EF"/>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D2E"/>
    <w:rsid w:val="00E17F78"/>
    <w:rsid w:val="00E211C2"/>
    <w:rsid w:val="00E21D4F"/>
    <w:rsid w:val="00E2224B"/>
    <w:rsid w:val="00E22F11"/>
    <w:rsid w:val="00E23304"/>
    <w:rsid w:val="00E239FB"/>
    <w:rsid w:val="00E23F24"/>
    <w:rsid w:val="00E24705"/>
    <w:rsid w:val="00E24B44"/>
    <w:rsid w:val="00E25FA4"/>
    <w:rsid w:val="00E26BE9"/>
    <w:rsid w:val="00E275F6"/>
    <w:rsid w:val="00E3091F"/>
    <w:rsid w:val="00E315B4"/>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7322"/>
    <w:rsid w:val="00E50208"/>
    <w:rsid w:val="00E51314"/>
    <w:rsid w:val="00E5212F"/>
    <w:rsid w:val="00E52A0D"/>
    <w:rsid w:val="00E53ED7"/>
    <w:rsid w:val="00E54213"/>
    <w:rsid w:val="00E55220"/>
    <w:rsid w:val="00E55B94"/>
    <w:rsid w:val="00E56E3E"/>
    <w:rsid w:val="00E573EC"/>
    <w:rsid w:val="00E57493"/>
    <w:rsid w:val="00E60925"/>
    <w:rsid w:val="00E60ABF"/>
    <w:rsid w:val="00E60F3A"/>
    <w:rsid w:val="00E618BD"/>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5A30"/>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B82"/>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6F73"/>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430"/>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5EBB"/>
    <w:rsid w:val="00F073A7"/>
    <w:rsid w:val="00F0763F"/>
    <w:rsid w:val="00F076B8"/>
    <w:rsid w:val="00F10544"/>
    <w:rsid w:val="00F118B8"/>
    <w:rsid w:val="00F11C47"/>
    <w:rsid w:val="00F11FCA"/>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42F"/>
    <w:rsid w:val="00F26D16"/>
    <w:rsid w:val="00F27155"/>
    <w:rsid w:val="00F274ED"/>
    <w:rsid w:val="00F27706"/>
    <w:rsid w:val="00F30B11"/>
    <w:rsid w:val="00F30BF1"/>
    <w:rsid w:val="00F30D99"/>
    <w:rsid w:val="00F314DE"/>
    <w:rsid w:val="00F3254B"/>
    <w:rsid w:val="00F32C27"/>
    <w:rsid w:val="00F32CE8"/>
    <w:rsid w:val="00F332E9"/>
    <w:rsid w:val="00F34E36"/>
    <w:rsid w:val="00F35A62"/>
    <w:rsid w:val="00F36192"/>
    <w:rsid w:val="00F364C6"/>
    <w:rsid w:val="00F36749"/>
    <w:rsid w:val="00F368D8"/>
    <w:rsid w:val="00F369AA"/>
    <w:rsid w:val="00F36E38"/>
    <w:rsid w:val="00F3758C"/>
    <w:rsid w:val="00F37DDC"/>
    <w:rsid w:val="00F4067A"/>
    <w:rsid w:val="00F414D5"/>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3FE1"/>
    <w:rsid w:val="00F542C6"/>
    <w:rsid w:val="00F5432B"/>
    <w:rsid w:val="00F544E3"/>
    <w:rsid w:val="00F546F0"/>
    <w:rsid w:val="00F5483A"/>
    <w:rsid w:val="00F54F16"/>
    <w:rsid w:val="00F5563E"/>
    <w:rsid w:val="00F55A2A"/>
    <w:rsid w:val="00F55AC6"/>
    <w:rsid w:val="00F563A3"/>
    <w:rsid w:val="00F56BE1"/>
    <w:rsid w:val="00F56C6C"/>
    <w:rsid w:val="00F60467"/>
    <w:rsid w:val="00F618F1"/>
    <w:rsid w:val="00F61D56"/>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5776"/>
    <w:rsid w:val="00F7710E"/>
    <w:rsid w:val="00F7736A"/>
    <w:rsid w:val="00F77CB1"/>
    <w:rsid w:val="00F8158C"/>
    <w:rsid w:val="00F81872"/>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1EA5"/>
    <w:rsid w:val="00FB2C95"/>
    <w:rsid w:val="00FB5357"/>
    <w:rsid w:val="00FB5631"/>
    <w:rsid w:val="00FB576B"/>
    <w:rsid w:val="00FB5897"/>
    <w:rsid w:val="00FB5BC0"/>
    <w:rsid w:val="00FB61E6"/>
    <w:rsid w:val="00FB6242"/>
    <w:rsid w:val="00FB6706"/>
    <w:rsid w:val="00FB68C6"/>
    <w:rsid w:val="00FB6D38"/>
    <w:rsid w:val="00FB7786"/>
    <w:rsid w:val="00FB7C14"/>
    <w:rsid w:val="00FC00D7"/>
    <w:rsid w:val="00FC035F"/>
    <w:rsid w:val="00FC0664"/>
    <w:rsid w:val="00FC0B39"/>
    <w:rsid w:val="00FC1C15"/>
    <w:rsid w:val="00FC2A05"/>
    <w:rsid w:val="00FC39EF"/>
    <w:rsid w:val="00FC40FA"/>
    <w:rsid w:val="00FC4DAB"/>
    <w:rsid w:val="00FC5504"/>
    <w:rsid w:val="00FC5733"/>
    <w:rsid w:val="00FC6A67"/>
    <w:rsid w:val="00FC7244"/>
    <w:rsid w:val="00FC778E"/>
    <w:rsid w:val="00FC7CDF"/>
    <w:rsid w:val="00FD1468"/>
    <w:rsid w:val="00FD1812"/>
    <w:rsid w:val="00FD1AB7"/>
    <w:rsid w:val="00FD1E79"/>
    <w:rsid w:val="00FD1EC9"/>
    <w:rsid w:val="00FD2168"/>
    <w:rsid w:val="00FD22A0"/>
    <w:rsid w:val="00FD2BFE"/>
    <w:rsid w:val="00FD4E3B"/>
    <w:rsid w:val="00FD5118"/>
    <w:rsid w:val="00FD7148"/>
    <w:rsid w:val="00FD7307"/>
    <w:rsid w:val="00FE012F"/>
    <w:rsid w:val="00FE0C72"/>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4CEF"/>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0"/>
      </w:numPr>
      <w:spacing w:after="0" w:line="280" w:lineRule="atLeast"/>
      <w:ind w:hanging="360"/>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customStyle="1" w:styleId="UnresolvedMention1">
    <w:name w:val="Unresolved Mention1"/>
    <w:basedOn w:val="DefaultParagraphFont"/>
    <w:uiPriority w:val="99"/>
    <w:semiHidden/>
    <w:unhideWhenUsed/>
    <w:rsid w:val="00441EDA"/>
    <w:rPr>
      <w:color w:val="605E5C"/>
      <w:shd w:val="clear" w:color="auto" w:fill="E1DFDD"/>
    </w:rPr>
  </w:style>
  <w:style w:type="character" w:styleId="UnresolvedMention">
    <w:name w:val="Unresolved Mention"/>
    <w:basedOn w:val="DefaultParagraphFont"/>
    <w:uiPriority w:val="99"/>
    <w:semiHidden/>
    <w:unhideWhenUsed/>
    <w:rsid w:val="00F53F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1980291">
      <w:bodyDiv w:val="1"/>
      <w:marLeft w:val="0"/>
      <w:marRight w:val="0"/>
      <w:marTop w:val="0"/>
      <w:marBottom w:val="0"/>
      <w:divBdr>
        <w:top w:val="none" w:sz="0" w:space="0" w:color="auto"/>
        <w:left w:val="none" w:sz="0" w:space="0" w:color="auto"/>
        <w:bottom w:val="none" w:sz="0" w:space="0" w:color="auto"/>
        <w:right w:val="none" w:sz="0" w:space="0" w:color="auto"/>
      </w:divBdr>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4961754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2480240">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ei.edu/publications/riyadh-agreement-yemens-new-cabinet-and-what-remains-be-done" TargetMode="External"/><Relationship Id="rId18" Type="http://schemas.openxmlformats.org/officeDocument/2006/relationships/hyperlink" Target="https://sanaacenter.org/publications/analysis/7606" TargetMode="External"/><Relationship Id="rId26" Type="http://schemas.openxmlformats.org/officeDocument/2006/relationships/hyperlink" Target="https://www.chathamhouse.org/sites/default/files/publications/research/2018-03-27-yemen-southern-powder-keg-salisbury-final.pdf" TargetMode="External"/><Relationship Id="rId3" Type="http://schemas.openxmlformats.org/officeDocument/2006/relationships/numbering" Target="numbering.xml"/><Relationship Id="rId21" Type="http://schemas.openxmlformats.org/officeDocument/2006/relationships/hyperlink" Target="https://www.al-monitor.com/originals/2019/11/east-yemen-former-ruling-dynasty-mahra-sultanate-saudi.html"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s://adamsmithinternational.com/app/uploads/2019/03/the_essential_role_of_local_EN-Oct-.pdf" TargetMode="External"/><Relationship Id="rId17" Type="http://schemas.openxmlformats.org/officeDocument/2006/relationships/hyperlink" Target="https://www.al-monitor.com/originals/2019/11/east-yemen-former-ruling-dynasty-mahra-sultanate-saudi.html" TargetMode="External"/><Relationship Id="rId25" Type="http://schemas.openxmlformats.org/officeDocument/2006/relationships/hyperlink" Target="https://acleddata.com/2019/05/31/yemens-fractured-south-socotra-and-mahrah/"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sanaacenter.org/publications/main-publications/7893" TargetMode="External"/><Relationship Id="rId20" Type="http://schemas.openxmlformats.org/officeDocument/2006/relationships/hyperlink" Target="https://adamsmithinternational.com/app/uploads/2019/03/the_essential_role_of_local_EN-Oct-.pdf" TargetMode="External"/><Relationship Id="rId29" Type="http://schemas.openxmlformats.org/officeDocument/2006/relationships/hyperlink" Target="https://carnegieendowment.org/files/yemen_south_movement.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theatlantic.com/international/archive/2018/09/yemen-mukalla-uae-al-qaeda/570943/" TargetMode="External"/><Relationship Id="rId24" Type="http://schemas.openxmlformats.org/officeDocument/2006/relationships/hyperlink" Target="https://carnegie-mec.org/2020/02/20/mahra-yemen-shadow-conflict-worth-watching-pub-80986" TargetMode="External"/><Relationship Id="rId32" Type="http://schemas.openxmlformats.org/officeDocument/2006/relationships/hyperlink" Target="https://en.wikipedia.org/wiki/South_Yemen_insurgency" TargetMode="External"/><Relationship Id="rId5" Type="http://schemas.openxmlformats.org/officeDocument/2006/relationships/settings" Target="settings.xml"/><Relationship Id="rId15" Type="http://schemas.openxmlformats.org/officeDocument/2006/relationships/hyperlink" Target="https://www.chathamhouse.org/sites/default/files/publications/research/2018-03-27-yemen-southern-powder-keg-salisbury-final.pdf" TargetMode="External"/><Relationship Id="rId23" Type="http://schemas.openxmlformats.org/officeDocument/2006/relationships/hyperlink" Target="https://www.saisjournal.eu/article/38-Mahra-The-Eye-of-a-Geopolitical-Storm.cfm" TargetMode="External"/><Relationship Id="rId28" Type="http://schemas.openxmlformats.org/officeDocument/2006/relationships/hyperlink" Target="https://adamsmithinternational.com/app/uploads/2019/03/the_essential_role_of_local_EN-Oct-.pdf" TargetMode="External"/><Relationship Id="rId36" Type="http://schemas.openxmlformats.org/officeDocument/2006/relationships/theme" Target="theme/theme1.xml"/><Relationship Id="rId10" Type="http://schemas.openxmlformats.org/officeDocument/2006/relationships/hyperlink" Target="https://al-bab.com/blog/2014/06/yemen-and-future-hadhramaut" TargetMode="External"/><Relationship Id="rId19" Type="http://schemas.openxmlformats.org/officeDocument/2006/relationships/hyperlink" Target="https://sanaacenter.org/publications/analysis/7606" TargetMode="External"/><Relationship Id="rId31" Type="http://schemas.openxmlformats.org/officeDocument/2006/relationships/hyperlink" Target="https://www.mei.edu/publications/riyadh-agreement-yemens-new-cabinet-and-what-remains-be-done" TargetMode="External"/><Relationship Id="rId4" Type="http://schemas.openxmlformats.org/officeDocument/2006/relationships/styles" Target="styles.xml"/><Relationship Id="rId9" Type="http://schemas.openxmlformats.org/officeDocument/2006/relationships/hyperlink" Target="https://english.alarabiya.net/News/middle-east/2017/06/29/Yemen-s-president-appoints-new-governors-for-Shabwa-Hadramout-and-Socotra-" TargetMode="External"/><Relationship Id="rId14" Type="http://schemas.openxmlformats.org/officeDocument/2006/relationships/hyperlink" Target="https://www.ispionline.it/en/pubblicazione/yemens-southern-secessionists-divided-regional-identities-19930" TargetMode="External"/><Relationship Id="rId22" Type="http://schemas.openxmlformats.org/officeDocument/2006/relationships/hyperlink" Target="https://www.geocurrents.info/geopolitics/autonomous-zones/yemens-beleaguered-al-mahrah-seeks-autonomy" TargetMode="External"/><Relationship Id="rId27" Type="http://schemas.openxmlformats.org/officeDocument/2006/relationships/hyperlink" Target="https://www.aljazeera.com/news/2019/9/20/who-are-south-yemens-separatists" TargetMode="External"/><Relationship Id="rId30" Type="http://schemas.openxmlformats.org/officeDocument/2006/relationships/hyperlink" Target="https://www.hrw.org/report/2009/12/15/name-unity/yemeni-governments-brutal-response-southern-movement-protests" TargetMode="Externa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4348F6-01C4-4DFD-9FE4-7430B448F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1160</TotalTime>
  <Pages>21</Pages>
  <Words>10264</Words>
  <Characters>58511</Characters>
  <Application>Microsoft Office Word</Application>
  <DocSecurity>0</DocSecurity>
  <Lines>487</Lines>
  <Paragraphs>137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68638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 Germann; Sarah Clowry</dc:creator>
  <cp:lastModifiedBy>Micha Germann</cp:lastModifiedBy>
  <cp:revision>29</cp:revision>
  <dcterms:created xsi:type="dcterms:W3CDTF">2022-08-20T14:53:00Z</dcterms:created>
  <dcterms:modified xsi:type="dcterms:W3CDTF">2023-11-17T09:53:00Z</dcterms:modified>
</cp:coreProperties>
</file>