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THE AI-NATIVE ORGANISATION</w:t>
      </w:r>
    </w:p>
    <w:p>
      <w:pPr>
        <w:pBdr>
          <w:bottom w:val="single" w:color="2E86AB" w:sz="6" w:space="8"/>
        </w:pBdr>
        <w:spacing w:after="100"/>
        <w:jc w:val="center"/>
      </w:pPr>
      <w:r>
        <w:rPr>
          <w:rFonts w:ascii="Arial" w:cs="Arial" w:eastAsia="Arial" w:hAnsi="Arial"/>
          <w:color w:val="2E86AB"/>
          <w:sz w:val="28"/>
          <w:szCs w:val="28"/>
        </w:rPr>
        <w:t xml:space="preserve">Human Conductors, AI Agents, and</w:t>
      </w:r>
    </w:p>
    <w:p>
      <w:pPr>
        <w:spacing w:after="600"/>
        <w:jc w:val="center"/>
      </w:pPr>
      <w:r>
        <w:rPr>
          <w:rFonts w:ascii="Arial" w:cs="Arial" w:eastAsia="Arial" w:hAnsi="Arial"/>
          <w:color w:val="2E86AB"/>
          <w:sz w:val="28"/>
          <w:szCs w:val="28"/>
        </w:rPr>
        <w:t xml:space="preserve">the Areas-of-Focus Operating Model</w:t>
      </w:r>
    </w:p>
    <w:p>
      <w:pPr>
        <w:spacing w:after="100"/>
        <w:jc w:val="center"/>
      </w:pPr>
      <w:r>
        <w:rPr>
          <w:rFonts w:ascii="Arial" w:cs="Arial" w:eastAsia="Arial" w:hAnsi="Arial"/>
          <w:i/>
          <w:iCs/>
          <w:color w:val="0D1B2A"/>
          <w:sz w:val="22"/>
          <w:szCs w:val="22"/>
        </w:rPr>
        <w:t xml:space="preserve">A Framework for Post-Functional Enterprise Design</w:t>
      </w:r>
    </w:p>
    <w:p>
      <w:pPr>
        <w:spacing w:after="60"/>
        <w:jc w:val="center"/>
      </w:pPr>
      <w:r>
        <w:rPr>
          <w:rFonts w:ascii="Arial" w:cs="Arial" w:eastAsia="Arial" w:hAnsi="Arial"/>
          <w:color w:val="0D1B2A"/>
          <w:sz w:val="22"/>
          <w:szCs w:val="22"/>
        </w:rPr>
        <w:t xml:space="preserve">February 2026</w:t>
      </w:r>
    </w:p>
    <w:p>
      <w:pPr>
        <w:spacing w:after="60"/>
        <w:jc w:val="center"/>
      </w:pPr>
      <w:r>
        <w:rPr>
          <w:rFonts w:ascii="Arial" w:cs="Arial" w:eastAsia="Arial" w:hAnsi="Arial"/>
          <w:b/>
          <w:bCs/>
          <w:color w:val="2E86AB"/>
          <w:sz w:val="20"/>
          <w:szCs w:val="20"/>
        </w:rPr>
        <w:t xml:space="preserve">WORKING PAPER</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Abstract</w:t>
      </w:r>
    </w:p>
    <w:p>
      <w:pPr>
        <w:spacing w:after="180" w:line="300"/>
        <w:jc w:val="both"/>
      </w:pPr>
      <w:r>
        <w:rPr>
          <w:rFonts w:ascii="Arial" w:cs="Arial" w:eastAsia="Arial" w:hAnsi="Arial"/>
          <w:color w:val="0D1B2A"/>
          <w:sz w:val="22"/>
          <w:szCs w:val="22"/>
        </w:rPr>
        <w:t xml:space="preserve">The traditional organisation chart—with its rigid departmental silos, hierarchical reporting lines, and functionally-defined roles—was designed for a world in which human labour was the only available means of executing operational work. As artificial intelligence systems achieve and surpass human-level performance across an expanding set of cognitive and operational tasks, this architecture becomes not merely inefficient but fundamentally misaligned with the capabilities now available. This paper proposes a radically different organisational model: the AI-Native Organisation, in which a small set of humans serve as Conductors—strategic orchestrators organised around Areas-of-Focus—while networked AI agents perform the entirety of functional execution. We present the theoretical foundations, structural design, governance mechanisms, and implementation pathway for this model, arguing that it represents not an incremental improvement but a phase transition in how value-creating institutions are constituted.</w:t>
      </w:r>
    </w:p>
    <w:p>
      <w:pPr>
        <w:pStyle w:val="Heading1"/>
        <w:spacing w:before="360" w:after="200"/>
      </w:pPr>
      <w:r>
        <w:rPr>
          <w:rFonts w:ascii="Arial" w:cs="Arial" w:eastAsia="Arial" w:hAnsi="Arial"/>
          <w:b/>
          <w:bCs/>
          <w:color w:val="1B3A5C"/>
          <w:sz w:val="32"/>
          <w:szCs w:val="32"/>
        </w:rPr>
        <w:t xml:space="preserve">1. Introduction: The End of the Functional Organisation</w:t>
      </w:r>
    </w:p>
    <w:p>
      <w:pPr>
        <w:spacing w:after="180" w:line="300"/>
        <w:jc w:val="both"/>
      </w:pPr>
      <w:r>
        <w:rPr>
          <w:rFonts w:ascii="Arial" w:cs="Arial" w:eastAsia="Arial" w:hAnsi="Arial"/>
          <w:color w:val="0D1B2A"/>
          <w:sz w:val="22"/>
          <w:szCs w:val="22"/>
        </w:rPr>
        <w:t xml:space="preserve">For over a century, the dominant template for organising human enterprise has been the functional hierarchy. Originating in the industrial theories of Frederick Taylor and refined through the divisional structures championed by Alfred Sloan, this model assumes a fundamental constraint: that work must be decomposed into specialised tasks, each assigned to trained humans grouped into departments—finance, marketing, engineering, human resources, operations—under layers of management whose primary role is coordination and control.</w:t>
      </w:r>
    </w:p>
    <w:p>
      <w:pPr>
        <w:spacing w:after="180" w:line="300"/>
        <w:jc w:val="both"/>
      </w:pPr>
      <w:r>
        <w:rPr>
          <w:rFonts w:ascii="Arial" w:cs="Arial" w:eastAsia="Arial" w:hAnsi="Arial"/>
          <w:color w:val="0D1B2A"/>
          <w:sz w:val="22"/>
          <w:szCs w:val="22"/>
        </w:rPr>
        <w:t xml:space="preserve">This model was brilliantly suited to its era. When all productive capacity resided in human minds and hands, specialisation created efficiency, hierarchy enabled coordination, and departmental boundaries provided the cognitive scaffolding necessary to manage complexity. But the constraint that gave rise to this architecture—that only humans could perform knowledge work—is dissolving.</w:t>
      </w:r>
    </w:p>
    <w:p>
      <w:pPr>
        <w:spacing w:after="180" w:line="300"/>
        <w:jc w:val="both"/>
      </w:pPr>
      <w:r>
        <w:rPr>
          <w:rFonts w:ascii="Arial" w:cs="Arial" w:eastAsia="Arial" w:hAnsi="Arial"/>
          <w:color w:val="0D1B2A"/>
          <w:sz w:val="22"/>
          <w:szCs w:val="22"/>
        </w:rPr>
        <w:t xml:space="preserve">Large language models, autonomous coding agents, multi-modal reasoning systems, and agentic AI frameworks now demonstrate the ability to perform tasks that once required years of specialised human training: drafting legal contracts, generating financial analyses, writing and debugging software, producing marketing content, managing supply chains, and conducting research. More critically, these systems can operate continuously, scale instantly, coordinate without the friction of organisational politics, and maintain perfect memory of every prior interaction.</w:t>
      </w:r>
    </w:p>
    <w:p>
      <w:pPr>
        <w:spacing w:after="180" w:line="300"/>
        <w:jc w:val="both"/>
      </w:pPr>
      <w:r>
        <w:rPr>
          <w:rFonts w:ascii="Arial" w:cs="Arial" w:eastAsia="Arial" w:hAnsi="Arial"/>
          <w:color w:val="0D1B2A"/>
          <w:sz w:val="22"/>
          <w:szCs w:val="22"/>
        </w:rPr>
        <w:t xml:space="preserve">The question is no longer whether AI can do the work. The question is: if AI can do the work, what is the optimal structure for the humans who remain? This paper argues that the answer is not a slightly flattened version of the existing hierarchy, nor a matrix organisation augmented with chatbots. It is something fundamentally new—an AI-Native Organisation built from first principles around the capabilities of artificial intelligence, with humans repositioned from workers to conductors.</w:t>
      </w:r>
    </w:p>
    <w:p>
      <w:pPr>
        <w:pStyle w:val="Heading1"/>
        <w:spacing w:before="360" w:after="200"/>
      </w:pPr>
      <w:r>
        <w:rPr>
          <w:rFonts w:ascii="Arial" w:cs="Arial" w:eastAsia="Arial" w:hAnsi="Arial"/>
          <w:b/>
          <w:bCs/>
          <w:color w:val="1B3A5C"/>
          <w:sz w:val="32"/>
          <w:szCs w:val="32"/>
        </w:rPr>
        <w:t xml:space="preserve">2. Theoretical Foundations</w:t>
      </w:r>
    </w:p>
    <w:p>
      <w:pPr>
        <w:pStyle w:val="Heading2"/>
        <w:spacing w:before="240" w:after="200"/>
      </w:pPr>
      <w:r>
        <w:rPr>
          <w:rFonts w:ascii="Arial" w:cs="Arial" w:eastAsia="Arial" w:hAnsi="Arial"/>
          <w:b/>
          <w:bCs/>
          <w:color w:val="1B3A5C"/>
          <w:sz w:val="26"/>
          <w:szCs w:val="26"/>
        </w:rPr>
        <w:t xml:space="preserve">2.1 The Conductor Metaphor</w:t>
      </w:r>
    </w:p>
    <w:p>
      <w:pPr>
        <w:spacing w:after="180" w:line="300"/>
        <w:jc w:val="both"/>
      </w:pPr>
      <w:r>
        <w:rPr>
          <w:rFonts w:ascii="Arial" w:cs="Arial" w:eastAsia="Arial" w:hAnsi="Arial"/>
          <w:color w:val="0D1B2A"/>
          <w:sz w:val="22"/>
          <w:szCs w:val="22"/>
        </w:rPr>
        <w:t xml:space="preserve">The metaphor of the orchestral conductor provides the most precise analogy for the human role in an AI-native organisation. A conductor does not play any instrument. They do not produce the sound that reaches the audience. Yet without the conductor, the orchestra—however talented its individual musicians—cannot produce a coherent, emotionally resonant performance. The conductor provides interpretation, tempo, dynamics, and above all, intentionality. They translate a vision of what the music should become into signals that coordinate dozens of independent performers into a unified whole.</w:t>
      </w:r>
    </w:p>
    <w:p>
      <w:pPr>
        <w:spacing w:after="180" w:line="300"/>
        <w:jc w:val="both"/>
      </w:pPr>
      <w:r>
        <w:rPr>
          <w:rFonts w:ascii="Arial" w:cs="Arial" w:eastAsia="Arial" w:hAnsi="Arial"/>
          <w:color w:val="0D1B2A"/>
          <w:sz w:val="22"/>
          <w:szCs w:val="22"/>
        </w:rPr>
        <w:t xml:space="preserve">In the AI-Native Organisation, human Conductors serve an analogous function. They do not write the code, draft the contracts, design the campaigns, or process the data. AI agents do all of that. What Conductors provide is what artificial intelligence, in its current and foreseeable forms, cannot: purposeful direction rooted in human values, stakeholder empathy, ethical judgment, and the kind of contextual wisdom that emerges from lived experience rather than pattern matching.</w:t>
      </w:r>
    </w:p>
    <w:p>
      <w:pPr>
        <w:pStyle w:val="Heading2"/>
        <w:spacing w:before="240" w:after="200"/>
      </w:pPr>
      <w:r>
        <w:rPr>
          <w:rFonts w:ascii="Arial" w:cs="Arial" w:eastAsia="Arial" w:hAnsi="Arial"/>
          <w:b/>
          <w:bCs/>
          <w:color w:val="1B3A5C"/>
          <w:sz w:val="26"/>
          <w:szCs w:val="26"/>
        </w:rPr>
        <w:t xml:space="preserve">2.2 Areas-of-Focus vs. Functional Departments</w:t>
      </w:r>
    </w:p>
    <w:p>
      <w:pPr>
        <w:spacing w:after="180" w:line="300"/>
        <w:jc w:val="both"/>
      </w:pPr>
      <w:r>
        <w:rPr>
          <w:rFonts w:ascii="Arial" w:cs="Arial" w:eastAsia="Arial" w:hAnsi="Arial"/>
          <w:color w:val="0D1B2A"/>
          <w:sz w:val="22"/>
          <w:szCs w:val="22"/>
        </w:rPr>
        <w:t xml:space="preserve">Traditional departments are defined by the type of work performed: the finance department does financial work, the marketing department does marketing work. This made sense when work was inseparable from the worker. But when AI agents can perform any type of functional work, organising by function becomes arbitrary and counterproductive.</w:t>
      </w:r>
    </w:p>
    <w:p>
      <w:pPr>
        <w:spacing w:after="180" w:line="300"/>
        <w:jc w:val="both"/>
      </w:pPr>
      <w:r>
        <w:rPr>
          <w:rFonts w:ascii="Arial" w:cs="Arial" w:eastAsia="Arial" w:hAnsi="Arial"/>
          <w:color w:val="0D1B2A"/>
          <w:sz w:val="22"/>
          <w:szCs w:val="22"/>
        </w:rPr>
        <w:t xml:space="preserve">Areas-of-Focus represent a fundamentally different organising principle. Instead of grouping by the nature of the task, they group by the strategic outcome being pursued. An Area-of-Focus might be “Customer Trust,” “Market Expansion,” “Operational Resilience,” or “Innovation Velocity.” Each Area-of-Focus is a domain of strategic intent, not a collection of similar activities.</w:t>
      </w:r>
    </w:p>
    <w:p>
      <w:pPr>
        <w:spacing w:after="180" w:line="300"/>
        <w:jc w:val="both"/>
      </w:pPr>
      <w:r>
        <w:rPr>
          <w:rFonts w:ascii="Arial" w:cs="Arial" w:eastAsia="Arial" w:hAnsi="Arial"/>
          <w:color w:val="0D1B2A"/>
          <w:sz w:val="22"/>
          <w:szCs w:val="22"/>
        </w:rPr>
        <w:t xml:space="preserve">This distinction is critical. A traditional marketing department might run campaigns, manage brand, and conduct market research—all under one roof because all are “marketing activities.” In the AI-Native Organisation, a campaign supporting customer trust is orchestrated under the Customer Trust focus area, while a campaign driving market expansion is orchestrated under Market Expansion—even though both involve the same underlying AI agents performing the same types of tasks. The organising logic shifts from input (what kind of work?) to output (what strategic outcome?).</w:t>
      </w:r>
    </w:p>
    <w:p>
      <w:pPr>
        <w:pStyle w:val="Heading2"/>
        <w:spacing w:before="240" w:after="200"/>
      </w:pPr>
      <w:r>
        <w:rPr>
          <w:rFonts w:ascii="Arial" w:cs="Arial" w:eastAsia="Arial" w:hAnsi="Arial"/>
          <w:b/>
          <w:bCs/>
          <w:color w:val="1B3A5C"/>
          <w:sz w:val="26"/>
          <w:szCs w:val="26"/>
        </w:rPr>
        <w:t xml:space="preserve">2.3 The Agent Workforce</w:t>
      </w:r>
    </w:p>
    <w:p>
      <w:pPr>
        <w:spacing w:after="180" w:line="300"/>
        <w:jc w:val="both"/>
      </w:pPr>
      <w:r>
        <w:rPr>
          <w:rFonts w:ascii="Arial" w:cs="Arial" w:eastAsia="Arial" w:hAnsi="Arial"/>
          <w:color w:val="0D1B2A"/>
          <w:sz w:val="22"/>
          <w:szCs w:val="22"/>
        </w:rPr>
        <w:t xml:space="preserve">AI agents in this model are not tools that humans use. They are workers that Conductors direct. This distinction matters enormously for organisational design. A tool augments a human’s existing capabilities; a worker performs tasks independently under direction. The AI agents envisioned here operate with a degree of autonomy that makes them functional equivalents of human employees, albeit with radically different characteristics: they do not tire, they scale horizontally, they can be versioned and rolled back, they maintain perfect operational logs, and they can be specialised or generalised on demand.</w:t>
      </w:r>
    </w:p>
    <w:p>
      <w:pPr>
        <w:spacing w:after="180" w:line="300"/>
        <w:jc w:val="both"/>
      </w:pPr>
      <w:r>
        <w:rPr>
          <w:rFonts w:ascii="Arial" w:cs="Arial" w:eastAsia="Arial" w:hAnsi="Arial"/>
          <w:color w:val="0D1B2A"/>
          <w:sz w:val="22"/>
          <w:szCs w:val="22"/>
        </w:rPr>
        <w:t xml:space="preserve">The agent workforce operates across a spectrum of autonomy. Some agents handle fully automated workflows—processing invoices, monitoring systems, generating routine reports—with no human involvement beyond initial configuration. Others operate in semi-autonomous mode, executing complex tasks but surfacing decision points to their Conductor for judgment calls. Still others function as collaborative partners, working interactively with Conductors on problems that require the interplay of human intuition and machine capability.</w:t>
      </w:r>
    </w:p>
    <w:p>
      <w:pPr>
        <w:pStyle w:val="Heading1"/>
        <w:spacing w:before="360" w:after="200"/>
      </w:pPr>
      <w:r>
        <w:rPr>
          <w:rFonts w:ascii="Arial" w:cs="Arial" w:eastAsia="Arial" w:hAnsi="Arial"/>
          <w:b/>
          <w:bCs/>
          <w:color w:val="1B3A5C"/>
          <w:sz w:val="32"/>
          <w:szCs w:val="32"/>
        </w:rPr>
        <w:t xml:space="preserve">3. Structural Design of the AI-Native Organisation</w:t>
      </w:r>
    </w:p>
    <w:p>
      <w:pPr>
        <w:pStyle w:val="Heading2"/>
        <w:spacing w:before="240" w:after="200"/>
      </w:pPr>
      <w:r>
        <w:rPr>
          <w:rFonts w:ascii="Arial" w:cs="Arial" w:eastAsia="Arial" w:hAnsi="Arial"/>
          <w:b/>
          <w:bCs/>
          <w:color w:val="1B3A5C"/>
          <w:sz w:val="26"/>
          <w:szCs w:val="26"/>
        </w:rPr>
        <w:t xml:space="preserve">3.1 The Three-Layer Architecture</w:t>
      </w:r>
    </w:p>
    <w:p>
      <w:pPr>
        <w:spacing w:after="180" w:line="300"/>
        <w:jc w:val="both"/>
      </w:pPr>
      <w:r>
        <w:rPr>
          <w:rFonts w:ascii="Arial" w:cs="Arial" w:eastAsia="Arial" w:hAnsi="Arial"/>
          <w:color w:val="0D1B2A"/>
          <w:sz w:val="22"/>
          <w:szCs w:val="22"/>
        </w:rPr>
        <w:t xml:space="preserve">The AI-Native Organisation comprises three distinct layers, each with clear responsibilities and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Composition</w:t>
            </w:r>
          </w:p>
        </w:tc>
        <w:tc>
          <w:tcPr>
            <w:tcW w:type="dxa" w:w="43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20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b/>
                <w:bCs/>
                <w:color w:val="0D1B2A"/>
                <w:sz w:val="20"/>
                <w:szCs w:val="20"/>
              </w:rPr>
              <w:t xml:space="preserve">Strategic Canopy</w:t>
            </w:r>
          </w:p>
        </w:tc>
        <w:tc>
          <w:tcPr>
            <w:tcW w:type="dxa" w:w="280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color w:val="0D1B2A"/>
                <w:sz w:val="20"/>
                <w:szCs w:val="20"/>
              </w:rPr>
              <w:t xml:space="preserve">3–7 Conductors</w:t>
            </w:r>
          </w:p>
        </w:tc>
        <w:tc>
          <w:tcPr>
            <w:tcW w:type="dxa" w:w="436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color w:val="0D1B2A"/>
                <w:sz w:val="20"/>
                <w:szCs w:val="20"/>
              </w:rPr>
              <w:t xml:space="preserve">Vision, values, stakeholder relationships, ethical guardrails, cross-focus arbitration</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bCs/>
                <w:color w:val="0D1B2A"/>
                <w:sz w:val="20"/>
                <w:szCs w:val="20"/>
              </w:rPr>
              <w:t xml:space="preserve">Orchestration Layer</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0D1B2A"/>
                <w:sz w:val="20"/>
                <w:szCs w:val="20"/>
              </w:rPr>
              <w:t xml:space="preserve">Conductor per Area-of-Focus</w:t>
            </w:r>
          </w:p>
        </w:tc>
        <w:tc>
          <w:tcPr>
            <w:tcW w:type="dxa" w:w="4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0D1B2A"/>
                <w:sz w:val="20"/>
                <w:szCs w:val="20"/>
              </w:rPr>
              <w:t xml:space="preserve">Translating strategic intent into agent workflows; monitoring outcomes; making judgment calls at decision points</w:t>
            </w:r>
          </w:p>
        </w:tc>
      </w:tr>
      <w:tr>
        <w:tc>
          <w:tcPr>
            <w:tcW w:type="dxa" w:w="220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b/>
                <w:bCs/>
                <w:color w:val="0D1B2A"/>
                <w:sz w:val="20"/>
                <w:szCs w:val="20"/>
              </w:rPr>
              <w:t xml:space="preserve">Execution Fabric</w:t>
            </w:r>
          </w:p>
        </w:tc>
        <w:tc>
          <w:tcPr>
            <w:tcW w:type="dxa" w:w="280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color w:val="0D1B2A"/>
                <w:sz w:val="20"/>
                <w:szCs w:val="20"/>
              </w:rPr>
              <w:t xml:space="preserve">Networked AI agents</w:t>
            </w:r>
          </w:p>
        </w:tc>
        <w:tc>
          <w:tcPr>
            <w:tcW w:type="dxa" w:w="436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color w:val="0D1B2A"/>
                <w:sz w:val="20"/>
                <w:szCs w:val="20"/>
              </w:rPr>
              <w:t xml:space="preserve">All functional work: analysis, content, code, operations, finance, legal, research, communications, design</w:t>
            </w:r>
          </w:p>
        </w:tc>
      </w:tr>
    </w:tbl>
    <w:p>
      <w:pPr>
        <w:spacing w:after="240"/>
      </w:pPr>
    </w:p>
    <w:p>
      <w:pPr>
        <w:pStyle w:val="Heading2"/>
        <w:spacing w:before="240" w:after="200"/>
      </w:pPr>
      <w:r>
        <w:rPr>
          <w:rFonts w:ascii="Arial" w:cs="Arial" w:eastAsia="Arial" w:hAnsi="Arial"/>
          <w:b/>
          <w:bCs/>
          <w:color w:val="1B3A5C"/>
          <w:sz w:val="26"/>
          <w:szCs w:val="26"/>
        </w:rPr>
        <w:t xml:space="preserve">3.2 The Conductor Role in Depth</w:t>
      </w:r>
    </w:p>
    <w:p>
      <w:pPr>
        <w:spacing w:after="180" w:line="300"/>
        <w:jc w:val="both"/>
      </w:pPr>
      <w:r>
        <w:rPr>
          <w:rFonts w:ascii="Arial" w:cs="Arial" w:eastAsia="Arial" w:hAnsi="Arial"/>
          <w:color w:val="0D1B2A"/>
          <w:sz w:val="22"/>
          <w:szCs w:val="22"/>
        </w:rPr>
        <w:t xml:space="preserve">Each Conductor owns one Area-of-Focus. Their role encompasses several interconnected responsibilities that no current AI system can reliably fulfil.</w:t>
      </w:r>
    </w:p>
    <w:p>
      <w:pPr>
        <w:pStyle w:val="ListParagraph"/>
        <w:numPr>
          <w:ilvl w:val="0"/>
          <w:numId w:val="2"/>
        </w:numPr>
        <w:spacing w:after="100" w:line="280"/>
      </w:pPr>
      <w:r>
        <w:rPr>
          <w:rFonts w:ascii="Arial" w:cs="Arial" w:eastAsia="Arial" w:hAnsi="Arial"/>
          <w:b/>
          <w:bCs/>
          <w:color w:val="0D1B2A"/>
          <w:sz w:val="22"/>
          <w:szCs w:val="22"/>
        </w:rPr>
        <w:t xml:space="preserve">Strategic Interpretation: </w:t>
      </w:r>
      <w:r>
        <w:rPr>
          <w:rFonts w:ascii="Arial" w:cs="Arial" w:eastAsia="Arial" w:hAnsi="Arial"/>
          <w:color w:val="0D1B2A"/>
          <w:sz w:val="22"/>
          <w:szCs w:val="22"/>
        </w:rPr>
        <w:t xml:space="preserve">Translating ambiguous, evolving organisational goals into concrete directives that AI agents can act upon. This requires understanding not just what the organisation wants to achieve, but why—the values, trade-offs, and unstated assumptions that inform strategy.</w:t>
      </w:r>
    </w:p>
    <w:p>
      <w:pPr>
        <w:pStyle w:val="ListParagraph"/>
        <w:numPr>
          <w:ilvl w:val="0"/>
          <w:numId w:val="2"/>
        </w:numPr>
        <w:spacing w:after="100" w:line="280"/>
      </w:pPr>
      <w:r>
        <w:rPr>
          <w:rFonts w:ascii="Arial" w:cs="Arial" w:eastAsia="Arial" w:hAnsi="Arial"/>
          <w:b/>
          <w:bCs/>
          <w:color w:val="0D1B2A"/>
          <w:sz w:val="22"/>
          <w:szCs w:val="22"/>
        </w:rPr>
        <w:t xml:space="preserve">Judgment at Uncertainty: </w:t>
      </w:r>
      <w:r>
        <w:rPr>
          <w:rFonts w:ascii="Arial" w:cs="Arial" w:eastAsia="Arial" w:hAnsi="Arial"/>
          <w:color w:val="0D1B2A"/>
          <w:sz w:val="22"/>
          <w:szCs w:val="22"/>
        </w:rPr>
        <w:t xml:space="preserve">Making decisions in situations where data is incomplete, stakes are high, and the consequences involve human welfare or ethical considerations. AI agents can surface options and probabilities; Conductors choose among them.</w:t>
      </w:r>
    </w:p>
    <w:p>
      <w:pPr>
        <w:pStyle w:val="ListParagraph"/>
        <w:numPr>
          <w:ilvl w:val="0"/>
          <w:numId w:val="2"/>
        </w:numPr>
        <w:spacing w:after="100" w:line="280"/>
      </w:pPr>
      <w:r>
        <w:rPr>
          <w:rFonts w:ascii="Arial" w:cs="Arial" w:eastAsia="Arial" w:hAnsi="Arial"/>
          <w:b/>
          <w:bCs/>
          <w:color w:val="0D1B2A"/>
          <w:sz w:val="22"/>
          <w:szCs w:val="22"/>
        </w:rPr>
        <w:t xml:space="preserve">Stakeholder Navigation: </w:t>
      </w:r>
      <w:r>
        <w:rPr>
          <w:rFonts w:ascii="Arial" w:cs="Arial" w:eastAsia="Arial" w:hAnsi="Arial"/>
          <w:color w:val="0D1B2A"/>
          <w:sz w:val="22"/>
          <w:szCs w:val="22"/>
        </w:rPr>
        <w:t xml:space="preserve">Managing relationships with customers, partners, regulators, and communities that require empathy, political awareness, and the ability to make commitments on behalf of the organisation.</w:t>
      </w:r>
    </w:p>
    <w:p>
      <w:pPr>
        <w:pStyle w:val="ListParagraph"/>
        <w:numPr>
          <w:ilvl w:val="0"/>
          <w:numId w:val="2"/>
        </w:numPr>
        <w:spacing w:after="100" w:line="280"/>
      </w:pPr>
      <w:r>
        <w:rPr>
          <w:rFonts w:ascii="Arial" w:cs="Arial" w:eastAsia="Arial" w:hAnsi="Arial"/>
          <w:b/>
          <w:bCs/>
          <w:color w:val="0D1B2A"/>
          <w:sz w:val="22"/>
          <w:szCs w:val="22"/>
        </w:rPr>
        <w:t xml:space="preserve">Cross-Focus Coordination: </w:t>
      </w:r>
      <w:r>
        <w:rPr>
          <w:rFonts w:ascii="Arial" w:cs="Arial" w:eastAsia="Arial" w:hAnsi="Arial"/>
          <w:color w:val="0D1B2A"/>
          <w:sz w:val="22"/>
          <w:szCs w:val="22"/>
        </w:rPr>
        <w:t xml:space="preserve">Working with other Conductors to resolve conflicts between Areas-of-Focus. When Market Expansion initiatives conflict with Operational Resilience concerns, humans must negotiate the trade-off.</w:t>
      </w:r>
    </w:p>
    <w:p>
      <w:pPr>
        <w:pStyle w:val="ListParagraph"/>
        <w:numPr>
          <w:ilvl w:val="0"/>
          <w:numId w:val="2"/>
        </w:numPr>
        <w:spacing w:after="100" w:line="280"/>
      </w:pPr>
      <w:r>
        <w:rPr>
          <w:rFonts w:ascii="Arial" w:cs="Arial" w:eastAsia="Arial" w:hAnsi="Arial"/>
          <w:b/>
          <w:bCs/>
          <w:color w:val="0D1B2A"/>
          <w:sz w:val="22"/>
          <w:szCs w:val="22"/>
        </w:rPr>
        <w:t xml:space="preserve">Ethical Oversight: </w:t>
      </w:r>
      <w:r>
        <w:rPr>
          <w:rFonts w:ascii="Arial" w:cs="Arial" w:eastAsia="Arial" w:hAnsi="Arial"/>
          <w:color w:val="0D1B2A"/>
          <w:sz w:val="22"/>
          <w:szCs w:val="22"/>
        </w:rPr>
        <w:t xml:space="preserve">Ensuring that agent actions align with organisational values and societal norms. This includes monitoring for bias, ensuring fairness, and making the kind of moral judgments that cannot be reduced to algorithms.</w:t>
      </w:r>
    </w:p>
    <w:p>
      <w:pPr>
        <w:pStyle w:val="Heading2"/>
        <w:spacing w:before="240" w:after="200"/>
      </w:pPr>
      <w:r>
        <w:rPr>
          <w:rFonts w:ascii="Arial" w:cs="Arial" w:eastAsia="Arial" w:hAnsi="Arial"/>
          <w:b/>
          <w:bCs/>
          <w:color w:val="1B3A5C"/>
          <w:sz w:val="26"/>
          <w:szCs w:val="26"/>
        </w:rPr>
        <w:t xml:space="preserve">3.3 Agent Taxonomy</w:t>
      </w:r>
    </w:p>
    <w:p>
      <w:pPr>
        <w:spacing w:after="180" w:line="300"/>
        <w:jc w:val="both"/>
      </w:pPr>
      <w:r>
        <w:rPr>
          <w:rFonts w:ascii="Arial" w:cs="Arial" w:eastAsia="Arial" w:hAnsi="Arial"/>
          <w:color w:val="0D1B2A"/>
          <w:sz w:val="22"/>
          <w:szCs w:val="22"/>
        </w:rPr>
        <w:t xml:space="preserve">The execution fabric consists of multiple categories of AI agents, each optimised for different types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 Type</w:t>
            </w:r>
          </w:p>
        </w:tc>
        <w:tc>
          <w:tcPr>
            <w:tcW w:type="dxa" w:w="368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Characteristics</w:t>
            </w:r>
          </w:p>
        </w:tc>
        <w:tc>
          <w:tcPr>
            <w:tcW w:type="dxa" w:w="368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Deployments</w:t>
            </w:r>
          </w:p>
        </w:tc>
      </w:tr>
      <w:tr>
        <w:tc>
          <w:tcPr>
            <w:tcW w:type="dxa" w:w="200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b/>
                <w:bCs/>
                <w:color w:val="0D1B2A"/>
                <w:sz w:val="20"/>
                <w:szCs w:val="20"/>
              </w:rPr>
              <w:t xml:space="preserve">Specialist Agents</w:t>
            </w:r>
          </w:p>
        </w:tc>
        <w:tc>
          <w:tcPr>
            <w:tcW w:type="dxa" w:w="368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color w:val="0D1B2A"/>
                <w:sz w:val="20"/>
                <w:szCs w:val="20"/>
              </w:rPr>
              <w:t xml:space="preserve">Deep expertise in a narrow domain; high accuracy; operates within well-defined parameters</w:t>
            </w:r>
          </w:p>
        </w:tc>
        <w:tc>
          <w:tcPr>
            <w:tcW w:type="dxa" w:w="368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color w:val="0D1B2A"/>
                <w:sz w:val="20"/>
                <w:szCs w:val="20"/>
              </w:rPr>
              <w:t xml:space="preserve">Contract analysis, tax computation, code review, regulatory compliance monitoring</w:t>
            </w:r>
          </w:p>
        </w:tc>
      </w:tr>
      <w:tr>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bCs/>
                <w:color w:val="0D1B2A"/>
                <w:sz w:val="20"/>
                <w:szCs w:val="20"/>
              </w:rPr>
              <w:t xml:space="preserve">Generalist Agents</w:t>
            </w:r>
          </w:p>
        </w:tc>
        <w:tc>
          <w:tcPr>
            <w:tcW w:type="dxa" w:w="368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0D1B2A"/>
                <w:sz w:val="20"/>
                <w:szCs w:val="20"/>
              </w:rPr>
              <w:t xml:space="preserve">Broad capability across multiple domains; handles novel situations; lower precision on edge cases</w:t>
            </w:r>
          </w:p>
        </w:tc>
        <w:tc>
          <w:tcPr>
            <w:tcW w:type="dxa" w:w="368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0D1B2A"/>
                <w:sz w:val="20"/>
                <w:szCs w:val="20"/>
              </w:rPr>
              <w:t xml:space="preserve">Research synthesis, strategic memo drafting, multi-domain project coordination</w:t>
            </w:r>
          </w:p>
        </w:tc>
      </w:tr>
      <w:tr>
        <w:tc>
          <w:tcPr>
            <w:tcW w:type="dxa" w:w="200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b/>
                <w:bCs/>
                <w:color w:val="0D1B2A"/>
                <w:sz w:val="20"/>
                <w:szCs w:val="20"/>
              </w:rPr>
              <w:t xml:space="preserve">Orchestrator Agents</w:t>
            </w:r>
          </w:p>
        </w:tc>
        <w:tc>
          <w:tcPr>
            <w:tcW w:type="dxa" w:w="368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color w:val="0D1B2A"/>
                <w:sz w:val="20"/>
                <w:szCs w:val="20"/>
              </w:rPr>
              <w:t xml:space="preserve">Manages workflows involving multiple agents; handles sequencing, dependency resolution, and quality gates</w:t>
            </w:r>
          </w:p>
        </w:tc>
        <w:tc>
          <w:tcPr>
            <w:tcW w:type="dxa" w:w="368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color w:val="0D1B2A"/>
                <w:sz w:val="20"/>
                <w:szCs w:val="20"/>
              </w:rPr>
              <w:t xml:space="preserve">Campaign execution pipelines, product launch workflows, incident response coordination</w:t>
            </w:r>
          </w:p>
        </w:tc>
      </w:tr>
      <w:tr>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bCs/>
                <w:color w:val="0D1B2A"/>
                <w:sz w:val="20"/>
                <w:szCs w:val="20"/>
              </w:rPr>
              <w:t xml:space="preserve">Sentinel Agents</w:t>
            </w:r>
          </w:p>
        </w:tc>
        <w:tc>
          <w:tcPr>
            <w:tcW w:type="dxa" w:w="368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0D1B2A"/>
                <w:sz w:val="20"/>
                <w:szCs w:val="20"/>
              </w:rPr>
              <w:t xml:space="preserve">Continuous monitoring; anomaly detection; proactive alerting; operates in background</w:t>
            </w:r>
          </w:p>
        </w:tc>
        <w:tc>
          <w:tcPr>
            <w:tcW w:type="dxa" w:w="368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0D1B2A"/>
                <w:sz w:val="20"/>
                <w:szCs w:val="20"/>
              </w:rPr>
              <w:t xml:space="preserve">Brand reputation monitoring, security threat detection, financial anomaly flagging, SLA compliance</w:t>
            </w:r>
          </w:p>
        </w:tc>
      </w:tr>
    </w:tbl>
    <w:p>
      <w:pPr>
        <w:spacing w:after="240"/>
      </w:pPr>
    </w:p>
    <w:p>
      <w:pPr>
        <w:pStyle w:val="Heading1"/>
        <w:spacing w:before="360" w:after="200"/>
      </w:pPr>
      <w:r>
        <w:rPr>
          <w:rFonts w:ascii="Arial" w:cs="Arial" w:eastAsia="Arial" w:hAnsi="Arial"/>
          <w:b/>
          <w:bCs/>
          <w:color w:val="1B3A5C"/>
          <w:sz w:val="32"/>
          <w:szCs w:val="32"/>
        </w:rPr>
        <w:t xml:space="preserve">4. Designing Areas-of-Focus</w:t>
      </w:r>
    </w:p>
    <w:p>
      <w:pPr>
        <w:pStyle w:val="Heading2"/>
        <w:spacing w:before="240" w:after="200"/>
      </w:pPr>
      <w:r>
        <w:rPr>
          <w:rFonts w:ascii="Arial" w:cs="Arial" w:eastAsia="Arial" w:hAnsi="Arial"/>
          <w:b/>
          <w:bCs/>
          <w:color w:val="1B3A5C"/>
          <w:sz w:val="26"/>
          <w:szCs w:val="26"/>
        </w:rPr>
        <w:t xml:space="preserve">4.1 Principles of Focus Design</w:t>
      </w:r>
    </w:p>
    <w:p>
      <w:pPr>
        <w:spacing w:after="180" w:line="300"/>
        <w:jc w:val="both"/>
      </w:pPr>
      <w:r>
        <w:rPr>
          <w:rFonts w:ascii="Arial" w:cs="Arial" w:eastAsia="Arial" w:hAnsi="Arial"/>
          <w:color w:val="0D1B2A"/>
          <w:sz w:val="22"/>
          <w:szCs w:val="22"/>
        </w:rPr>
        <w:t xml:space="preserve">Areas-of-Focus are not arbitrary groupings. They must be designed according to principles that ensure coherence, accountability, and strategic alignment.</w:t>
      </w:r>
    </w:p>
    <w:p>
      <w:pPr>
        <w:pStyle w:val="ListParagraph"/>
        <w:numPr>
          <w:ilvl w:val="0"/>
          <w:numId w:val="2"/>
        </w:numPr>
        <w:spacing w:after="100" w:line="280"/>
      </w:pPr>
      <w:r>
        <w:rPr>
          <w:rFonts w:ascii="Arial" w:cs="Arial" w:eastAsia="Arial" w:hAnsi="Arial"/>
          <w:b/>
          <w:bCs/>
          <w:color w:val="0D1B2A"/>
          <w:sz w:val="22"/>
          <w:szCs w:val="22"/>
        </w:rPr>
        <w:t xml:space="preserve">Outcome Orientation: </w:t>
      </w:r>
      <w:r>
        <w:rPr>
          <w:rFonts w:ascii="Arial" w:cs="Arial" w:eastAsia="Arial" w:hAnsi="Arial"/>
          <w:color w:val="0D1B2A"/>
          <w:sz w:val="22"/>
          <w:szCs w:val="22"/>
        </w:rPr>
        <w:t xml:space="preserve">Each focus area must be defined by a measurable strategic outcome, not by an activity category. “Customer Trust” is a valid focus area; “Customer Service” is not, because the latter describes a function rather than an outcome.</w:t>
      </w:r>
    </w:p>
    <w:p>
      <w:pPr>
        <w:pStyle w:val="ListParagraph"/>
        <w:numPr>
          <w:ilvl w:val="0"/>
          <w:numId w:val="2"/>
        </w:numPr>
        <w:spacing w:after="100" w:line="280"/>
      </w:pPr>
      <w:r>
        <w:rPr>
          <w:rFonts w:ascii="Arial" w:cs="Arial" w:eastAsia="Arial" w:hAnsi="Arial"/>
          <w:b/>
          <w:bCs/>
          <w:color w:val="0D1B2A"/>
          <w:sz w:val="22"/>
          <w:szCs w:val="22"/>
        </w:rPr>
        <w:t xml:space="preserve">Minimal Overlap: </w:t>
      </w:r>
      <w:r>
        <w:rPr>
          <w:rFonts w:ascii="Arial" w:cs="Arial" w:eastAsia="Arial" w:hAnsi="Arial"/>
          <w:color w:val="0D1B2A"/>
          <w:sz w:val="22"/>
          <w:szCs w:val="22"/>
        </w:rPr>
        <w:t xml:space="preserve">While some coordination between focus areas is inevitable and healthy, each area should have clearly delineated ownership boundaries. Ambiguity in ownership creates gaps in accountability.</w:t>
      </w:r>
    </w:p>
    <w:p>
      <w:pPr>
        <w:pStyle w:val="ListParagraph"/>
        <w:numPr>
          <w:ilvl w:val="0"/>
          <w:numId w:val="2"/>
        </w:numPr>
        <w:spacing w:after="100" w:line="280"/>
      </w:pPr>
      <w:r>
        <w:rPr>
          <w:rFonts w:ascii="Arial" w:cs="Arial" w:eastAsia="Arial" w:hAnsi="Arial"/>
          <w:b/>
          <w:bCs/>
          <w:color w:val="0D1B2A"/>
          <w:sz w:val="22"/>
          <w:szCs w:val="22"/>
        </w:rPr>
        <w:t xml:space="preserve">Adaptive Scope: </w:t>
      </w:r>
      <w:r>
        <w:rPr>
          <w:rFonts w:ascii="Arial" w:cs="Arial" w:eastAsia="Arial" w:hAnsi="Arial"/>
          <w:color w:val="0D1B2A"/>
          <w:sz w:val="22"/>
          <w:szCs w:val="22"/>
        </w:rPr>
        <w:t xml:space="preserve">Focus areas are not permanent. They should be reviewed and restructured as the organisation’s strategic priorities evolve. What matters today—say, regulatory compliance during a period of new legislation—may be folded into a broader focus area once the acute need passes.</w:t>
      </w:r>
    </w:p>
    <w:p>
      <w:pPr>
        <w:pStyle w:val="ListParagraph"/>
        <w:numPr>
          <w:ilvl w:val="0"/>
          <w:numId w:val="2"/>
        </w:numPr>
        <w:spacing w:after="100" w:line="280"/>
      </w:pPr>
      <w:r>
        <w:rPr>
          <w:rFonts w:ascii="Arial" w:cs="Arial" w:eastAsia="Arial" w:hAnsi="Arial"/>
          <w:b/>
          <w:bCs/>
          <w:color w:val="0D1B2A"/>
          <w:sz w:val="22"/>
          <w:szCs w:val="22"/>
        </w:rPr>
        <w:t xml:space="preserve">Human Scale: </w:t>
      </w:r>
      <w:r>
        <w:rPr>
          <w:rFonts w:ascii="Arial" w:cs="Arial" w:eastAsia="Arial" w:hAnsi="Arial"/>
          <w:color w:val="0D1B2A"/>
          <w:sz w:val="22"/>
          <w:szCs w:val="22"/>
        </w:rPr>
        <w:t xml:space="preserve">Each focus area must be comprehensible to a single Conductor. If a focus area is so broad that no one person can maintain strategic coherence across it, it should be split.</w:t>
      </w:r>
    </w:p>
    <w:p>
      <w:pPr>
        <w:pStyle w:val="Heading2"/>
        <w:spacing w:before="240" w:after="200"/>
      </w:pPr>
      <w:r>
        <w:rPr>
          <w:rFonts w:ascii="Arial" w:cs="Arial" w:eastAsia="Arial" w:hAnsi="Arial"/>
          <w:b/>
          <w:bCs/>
          <w:color w:val="1B3A5C"/>
          <w:sz w:val="26"/>
          <w:szCs w:val="26"/>
        </w:rPr>
        <w:t xml:space="preserve">4.2 Illustrative Focus Areas</w:t>
      </w:r>
    </w:p>
    <w:p>
      <w:pPr>
        <w:spacing w:after="180" w:line="300"/>
        <w:jc w:val="both"/>
      </w:pPr>
      <w:r>
        <w:rPr>
          <w:rFonts w:ascii="Arial" w:cs="Arial" w:eastAsia="Arial" w:hAnsi="Arial"/>
          <w:color w:val="0D1B2A"/>
          <w:sz w:val="22"/>
          <w:szCs w:val="22"/>
        </w:rPr>
        <w:t xml:space="preserve">The specific Areas-of-Focus will vary by organisation, but the following illustrates how a mid-size technology company might structure its focus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Area-of-Focus</w:t>
            </w:r>
          </w:p>
        </w:tc>
        <w:tc>
          <w:tcPr>
            <w:tcW w:type="dxa" w:w="43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Strategic Outcome</w:t>
            </w:r>
          </w:p>
        </w:tc>
        <w:tc>
          <w:tcPr>
            <w:tcW w:type="dxa" w:w="2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Agent Functions</w:t>
            </w:r>
          </w:p>
        </w:tc>
      </w:tr>
      <w:tr>
        <w:tc>
          <w:tcPr>
            <w:tcW w:type="dxa" w:w="220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b/>
                <w:bCs/>
                <w:color w:val="0D1B2A"/>
                <w:sz w:val="20"/>
                <w:szCs w:val="20"/>
              </w:rPr>
              <w:t xml:space="preserve">Customer Trust</w:t>
            </w:r>
          </w:p>
        </w:tc>
        <w:tc>
          <w:tcPr>
            <w:tcW w:type="dxa" w:w="436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color w:val="0D1B2A"/>
                <w:sz w:val="20"/>
                <w:szCs w:val="20"/>
              </w:rPr>
              <w:t xml:space="preserve">Customers experience the organisation as reliable, transparent, and aligned with their interests</w:t>
            </w:r>
          </w:p>
        </w:tc>
        <w:tc>
          <w:tcPr>
            <w:tcW w:type="dxa" w:w="280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color w:val="0D1B2A"/>
                <w:sz w:val="20"/>
                <w:szCs w:val="20"/>
              </w:rPr>
              <w:t xml:space="preserve">Support, NPS analysis, feedback synthesis, complaint resolution, trust metrics</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bCs/>
                <w:color w:val="0D1B2A"/>
                <w:sz w:val="20"/>
                <w:szCs w:val="20"/>
              </w:rPr>
              <w:t xml:space="preserve">Market Expansion</w:t>
            </w:r>
          </w:p>
        </w:tc>
        <w:tc>
          <w:tcPr>
            <w:tcW w:type="dxa" w:w="4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0D1B2A"/>
                <w:sz w:val="20"/>
                <w:szCs w:val="20"/>
              </w:rPr>
              <w:t xml:space="preserve">The organisation grows its addressable market and captures new segments profitably</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0D1B2A"/>
                <w:sz w:val="20"/>
                <w:szCs w:val="20"/>
              </w:rPr>
              <w:t xml:space="preserve">Market research, campaign execution, sales pipeline, competitor intelligence</w:t>
            </w:r>
          </w:p>
        </w:tc>
      </w:tr>
      <w:tr>
        <w:tc>
          <w:tcPr>
            <w:tcW w:type="dxa" w:w="220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b/>
                <w:bCs/>
                <w:color w:val="0D1B2A"/>
                <w:sz w:val="20"/>
                <w:szCs w:val="20"/>
              </w:rPr>
              <w:t xml:space="preserve">Product Evolution</w:t>
            </w:r>
          </w:p>
        </w:tc>
        <w:tc>
          <w:tcPr>
            <w:tcW w:type="dxa" w:w="436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color w:val="0D1B2A"/>
                <w:sz w:val="20"/>
                <w:szCs w:val="20"/>
              </w:rPr>
              <w:t xml:space="preserve">Products continuously improve in ways that create compounding value for users</w:t>
            </w:r>
          </w:p>
        </w:tc>
        <w:tc>
          <w:tcPr>
            <w:tcW w:type="dxa" w:w="280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color w:val="0D1B2A"/>
                <w:sz w:val="20"/>
                <w:szCs w:val="20"/>
              </w:rPr>
              <w:t xml:space="preserve">Engineering, testing, design, user research, roadmap analysis, feature prioritisation</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bCs/>
                <w:color w:val="0D1B2A"/>
                <w:sz w:val="20"/>
                <w:szCs w:val="20"/>
              </w:rPr>
              <w:t xml:space="preserve">Operational Resilience</w:t>
            </w:r>
          </w:p>
        </w:tc>
        <w:tc>
          <w:tcPr>
            <w:tcW w:type="dxa" w:w="4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0D1B2A"/>
                <w:sz w:val="20"/>
                <w:szCs w:val="20"/>
              </w:rPr>
              <w:t xml:space="preserve">The organisation can sustain operations through disruption and scale without fragility</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0D1B2A"/>
                <w:sz w:val="20"/>
                <w:szCs w:val="20"/>
              </w:rPr>
              <w:t xml:space="preserve">Infrastructure, security, compliance, finance, supply chain, risk modelling</w:t>
            </w:r>
          </w:p>
        </w:tc>
      </w:tr>
      <w:tr>
        <w:tc>
          <w:tcPr>
            <w:tcW w:type="dxa" w:w="220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b/>
                <w:bCs/>
                <w:color w:val="0D1B2A"/>
                <w:sz w:val="20"/>
                <w:szCs w:val="20"/>
              </w:rPr>
              <w:t xml:space="preserve">Innovation Velocity</w:t>
            </w:r>
          </w:p>
        </w:tc>
        <w:tc>
          <w:tcPr>
            <w:tcW w:type="dxa" w:w="436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color w:val="0D1B2A"/>
                <w:sz w:val="20"/>
                <w:szCs w:val="20"/>
              </w:rPr>
              <w:t xml:space="preserve">New capabilities and offerings move from concept to market faster than competitors</w:t>
            </w:r>
          </w:p>
        </w:tc>
        <w:tc>
          <w:tcPr>
            <w:tcW w:type="dxa" w:w="280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color w:val="0D1B2A"/>
                <w:sz w:val="20"/>
                <w:szCs w:val="20"/>
              </w:rPr>
              <w:t xml:space="preserve">R&amp;D prototyping, patent analysis, technology scanning, rapid experimentation</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bCs/>
                <w:color w:val="0D1B2A"/>
                <w:sz w:val="20"/>
                <w:szCs w:val="20"/>
              </w:rPr>
              <w:t xml:space="preserve">Organisational Integrity</w:t>
            </w:r>
          </w:p>
        </w:tc>
        <w:tc>
          <w:tcPr>
            <w:tcW w:type="dxa" w:w="4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0D1B2A"/>
                <w:sz w:val="20"/>
                <w:szCs w:val="20"/>
              </w:rPr>
              <w:t xml:space="preserve">The organisation operates ethically, legally, and in alignment with its stated values</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0D1B2A"/>
                <w:sz w:val="20"/>
                <w:szCs w:val="20"/>
              </w:rPr>
              <w:t xml:space="preserve">Legal review, ethics auditing, regulatory tracking, governance reporting, ESG analysis</w:t>
            </w:r>
          </w:p>
        </w:tc>
      </w:tr>
    </w:tbl>
    <w:p>
      <w:pPr>
        <w:spacing w:after="240"/>
      </w:pPr>
    </w:p>
    <w:p>
      <w:pPr>
        <w:pStyle w:val="Heading1"/>
        <w:spacing w:before="360" w:after="200"/>
      </w:pPr>
      <w:r>
        <w:rPr>
          <w:rFonts w:ascii="Arial" w:cs="Arial" w:eastAsia="Arial" w:hAnsi="Arial"/>
          <w:b/>
          <w:bCs/>
          <w:color w:val="1B3A5C"/>
          <w:sz w:val="32"/>
          <w:szCs w:val="32"/>
        </w:rPr>
        <w:t xml:space="preserve">5. Governance and Decision Architecture</w:t>
      </w:r>
    </w:p>
    <w:p>
      <w:pPr>
        <w:pStyle w:val="Heading2"/>
        <w:spacing w:before="240" w:after="200"/>
      </w:pPr>
      <w:r>
        <w:rPr>
          <w:rFonts w:ascii="Arial" w:cs="Arial" w:eastAsia="Arial" w:hAnsi="Arial"/>
          <w:b/>
          <w:bCs/>
          <w:color w:val="1B3A5C"/>
          <w:sz w:val="26"/>
          <w:szCs w:val="26"/>
        </w:rPr>
        <w:t xml:space="preserve">5.1 The Conductor Council</w:t>
      </w:r>
    </w:p>
    <w:p>
      <w:pPr>
        <w:spacing w:after="180" w:line="300"/>
        <w:jc w:val="both"/>
      </w:pPr>
      <w:r>
        <w:rPr>
          <w:rFonts w:ascii="Arial" w:cs="Arial" w:eastAsia="Arial" w:hAnsi="Arial"/>
          <w:color w:val="0D1B2A"/>
          <w:sz w:val="22"/>
          <w:szCs w:val="22"/>
        </w:rPr>
        <w:t xml:space="preserve">All Conductors together form the Conductor Council, which serves as the organisation’s supreme decision-making body. Unlike a traditional executive committee, the Council operates with radical transparency: every agent interaction, every decision point, and every outcome metric is logged and accessible to all Conductors. This eliminates the information asymmetry that plagues traditional hierarchies and enables genuinely informed collective decision-making.</w:t>
      </w:r>
    </w:p>
    <w:p>
      <w:pPr>
        <w:spacing w:after="180" w:line="300"/>
        <w:jc w:val="both"/>
      </w:pPr>
      <w:r>
        <w:rPr>
          <w:rFonts w:ascii="Arial" w:cs="Arial" w:eastAsia="Arial" w:hAnsi="Arial"/>
          <w:color w:val="0D1B2A"/>
          <w:sz w:val="22"/>
          <w:szCs w:val="22"/>
        </w:rPr>
        <w:t xml:space="preserve">The Council convenes in two modes. Continuous coordination happens asynchronously through shared dashboards, AI-generated briefings, and flagged decision points. Periodic alignment sessions—whether weekly, monthly, or triggered by specific events—bring Conductors together for deeper strategic discussion, conflict resolution, and organisational course correction.</w:t>
      </w:r>
    </w:p>
    <w:p>
      <w:pPr>
        <w:pStyle w:val="Heading2"/>
        <w:spacing w:before="240" w:after="200"/>
      </w:pPr>
      <w:r>
        <w:rPr>
          <w:rFonts w:ascii="Arial" w:cs="Arial" w:eastAsia="Arial" w:hAnsi="Arial"/>
          <w:b/>
          <w:bCs/>
          <w:color w:val="1B3A5C"/>
          <w:sz w:val="26"/>
          <w:szCs w:val="26"/>
        </w:rPr>
        <w:t xml:space="preserve">5.2 Decision Rights Framework</w:t>
      </w:r>
    </w:p>
    <w:p>
      <w:pPr>
        <w:spacing w:after="180" w:line="300"/>
        <w:jc w:val="both"/>
      </w:pPr>
      <w:r>
        <w:rPr>
          <w:rFonts w:ascii="Arial" w:cs="Arial" w:eastAsia="Arial" w:hAnsi="Arial"/>
          <w:color w:val="0D1B2A"/>
          <w:sz w:val="22"/>
          <w:szCs w:val="22"/>
        </w:rPr>
        <w:t xml:space="preserve">A clear taxonomy of decisions ensures that the right decisions are made at the right level.</w:t>
      </w:r>
    </w:p>
    <w:p>
      <w:pPr>
        <w:pStyle w:val="ListParagraph"/>
        <w:numPr>
          <w:ilvl w:val="0"/>
          <w:numId w:val="2"/>
        </w:numPr>
        <w:spacing w:after="100" w:line="280"/>
      </w:pPr>
      <w:r>
        <w:rPr>
          <w:rFonts w:ascii="Arial" w:cs="Arial" w:eastAsia="Arial" w:hAnsi="Arial"/>
          <w:b/>
          <w:bCs/>
          <w:color w:val="0D1B2A"/>
          <w:sz w:val="22"/>
          <w:szCs w:val="22"/>
        </w:rPr>
        <w:t xml:space="preserve">Autonomous Agent Decisions: </w:t>
      </w:r>
      <w:r>
        <w:rPr>
          <w:rFonts w:ascii="Arial" w:cs="Arial" w:eastAsia="Arial" w:hAnsi="Arial"/>
          <w:color w:val="0D1B2A"/>
          <w:sz w:val="22"/>
          <w:szCs w:val="22"/>
        </w:rPr>
        <w:t xml:space="preserve">Routine operational decisions within established parameters. Agents execute these independently, logging all actions for audit. Examples: responding to standard customer queries, processing routine transactions, scheduling maintenance windows.</w:t>
      </w:r>
    </w:p>
    <w:p>
      <w:pPr>
        <w:pStyle w:val="ListParagraph"/>
        <w:numPr>
          <w:ilvl w:val="0"/>
          <w:numId w:val="2"/>
        </w:numPr>
        <w:spacing w:after="100" w:line="280"/>
      </w:pPr>
      <w:r>
        <w:rPr>
          <w:rFonts w:ascii="Arial" w:cs="Arial" w:eastAsia="Arial" w:hAnsi="Arial"/>
          <w:b/>
          <w:bCs/>
          <w:color w:val="0D1B2A"/>
          <w:sz w:val="22"/>
          <w:szCs w:val="22"/>
        </w:rPr>
        <w:t xml:space="preserve">Conductor Decisions: </w:t>
      </w:r>
      <w:r>
        <w:rPr>
          <w:rFonts w:ascii="Arial" w:cs="Arial" w:eastAsia="Arial" w:hAnsi="Arial"/>
          <w:color w:val="0D1B2A"/>
          <w:sz w:val="22"/>
          <w:szCs w:val="22"/>
        </w:rPr>
        <w:t xml:space="preserve">Decisions involving significant resource allocation, novel situations, or ethical considerations within a single focus area. The responsible Conductor makes these, informed by agent-generated analysis. Examples: approving a new pricing strategy, deciding how to respond to a PR crisis, choosing between competing product directions.</w:t>
      </w:r>
    </w:p>
    <w:p>
      <w:pPr>
        <w:pStyle w:val="ListParagraph"/>
        <w:numPr>
          <w:ilvl w:val="0"/>
          <w:numId w:val="2"/>
        </w:numPr>
        <w:spacing w:after="100" w:line="280"/>
      </w:pPr>
      <w:r>
        <w:rPr>
          <w:rFonts w:ascii="Arial" w:cs="Arial" w:eastAsia="Arial" w:hAnsi="Arial"/>
          <w:b/>
          <w:bCs/>
          <w:color w:val="0D1B2A"/>
          <w:sz w:val="22"/>
          <w:szCs w:val="22"/>
        </w:rPr>
        <w:t xml:space="preserve">Council Decisions: </w:t>
      </w:r>
      <w:r>
        <w:rPr>
          <w:rFonts w:ascii="Arial" w:cs="Arial" w:eastAsia="Arial" w:hAnsi="Arial"/>
          <w:color w:val="0D1B2A"/>
          <w:sz w:val="22"/>
          <w:szCs w:val="22"/>
        </w:rPr>
        <w:t xml:space="preserve">Cross-focus decisions that affect the organisation’s overall direction, values, or resource allocation between focus areas. These require deliberation among multiple Conductors. Examples: entering a new market, making an acquisition, changing the organisation’s ethical guidelines.</w:t>
      </w:r>
    </w:p>
    <w:p>
      <w:pPr>
        <w:pStyle w:val="Heading2"/>
        <w:spacing w:before="240" w:after="200"/>
      </w:pPr>
      <w:r>
        <w:rPr>
          <w:rFonts w:ascii="Arial" w:cs="Arial" w:eastAsia="Arial" w:hAnsi="Arial"/>
          <w:b/>
          <w:bCs/>
          <w:color w:val="1B3A5C"/>
          <w:sz w:val="26"/>
          <w:szCs w:val="26"/>
        </w:rPr>
        <w:t xml:space="preserve">5.3 Accountability and Transparency</w:t>
      </w:r>
    </w:p>
    <w:p>
      <w:pPr>
        <w:spacing w:after="180" w:line="300"/>
        <w:jc w:val="both"/>
      </w:pPr>
      <w:r>
        <w:rPr>
          <w:rFonts w:ascii="Arial" w:cs="Arial" w:eastAsia="Arial" w:hAnsi="Arial"/>
          <w:color w:val="0D1B2A"/>
          <w:sz w:val="22"/>
          <w:szCs w:val="22"/>
        </w:rPr>
        <w:t xml:space="preserve">Every agent action produces a comprehensive audit trail. Unlike human workers whose reasoning is opaque and whose memory is fallible, AI agents can provide complete explanations of their decision processes. This creates an unprecedented level of organisational transparency—one in which accountability is not a bureaucratic exercise but a natural byproduct of how work gets done.</w:t>
      </w:r>
    </w:p>
    <w:p>
      <w:pPr>
        <w:spacing w:after="180" w:line="300"/>
        <w:jc w:val="both"/>
      </w:pPr>
      <w:r>
        <w:rPr>
          <w:rFonts w:ascii="Arial" w:cs="Arial" w:eastAsia="Arial" w:hAnsi="Arial"/>
          <w:color w:val="0D1B2A"/>
          <w:sz w:val="22"/>
          <w:szCs w:val="22"/>
        </w:rPr>
        <w:t xml:space="preserve">Conductors are accountable for the outcomes within their Areas-of-Focus. But because every agent action is logged, accountability is not about catching failures—it is about learning from them. When something goes wrong, the complete chain of decisions and actions is available for analysis, enabling rapid diagnosis and systemic improvement.</w:t>
      </w:r>
    </w:p>
    <w:p>
      <w:pPr>
        <w:pStyle w:val="Heading1"/>
        <w:spacing w:before="360" w:after="200"/>
      </w:pPr>
      <w:r>
        <w:rPr>
          <w:rFonts w:ascii="Arial" w:cs="Arial" w:eastAsia="Arial" w:hAnsi="Arial"/>
          <w:b/>
          <w:bCs/>
          <w:color w:val="1B3A5C"/>
          <w:sz w:val="32"/>
          <w:szCs w:val="32"/>
        </w:rPr>
        <w:t xml:space="preserve">6. Identity, Trust, and Agent Verification</w:t>
      </w:r>
    </w:p>
    <w:p>
      <w:pPr>
        <w:spacing w:after="180" w:line="300"/>
        <w:jc w:val="both"/>
      </w:pPr>
      <w:r>
        <w:rPr>
          <w:rFonts w:ascii="Arial" w:cs="Arial" w:eastAsia="Arial" w:hAnsi="Arial"/>
          <w:color w:val="0D1B2A"/>
          <w:sz w:val="22"/>
          <w:szCs w:val="22"/>
        </w:rPr>
        <w:t xml:space="preserve">An AI-native organisation in which agents perform all functional work demands a robust identity and trust infrastructure. When autonomous agents act on behalf of the organisation—signing contracts, transferring funds, communicating with external parties—the question of verifiable identity becomes paramount.</w:t>
      </w:r>
    </w:p>
    <w:p>
      <w:pPr>
        <w:pStyle w:val="Heading2"/>
        <w:spacing w:before="240" w:after="200"/>
      </w:pPr>
      <w:r>
        <w:rPr>
          <w:rFonts w:ascii="Arial" w:cs="Arial" w:eastAsia="Arial" w:hAnsi="Arial"/>
          <w:b/>
          <w:bCs/>
          <w:color w:val="1B3A5C"/>
          <w:sz w:val="26"/>
          <w:szCs w:val="26"/>
        </w:rPr>
        <w:t xml:space="preserve">6.1 Self-Sovereign Identity for Agents</w:t>
      </w:r>
    </w:p>
    <w:p>
      <w:pPr>
        <w:spacing w:after="180" w:line="300"/>
        <w:jc w:val="both"/>
      </w:pPr>
      <w:r>
        <w:rPr>
          <w:rFonts w:ascii="Arial" w:cs="Arial" w:eastAsia="Arial" w:hAnsi="Arial"/>
          <w:color w:val="0D1B2A"/>
          <w:sz w:val="22"/>
          <w:szCs w:val="22"/>
        </w:rPr>
        <w:t xml:space="preserve">Drawing on the principles of Self-Sovereign Identity (SSI) and the Key Event Receipt Infrastructure (KERI), each agent in the execution fabric is assigned a cryptographically verifiable identity. This identity is not granted by a central authority but is self-certifying, rooted in public-key cryptography, and anchored to a verifiable event log that records every key rotation, delegation, and revocation.</w:t>
      </w:r>
    </w:p>
    <w:p>
      <w:pPr>
        <w:spacing w:after="180" w:line="300"/>
        <w:jc w:val="both"/>
      </w:pPr>
      <w:r>
        <w:rPr>
          <w:rFonts w:ascii="Arial" w:cs="Arial" w:eastAsia="Arial" w:hAnsi="Arial"/>
          <w:color w:val="0D1B2A"/>
          <w:sz w:val="22"/>
          <w:szCs w:val="22"/>
        </w:rPr>
        <w:t xml:space="preserve">This approach ensures that any party—whether another agent, a Conductor, or an external stakeholder—can independently verify an agent’s identity and authority without relying on a centralised directory. The KERI-based architecture provides several critical properties: the ability to recover from key compromise through pre-rotation commitments, ambient verifiability without requiring network connectivity at the time of verification, and a tamper-evident log that makes identity history auditable.</w:t>
      </w:r>
    </w:p>
    <w:p>
      <w:pPr>
        <w:pStyle w:val="Heading2"/>
        <w:spacing w:before="240" w:after="200"/>
      </w:pPr>
      <w:r>
        <w:rPr>
          <w:rFonts w:ascii="Arial" w:cs="Arial" w:eastAsia="Arial" w:hAnsi="Arial"/>
          <w:b/>
          <w:bCs/>
          <w:color w:val="1B3A5C"/>
          <w:sz w:val="26"/>
          <w:szCs w:val="26"/>
        </w:rPr>
        <w:t xml:space="preserve">6.2 Verifiable Credentials and Delegation</w:t>
      </w:r>
    </w:p>
    <w:p>
      <w:pPr>
        <w:spacing w:after="180" w:line="300"/>
        <w:jc w:val="both"/>
      </w:pPr>
      <w:r>
        <w:rPr>
          <w:rFonts w:ascii="Arial" w:cs="Arial" w:eastAsia="Arial" w:hAnsi="Arial"/>
          <w:color w:val="0D1B2A"/>
          <w:sz w:val="22"/>
          <w:szCs w:val="22"/>
        </w:rPr>
        <w:t xml:space="preserve">The Authentic Chained Data Container (ACDC) credential framework provides the mechanism through which Conductors delegate authority to agents. When a Conductor assigns a task or grants an agent permission to act within certain parameters, this delegation is expressed as a verifiable credential chained to the Conductor’s identity. The credential specifies the scope of authority, any constraints, and the conditions under which it expires or can be revoked.</w:t>
      </w:r>
    </w:p>
    <w:p>
      <w:pPr>
        <w:spacing w:after="180" w:line="300"/>
        <w:jc w:val="both"/>
      </w:pPr>
      <w:r>
        <w:rPr>
          <w:rFonts w:ascii="Arial" w:cs="Arial" w:eastAsia="Arial" w:hAnsi="Arial"/>
          <w:color w:val="0D1B2A"/>
          <w:sz w:val="22"/>
          <w:szCs w:val="22"/>
        </w:rPr>
        <w:t xml:space="preserve">This creates a trustable chain of authority from human intent to agent action. Any action an agent takes can be traced back, through a chain of verifiable credentials, to the Conductor who authorised it. This is not merely an audit mechanism—it is the foundational trust architecture that makes the AI-Native Organisation viable in a world that demands accountability.</w:t>
      </w:r>
    </w:p>
    <w:p>
      <w:pPr>
        <w:pStyle w:val="Heading1"/>
        <w:spacing w:before="360" w:after="200"/>
      </w:pPr>
      <w:r>
        <w:rPr>
          <w:rFonts w:ascii="Arial" w:cs="Arial" w:eastAsia="Arial" w:hAnsi="Arial"/>
          <w:b/>
          <w:bCs/>
          <w:color w:val="1B3A5C"/>
          <w:sz w:val="32"/>
          <w:szCs w:val="32"/>
        </w:rPr>
        <w:t xml:space="preserve">7. Economic Implications</w:t>
      </w:r>
    </w:p>
    <w:p>
      <w:pPr>
        <w:pStyle w:val="Heading2"/>
        <w:spacing w:before="240" w:after="200"/>
      </w:pPr>
      <w:r>
        <w:rPr>
          <w:rFonts w:ascii="Arial" w:cs="Arial" w:eastAsia="Arial" w:hAnsi="Arial"/>
          <w:b/>
          <w:bCs/>
          <w:color w:val="1B3A5C"/>
          <w:sz w:val="26"/>
          <w:szCs w:val="26"/>
        </w:rPr>
        <w:t xml:space="preserve">7.1 Radical Cost Structure Transformation</w:t>
      </w:r>
    </w:p>
    <w:p>
      <w:pPr>
        <w:spacing w:after="180" w:line="300"/>
        <w:jc w:val="both"/>
      </w:pPr>
      <w:r>
        <w:rPr>
          <w:rFonts w:ascii="Arial" w:cs="Arial" w:eastAsia="Arial" w:hAnsi="Arial"/>
          <w:color w:val="0D1B2A"/>
          <w:sz w:val="22"/>
          <w:szCs w:val="22"/>
        </w:rPr>
        <w:t xml:space="preserve">The AI-Native Organisation exhibits a cost structure fundamentally different from traditional firms. The overwhelming majority of operational expenditure shifts from human labour (salaries, benefits, training, office space, management overhead) to computational resources (inference costs, agent licensing, infrastructure). This shift has several profound implications.</w:t>
      </w:r>
    </w:p>
    <w:p>
      <w:pPr>
        <w:spacing w:after="180" w:line="300"/>
        <w:jc w:val="both"/>
      </w:pPr>
      <w:r>
        <w:rPr>
          <w:rFonts w:ascii="Arial" w:cs="Arial" w:eastAsia="Arial" w:hAnsi="Arial"/>
          <w:color w:val="0D1B2A"/>
          <w:sz w:val="22"/>
          <w:szCs w:val="22"/>
        </w:rPr>
        <w:t xml:space="preserve">First, marginal costs collapse. Once an AI agent is configured for a task, producing the second, hundredth, or thousandth unit of output costs a fraction of what a human employee would require. This enables organisations to operate at scales previously achievable only by the largest enterprises, while maintaining the agility and coherence of a small team.</w:t>
      </w:r>
    </w:p>
    <w:p>
      <w:pPr>
        <w:spacing w:after="180" w:line="300"/>
        <w:jc w:val="both"/>
      </w:pPr>
      <w:r>
        <w:rPr>
          <w:rFonts w:ascii="Arial" w:cs="Arial" w:eastAsia="Arial" w:hAnsi="Arial"/>
          <w:color w:val="0D1B2A"/>
          <w:sz w:val="22"/>
          <w:szCs w:val="22"/>
        </w:rPr>
        <w:t xml:space="preserve">Second, the organisation becomes radically scalable. Expanding into a new market or launching a new product line does not require months of hiring, training, and organisational restructuring. It requires configuring new agent workflows and, potentially, adding a Conductor if a new Area-of-Focus is warranted.</w:t>
      </w:r>
    </w:p>
    <w:p>
      <w:pPr>
        <w:pStyle w:val="Heading2"/>
        <w:spacing w:before="240" w:after="200"/>
      </w:pPr>
      <w:r>
        <w:rPr>
          <w:rFonts w:ascii="Arial" w:cs="Arial" w:eastAsia="Arial" w:hAnsi="Arial"/>
          <w:b/>
          <w:bCs/>
          <w:color w:val="1B3A5C"/>
          <w:sz w:val="26"/>
          <w:szCs w:val="26"/>
        </w:rPr>
        <w:t xml:space="preserve">7.2 The Value of Human Attention</w:t>
      </w:r>
    </w:p>
    <w:p>
      <w:pPr>
        <w:spacing w:after="180" w:line="300"/>
        <w:jc w:val="both"/>
      </w:pPr>
      <w:r>
        <w:rPr>
          <w:rFonts w:ascii="Arial" w:cs="Arial" w:eastAsia="Arial" w:hAnsi="Arial"/>
          <w:color w:val="0D1B2A"/>
          <w:sz w:val="22"/>
          <w:szCs w:val="22"/>
        </w:rPr>
        <w:t xml:space="preserve">In this model, human attention becomes the scarcest and most valuable resource. With only three to seven Conductors, the organisation’s capacity is ultimately bounded not by computational resources but by the cognitive bandwidth of its human leadership. This creates a powerful incentive to invest heavily in the quality of human judgment: in the selection, development, and wellbeing of Conductors.</w:t>
      </w:r>
    </w:p>
    <w:p>
      <w:pPr>
        <w:spacing w:after="180" w:line="300"/>
        <w:jc w:val="both"/>
      </w:pPr>
      <w:r>
        <w:rPr>
          <w:rFonts w:ascii="Arial" w:cs="Arial" w:eastAsia="Arial" w:hAnsi="Arial"/>
          <w:color w:val="0D1B2A"/>
          <w:sz w:val="22"/>
          <w:szCs w:val="22"/>
        </w:rPr>
        <w:t xml:space="preserve">It also creates a natural limit on organisational complexity. Unlike traditional organisations that can mask dysfunction by adding more people, the AI-Native Organisation must maintain clarity of strategic focus because it simply does not have enough human bandwidth to waste on confusion, politics, or misalignment.</w:t>
      </w:r>
    </w:p>
    <w:p>
      <w:pPr>
        <w:pStyle w:val="Heading1"/>
        <w:spacing w:before="360" w:after="200"/>
      </w:pPr>
      <w:r>
        <w:rPr>
          <w:rFonts w:ascii="Arial" w:cs="Arial" w:eastAsia="Arial" w:hAnsi="Arial"/>
          <w:b/>
          <w:bCs/>
          <w:color w:val="1B3A5C"/>
          <w:sz w:val="32"/>
          <w:szCs w:val="32"/>
        </w:rPr>
        <w:t xml:space="preserve">8. Implementation Pathway</w:t>
      </w:r>
    </w:p>
    <w:p>
      <w:pPr>
        <w:pStyle w:val="Heading2"/>
        <w:spacing w:before="240" w:after="200"/>
      </w:pPr>
      <w:r>
        <w:rPr>
          <w:rFonts w:ascii="Arial" w:cs="Arial" w:eastAsia="Arial" w:hAnsi="Arial"/>
          <w:b/>
          <w:bCs/>
          <w:color w:val="1B3A5C"/>
          <w:sz w:val="26"/>
          <w:szCs w:val="26"/>
        </w:rPr>
        <w:t xml:space="preserve">8.1 Phase Model for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78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w:t>
            </w:r>
          </w:p>
        </w:tc>
        <w:tc>
          <w:tcPr>
            <w:tcW w:type="dxa" w:w="378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Outcome</w:t>
            </w:r>
          </w:p>
        </w:tc>
      </w:tr>
      <w:tr>
        <w:tc>
          <w:tcPr>
            <w:tcW w:type="dxa" w:w="180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b/>
                <w:bCs/>
                <w:color w:val="0D1B2A"/>
                <w:sz w:val="20"/>
                <w:szCs w:val="20"/>
              </w:rPr>
              <w:t xml:space="preserve">Phase 1: Augmentation</w:t>
            </w:r>
          </w:p>
        </w:tc>
        <w:tc>
          <w:tcPr>
            <w:tcW w:type="dxa" w:w="378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color w:val="0D1B2A"/>
                <w:sz w:val="20"/>
                <w:szCs w:val="20"/>
              </w:rPr>
              <w:t xml:space="preserve">Deploy AI agents alongside existing teams; identify tasks suitable for full agent ownership; build agent management competencies</w:t>
            </w:r>
          </w:p>
        </w:tc>
        <w:tc>
          <w:tcPr>
            <w:tcW w:type="dxa" w:w="378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color w:val="0D1B2A"/>
                <w:sz w:val="20"/>
                <w:szCs w:val="20"/>
              </w:rPr>
              <w:t xml:space="preserve">Empirical evidence of agent capability; human comfort with agent collaboration</w:t>
            </w:r>
          </w:p>
        </w:tc>
      </w:tr>
      <w:tr>
        <w:tc>
          <w:tcPr>
            <w:tcW w:type="dxa" w:w="1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bCs/>
                <w:color w:val="0D1B2A"/>
                <w:sz w:val="20"/>
                <w:szCs w:val="20"/>
              </w:rPr>
              <w:t xml:space="preserve">Phase 2: Redistribution</w:t>
            </w:r>
          </w:p>
        </w:tc>
        <w:tc>
          <w:tcPr>
            <w:tcW w:type="dxa" w:w="378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0D1B2A"/>
                <w:sz w:val="20"/>
                <w:szCs w:val="20"/>
              </w:rPr>
              <w:t xml:space="preserve">Transfer functional work to agents; consolidate human roles around strategic judgment; define proto-Areas-of-Focus</w:t>
            </w:r>
          </w:p>
        </w:tc>
        <w:tc>
          <w:tcPr>
            <w:tcW w:type="dxa" w:w="378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0D1B2A"/>
                <w:sz w:val="20"/>
                <w:szCs w:val="20"/>
              </w:rPr>
              <w:t xml:space="preserve">Reduced headcount in functional roles; emerging Conductor role clarity</w:t>
            </w:r>
          </w:p>
        </w:tc>
      </w:tr>
      <w:tr>
        <w:tc>
          <w:tcPr>
            <w:tcW w:type="dxa" w:w="180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b/>
                <w:bCs/>
                <w:color w:val="0D1B2A"/>
                <w:sz w:val="20"/>
                <w:szCs w:val="20"/>
              </w:rPr>
              <w:t xml:space="preserve">Phase 3: Restructure</w:t>
            </w:r>
          </w:p>
        </w:tc>
        <w:tc>
          <w:tcPr>
            <w:tcW w:type="dxa" w:w="378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color w:val="0D1B2A"/>
                <w:sz w:val="20"/>
                <w:szCs w:val="20"/>
              </w:rPr>
              <w:t xml:space="preserve">Formally adopt Areas-of-Focus; appoint Conductors; dismantle departmental structure; deploy identity and trust infrastructure</w:t>
            </w:r>
          </w:p>
        </w:tc>
        <w:tc>
          <w:tcPr>
            <w:tcW w:type="dxa" w:w="3780"/>
            <w:tcBorders>
              <w:top w:val="single" w:color="B0C4D8" w:sz="1"/>
              <w:left w:val="single" w:color="B0C4D8" w:sz="1"/>
              <w:bottom w:val="single" w:color="B0C4D8" w:sz="1"/>
              <w:right w:val="single" w:color="B0C4D8" w:sz="1"/>
            </w:tcBorders>
            <w:shd w:fill="E8F1F8" w:val="clear"/>
            <w:tcMar>
              <w:top w:type="dxa" w:w="80"/>
              <w:left w:type="dxa" w:w="120"/>
              <w:bottom w:type="dxa" w:w="80"/>
              <w:right w:type="dxa" w:w="120"/>
            </w:tcMar>
          </w:tcPr>
          <w:p>
            <w:r>
              <w:rPr>
                <w:rFonts w:ascii="Arial" w:cs="Arial" w:eastAsia="Arial" w:hAnsi="Arial"/>
                <w:color w:val="0D1B2A"/>
                <w:sz w:val="20"/>
                <w:szCs w:val="20"/>
              </w:rPr>
              <w:t xml:space="preserve">Full AI-Native Organisation operating model in place</w:t>
            </w:r>
          </w:p>
        </w:tc>
      </w:tr>
      <w:tr>
        <w:tc>
          <w:tcPr>
            <w:tcW w:type="dxa" w:w="1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bCs/>
                <w:color w:val="0D1B2A"/>
                <w:sz w:val="20"/>
                <w:szCs w:val="20"/>
              </w:rPr>
              <w:t xml:space="preserve">Phase 4: Optimisation</w:t>
            </w:r>
          </w:p>
        </w:tc>
        <w:tc>
          <w:tcPr>
            <w:tcW w:type="dxa" w:w="378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0D1B2A"/>
                <w:sz w:val="20"/>
                <w:szCs w:val="20"/>
              </w:rPr>
              <w:t xml:space="preserve">Refine focus areas based on performance data; evolve agent capabilities; develop Conductor selection and development practices</w:t>
            </w:r>
          </w:p>
        </w:tc>
        <w:tc>
          <w:tcPr>
            <w:tcW w:type="dxa" w:w="378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0D1B2A"/>
                <w:sz w:val="20"/>
                <w:szCs w:val="20"/>
              </w:rPr>
              <w:t xml:space="preserve">Continuously improving, self-optimising organisational system</w:t>
            </w:r>
          </w:p>
        </w:tc>
      </w:tr>
    </w:tbl>
    <w:p>
      <w:pPr>
        <w:spacing w:after="240"/>
      </w:pPr>
    </w:p>
    <w:p>
      <w:pPr>
        <w:pStyle w:val="Heading2"/>
        <w:spacing w:before="240" w:after="200"/>
      </w:pPr>
      <w:r>
        <w:rPr>
          <w:rFonts w:ascii="Arial" w:cs="Arial" w:eastAsia="Arial" w:hAnsi="Arial"/>
          <w:b/>
          <w:bCs/>
          <w:color w:val="1B3A5C"/>
          <w:sz w:val="26"/>
          <w:szCs w:val="26"/>
        </w:rPr>
        <w:t xml:space="preserve">8.2 Prerequisites and Readiness Indicators</w:t>
      </w:r>
    </w:p>
    <w:p>
      <w:pPr>
        <w:spacing w:after="180" w:line="300"/>
        <w:jc w:val="both"/>
      </w:pPr>
      <w:r>
        <w:rPr>
          <w:rFonts w:ascii="Arial" w:cs="Arial" w:eastAsia="Arial" w:hAnsi="Arial"/>
          <w:color w:val="0D1B2A"/>
          <w:sz w:val="22"/>
          <w:szCs w:val="22"/>
        </w:rPr>
        <w:t xml:space="preserve">Not every organisation is ready for this transition. Key prerequisites include a leadership culture willing to relinquish direct control over functional work, mature AI agent capabilities in the organisation’s core domains, robust identity and trust infrastructure for agent verification, clear strategic priorities that can be expressed as Areas-of-Focus, and a governance framework capable of operating with radical transparency.</w:t>
      </w:r>
    </w:p>
    <w:p>
      <w:pPr>
        <w:pStyle w:val="Heading1"/>
        <w:spacing w:before="360" w:after="200"/>
      </w:pPr>
      <w:r>
        <w:rPr>
          <w:rFonts w:ascii="Arial" w:cs="Arial" w:eastAsia="Arial" w:hAnsi="Arial"/>
          <w:b/>
          <w:bCs/>
          <w:color w:val="1B3A5C"/>
          <w:sz w:val="32"/>
          <w:szCs w:val="32"/>
        </w:rPr>
        <w:t xml:space="preserve">9. Risks and Limitations</w:t>
      </w:r>
    </w:p>
    <w:p>
      <w:pPr>
        <w:spacing w:after="180" w:line="300"/>
        <w:jc w:val="both"/>
      </w:pPr>
      <w:r>
        <w:rPr>
          <w:rFonts w:ascii="Arial" w:cs="Arial" w:eastAsia="Arial" w:hAnsi="Arial"/>
          <w:color w:val="0D1B2A"/>
          <w:sz w:val="22"/>
          <w:szCs w:val="22"/>
        </w:rPr>
        <w:t xml:space="preserve">The AI-Native Organisation model carries significant risks that must be acknowledged and addressed.</w:t>
      </w:r>
    </w:p>
    <w:p>
      <w:pPr>
        <w:pStyle w:val="ListParagraph"/>
        <w:numPr>
          <w:ilvl w:val="0"/>
          <w:numId w:val="2"/>
        </w:numPr>
        <w:spacing w:after="100" w:line="280"/>
      </w:pPr>
      <w:r>
        <w:rPr>
          <w:rFonts w:ascii="Arial" w:cs="Arial" w:eastAsia="Arial" w:hAnsi="Arial"/>
          <w:b/>
          <w:bCs/>
          <w:color w:val="0D1B2A"/>
          <w:sz w:val="22"/>
          <w:szCs w:val="22"/>
        </w:rPr>
        <w:t xml:space="preserve">Concentration of Power: </w:t>
      </w:r>
      <w:r>
        <w:rPr>
          <w:rFonts w:ascii="Arial" w:cs="Arial" w:eastAsia="Arial" w:hAnsi="Arial"/>
          <w:color w:val="0D1B2A"/>
          <w:sz w:val="22"/>
          <w:szCs w:val="22"/>
        </w:rPr>
        <w:t xml:space="preserve">With only a handful of Conductors, the organisation is highly dependent on a small number of individuals. Succession planning, cognitive diversity, and mechanisms to prevent groupthink become critical.</w:t>
      </w:r>
    </w:p>
    <w:p>
      <w:pPr>
        <w:pStyle w:val="ListParagraph"/>
        <w:numPr>
          <w:ilvl w:val="0"/>
          <w:numId w:val="2"/>
        </w:numPr>
        <w:spacing w:after="100" w:line="280"/>
      </w:pPr>
      <w:r>
        <w:rPr>
          <w:rFonts w:ascii="Arial" w:cs="Arial" w:eastAsia="Arial" w:hAnsi="Arial"/>
          <w:b/>
          <w:bCs/>
          <w:color w:val="0D1B2A"/>
          <w:sz w:val="22"/>
          <w:szCs w:val="22"/>
        </w:rPr>
        <w:t xml:space="preserve">Agent Reliability: </w:t>
      </w:r>
      <w:r>
        <w:rPr>
          <w:rFonts w:ascii="Arial" w:cs="Arial" w:eastAsia="Arial" w:hAnsi="Arial"/>
          <w:color w:val="0D1B2A"/>
          <w:sz w:val="22"/>
          <w:szCs w:val="22"/>
        </w:rPr>
        <w:t xml:space="preserve">Current AI systems are prone to hallucination, subtle errors, and unpredictable failures. The execution fabric must incorporate robust quality assurance, anomaly detection, and graceful degradation mechanisms.</w:t>
      </w:r>
    </w:p>
    <w:p>
      <w:pPr>
        <w:pStyle w:val="ListParagraph"/>
        <w:numPr>
          <w:ilvl w:val="0"/>
          <w:numId w:val="2"/>
        </w:numPr>
        <w:spacing w:after="100" w:line="280"/>
      </w:pPr>
      <w:r>
        <w:rPr>
          <w:rFonts w:ascii="Arial" w:cs="Arial" w:eastAsia="Arial" w:hAnsi="Arial"/>
          <w:b/>
          <w:bCs/>
          <w:color w:val="0D1B2A"/>
          <w:sz w:val="22"/>
          <w:szCs w:val="22"/>
        </w:rPr>
        <w:t xml:space="preserve">Ethical Blindness: </w:t>
      </w:r>
      <w:r>
        <w:rPr>
          <w:rFonts w:ascii="Arial" w:cs="Arial" w:eastAsia="Arial" w:hAnsi="Arial"/>
          <w:color w:val="0D1B2A"/>
          <w:sz w:val="22"/>
          <w:szCs w:val="22"/>
        </w:rPr>
        <w:t xml:space="preserve">AI agents may perpetuate biases present in their training data or make decisions that are technically optimal but ethically problematic. Conductor oversight must be vigilant and structurally supported.</w:t>
      </w:r>
    </w:p>
    <w:p>
      <w:pPr>
        <w:pStyle w:val="ListParagraph"/>
        <w:numPr>
          <w:ilvl w:val="0"/>
          <w:numId w:val="2"/>
        </w:numPr>
        <w:spacing w:after="100" w:line="280"/>
      </w:pPr>
      <w:r>
        <w:rPr>
          <w:rFonts w:ascii="Arial" w:cs="Arial" w:eastAsia="Arial" w:hAnsi="Arial"/>
          <w:b/>
          <w:bCs/>
          <w:color w:val="0D1B2A"/>
          <w:sz w:val="22"/>
          <w:szCs w:val="22"/>
        </w:rPr>
        <w:t xml:space="preserve">Societal Impact: </w:t>
      </w:r>
      <w:r>
        <w:rPr>
          <w:rFonts w:ascii="Arial" w:cs="Arial" w:eastAsia="Arial" w:hAnsi="Arial"/>
          <w:color w:val="0D1B2A"/>
          <w:sz w:val="22"/>
          <w:szCs w:val="22"/>
        </w:rPr>
        <w:t xml:space="preserve">An organisational model that replaces the vast majority of human workers with AI agents raises profound questions about employment, economic distribution, and social purpose. These are not merely externalities to be managed—they are central challenges that the model’s proponents must confront honestly.</w:t>
      </w:r>
    </w:p>
    <w:p>
      <w:pPr>
        <w:pStyle w:val="ListParagraph"/>
        <w:numPr>
          <w:ilvl w:val="0"/>
          <w:numId w:val="2"/>
        </w:numPr>
        <w:spacing w:after="100" w:line="280"/>
      </w:pPr>
      <w:r>
        <w:rPr>
          <w:rFonts w:ascii="Arial" w:cs="Arial" w:eastAsia="Arial" w:hAnsi="Arial"/>
          <w:b/>
          <w:bCs/>
          <w:color w:val="0D1B2A"/>
          <w:sz w:val="22"/>
          <w:szCs w:val="22"/>
        </w:rPr>
        <w:t xml:space="preserve">Regulatory Uncertainty: </w:t>
      </w:r>
      <w:r>
        <w:rPr>
          <w:rFonts w:ascii="Arial" w:cs="Arial" w:eastAsia="Arial" w:hAnsi="Arial"/>
          <w:color w:val="0D1B2A"/>
          <w:sz w:val="22"/>
          <w:szCs w:val="22"/>
        </w:rPr>
        <w:t xml:space="preserve">Legal frameworks have not caught up with the concept of AI agents acting with delegated authority. Liability, intellectual property, and regulatory compliance in an agent-driven organisation remain unsettled questions.</w:t>
      </w:r>
    </w:p>
    <w:p>
      <w:pPr>
        <w:pStyle w:val="Heading1"/>
        <w:spacing w:before="360" w:after="200"/>
      </w:pPr>
      <w:r>
        <w:rPr>
          <w:rFonts w:ascii="Arial" w:cs="Arial" w:eastAsia="Arial" w:hAnsi="Arial"/>
          <w:b/>
          <w:bCs/>
          <w:color w:val="1B3A5C"/>
          <w:sz w:val="32"/>
          <w:szCs w:val="32"/>
        </w:rPr>
        <w:t xml:space="preserve">10. Conclusion: Conducting the Future</w:t>
      </w:r>
    </w:p>
    <w:p>
      <w:pPr>
        <w:spacing w:after="180" w:line="300"/>
        <w:jc w:val="both"/>
      </w:pPr>
      <w:r>
        <w:rPr>
          <w:rFonts w:ascii="Arial" w:cs="Arial" w:eastAsia="Arial" w:hAnsi="Arial"/>
          <w:color w:val="0D1B2A"/>
          <w:sz w:val="22"/>
          <w:szCs w:val="22"/>
        </w:rPr>
        <w:t xml:space="preserve">The AI-Native Organisation is not a prediction about what will happen. It is a design proposal for what could happen—and, we argue, what should be explored seriously by any institution seeking to align its structure with the capabilities that artificial intelligence now offers.</w:t>
      </w:r>
    </w:p>
    <w:p>
      <w:pPr>
        <w:spacing w:after="180" w:line="300"/>
        <w:jc w:val="both"/>
      </w:pPr>
      <w:r>
        <w:rPr>
          <w:rFonts w:ascii="Arial" w:cs="Arial" w:eastAsia="Arial" w:hAnsi="Arial"/>
          <w:color w:val="0D1B2A"/>
          <w:sz w:val="22"/>
          <w:szCs w:val="22"/>
        </w:rPr>
        <w:t xml:space="preserve">The shift from functional departments to Areas-of-Focus, from workers to agents, and from managers to Conductors represents a fundamental reimagining of how human enterprise is organised. It preserves what is irreducibly human—judgment, values, empathy, strategic wisdom—while delegating to AI what AI does better: executing, scaling, remembering, and optimising.</w:t>
      </w:r>
    </w:p>
    <w:p>
      <w:pPr>
        <w:spacing w:after="180" w:line="300"/>
        <w:jc w:val="both"/>
      </w:pPr>
      <w:r>
        <w:rPr>
          <w:rFonts w:ascii="Arial" w:cs="Arial" w:eastAsia="Arial" w:hAnsi="Arial"/>
          <w:color w:val="0D1B2A"/>
          <w:sz w:val="22"/>
          <w:szCs w:val="22"/>
        </w:rPr>
        <w:t xml:space="preserve">The orchestral metaphor is not merely decorative. An orchestra’s beauty lies in the interplay between human intentionality and instrumental capability. The conductor does not make the music alone, but without the conductor, there is no music—only noise. In the AI-Native Organisation, human Conductors ensure that the vast capabilities of artificial intelligence are directed toward purposes that are worthy of those capabilities. The music they create together may be something entirely new.</w:t>
      </w:r>
    </w:p>
    <w:p>
      <w:pPr>
        <w:spacing w:before="600"/>
      </w:pPr>
    </w:p>
    <w:p>
      <w:pPr>
        <w:pBdr>
          <w:top w:val="single" w:color="2E86AB" w:sz="2" w:space="8"/>
        </w:pBdr>
        <w:spacing w:before="200" w:after="100"/>
        <w:jc w:val="center"/>
      </w:pPr>
      <w:r>
        <w:rPr>
          <w:rFonts w:ascii="Arial" w:cs="Arial" w:eastAsia="Arial" w:hAnsi="Arial"/>
          <w:i/>
          <w:iCs/>
          <w:color w:val="B0C4D8"/>
          <w:sz w:val="20"/>
          <w:szCs w:val="20"/>
        </w:rPr>
        <w:t xml:space="preserve">— END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0C4D8"/>
        <w:sz w:val="18"/>
        <w:szCs w:val="18"/>
      </w:rPr>
      <w:t xml:space="preserve">Page </w:t>
    </w:r>
    <w:r>
      <w:rPr>
        <w:rFonts w:ascii="Arial" w:cs="Arial" w:eastAsia="Arial" w:hAnsi="Arial"/>
        <w:color w:val="B0C4D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B0C4D8"/>
        <w:sz w:val="18"/>
        <w:szCs w:val="18"/>
      </w:rPr>
      <w:t xml:space="preserve">The AI-Native Organisation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1B3A5C"/>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86A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2026-02-16T05:43:19.996Z</dcterms:created>
  <dcterms:modified xsi:type="dcterms:W3CDTF">2026-02-16T05:43:19.997Z</dcterms:modified>
</cp:coreProperties>
</file>

<file path=docProps/custom.xml><?xml version="1.0" encoding="utf-8"?>
<Properties xmlns="http://schemas.openxmlformats.org/officeDocument/2006/custom-properties" xmlns:vt="http://schemas.openxmlformats.org/officeDocument/2006/docPropsVTypes"/>
</file>