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Z34 – Mapowanie wymagań na przypadki użycia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FA3"/>
          <w:sz w:val="21"/>
          <w:szCs w:val="21"/>
        </w:rPr>
        <w:t xml:space="preserve">Stack Underflow sp. z o.o.  ·  Wiosna 2026</w:t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1. Macierz mapowania wymagań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Macierz łączy wymagania funkcjonalne z przypadkami użycia (UC), procesami (P), aktorami (A), klasami systemu (C), żądaniami udziałowca (ŻU), priorytetem MoSCoW i wymaganiami niefunkcjonalnymi (Z15). Nazewnictwo spójne z dokumentami Z26–Z35.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 – Obsługa wniosku  (5 wymagań)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20"/>
        <w:gridCol w:w="900"/>
        <w:gridCol w:w="1080"/>
        <w:gridCol w:w="1440"/>
        <w:gridCol w:w="230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2E5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2E5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2E5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2E5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2E5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Klasy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2E5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ŻU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2E5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Z15 (NFR)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FormularzWniosku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UC-01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C-07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ŻU-7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Z15-W01, Z15-B02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AutoIdPrzelozonego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UC-01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A-04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C-03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ŻU-4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PowiadomieniaAutoryzacji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UC-01..05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C-07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ŻU-7,8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Z15-W01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F-P1-04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WyborUrzadzenia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UC-03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C-01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ŻU-8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F-P1-05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AutoPrzypisanie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UC-04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C-01,C-05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ŻU-9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Z15-AU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6B7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P2 – Zwrot sprzętu  (4 wymagań)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20"/>
        <w:gridCol w:w="900"/>
        <w:gridCol w:w="1080"/>
        <w:gridCol w:w="1440"/>
        <w:gridCol w:w="230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6B7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6B7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6B7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6B7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6B7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Klasy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6B7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ŻU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6B7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Z15 (NFR)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InitZwrotu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UC-06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C-05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Z15-W01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RejestrZwrotu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UC-07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C-01,C-05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Z15-AU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ProtokolZwrotu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UC-07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C-09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F-P2-04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AlertPrzeterminowania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UC-08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C-05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ŻU-11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—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3FA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P3 – Zarządzanie cyklem życia  (3 wymagań)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20"/>
        <w:gridCol w:w="900"/>
        <w:gridCol w:w="1080"/>
        <w:gridCol w:w="1440"/>
        <w:gridCol w:w="230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Klasy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ŻU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5B3FA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Z15 (NFR)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GenerowanieKodu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UC-10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C-01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ŻU-1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MacierzStanow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UC-12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A-03,A-05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C-01,C-02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Z15-AU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HistoriaZdarzen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UC-12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C-02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Z15-AU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58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P4 – Offboarding  (5 wymagań)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20"/>
        <w:gridCol w:w="900"/>
        <w:gridCol w:w="1080"/>
        <w:gridCol w:w="1440"/>
        <w:gridCol w:w="230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7B58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7B58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7B58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7B58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7B58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Klasy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7B58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ŻU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7B58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Z15 (NFR)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AutoGeneracjaListy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UC-14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C-11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ŻU-13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Z15-W01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BlokowanieMozliwosci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UC-14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C-07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ŻU-13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PanelOffboardingu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UC-15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C-11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ŻU-13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Z15-B01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F-P4-04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ProtokolZbiorczy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UC-17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C-09,C-11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ŻU-13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Z15-RODO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F-P4-05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DeaktywacjaAD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UC-18</w:t>
            </w:r>
          </w:p>
        </w:tc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A-04,A-05</w:t>
            </w:r>
          </w:p>
        </w:tc>
        <w:tc>
          <w:tcPr>
            <w:tcW w:type="dxa" w:w="10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C-03</w:t>
            </w:r>
          </w:p>
        </w:tc>
        <w:tc>
          <w:tcPr>
            <w:tcW w:type="dxa" w:w="1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ŻU-13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4"/>
                <w:szCs w:val="14"/>
              </w:rPr>
              <w:t xml:space="preserve">—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2. Statystyki pokrycia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3840"/>
      </w:tblGrid>
      <w:tr>
        <w:trPr>
          <w:tblHeader/>
        </w:trPr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Proces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Liczba wymagań F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Liczba UC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Aktorzy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Priorytety</w:t>
            </w:r>
          </w:p>
        </w:tc>
      </w:tr>
      <w:tr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P1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A-01/02/03/04/05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5"/>
                <w:szCs w:val="15"/>
              </w:rPr>
              <w:t xml:space="preserve">5× Must Have</w:t>
            </w:r>
          </w:p>
        </w:tc>
      </w:tr>
      <w:tr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P2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A-01/03/05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5"/>
                <w:szCs w:val="15"/>
              </w:rPr>
              <w:t xml:space="preserve">4× Must Have</w:t>
            </w:r>
          </w:p>
        </w:tc>
      </w:tr>
      <w:tr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P3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A-03/05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5"/>
                <w:szCs w:val="15"/>
              </w:rPr>
              <w:t xml:space="preserve">3× Must Have</w:t>
            </w:r>
          </w:p>
        </w:tc>
      </w:tr>
      <w:tr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P4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A-01/03/04/05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5"/>
                <w:szCs w:val="15"/>
              </w:rPr>
              <w:t xml:space="preserve">5× Must Have</w:t>
            </w:r>
          </w:p>
        </w:tc>
      </w:tr>
      <w:tr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ŁĄCZNIE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4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A-01..A-05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5"/>
                <w:szCs w:val="15"/>
              </w:rPr>
              <w:t xml:space="preserve">17× Must Have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Strona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 z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Z34 Mapowanie wymagań  ·  Stack Underflow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20" w:after="20"/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Calibri" w:cs="Calibri" w:eastAsia="Calibri" w:hAnsi="Calibri"/>
      <w:b/>
      <w:bCs/>
      <w:color w:val="1F6B7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2026-03-18T20:56:00.067Z</dcterms:created>
  <dcterms:modified xsi:type="dcterms:W3CDTF">2026-03-18T20:56:00.067Z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