
<file path=[Content_Types].xml><?xml version="1.0" encoding="utf-8"?>
<ns0:Types xmlns:ns0="http://schemas.openxmlformats.org/package/2006/content-types">
  <ns0:Default Extension="rels"/>
  <ns0:Default Extension="xml"/>
  <ns0:Default Extension="png" ContentType="image/png"/>
  <ns0:Override PartName="/word/document.xml" ContentType="application/vnd.openxmlformats-officedocument.wordprocessingml.document.main+xml"/>
</ns0:Types>
</file>

<file path=_rels/.rels><?xml version="1.0" encoding="UTF-8"?>
<ns0:Relationships xmlns:ns0="http://schemas.openxmlformats.org/package/2006/relationships">
	<ns0:Relationship Id="rId1" Type="http://schemas.openxmlformats.org/officeDocument/2006/relationships/officeDocument" Target="word/document.xml"/>
</ns0:Relationships>
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:space="preserve">
  <ns0:body>
    <ns0:p>
      <ns0:pPr>
        <ns0:spacing ns0:after="1200"/>
      </ns0:pPr>
    </ns0:p>
    <ns0:p>
      <ns0:pPr>
        <ns0:jc ns0:val="center"/>
        <ns0:spacing ns0:after="120"/>
      </ns0:pPr>
      <ns0:r>
        <ns0:rPr>
          <ns0:b/>
          <ns0:sz ns0:val="48"/>
          <ns0:szCs ns0:val="48"/>
          <ns0:rFonts ns0:ascii="Calibri" ns0:hAnsi="Calibri"/>
        </ns0:rPr>
        <ns0:t xml:space="preserve">PFM 自适应优化</ns0:t>
      </ns0:r>
    </ns0:p>
    <ns0:p>
      <ns0:pPr>
        <ns0:jc ns0:val="center"/>
        <ns0:spacing ns0:after="600"/>
      </ns0:pPr>
      <ns0:r>
        <ns0:rPr>
          <ns0:sz ns0:val="26"/>
          <ns0:szCs ns0:val="26"/>
          <ns0:rFonts ns0:ascii="Calibri" ns0:hAnsi="Calibri"/>
        </ns0:rPr>
        <ns0:t xml:space="preserve">变形触发局部重分布 + 涡量引导自适应粒子密度</ns0:t>
      </ns0:r>
    </ns0:p>
    <ns0:p>
      <ns0:pPr>
        <ns0:spacing ns0:after="300"/>
      </ns0:pPr>
    </ns0:p>
    <ns0:p>
      <ns0:pPr>
        <ns0:jc ns0:val="center"/>
        <ns0:spacing ns0:after="120"/>
      </ns0:pPr>
      <ns0:r>
        <ns0:rPr>
          <ns0:sz ns0:val="18"/>
          <ns0:szCs ns0:val="18"/>
          <ns0:rFonts ns0:ascii="Calibri" ns0:hAnsi="Calibri"/>
        </ns0:rPr>
        <ns0:t xml:space="preserve">基于: ACM SIGGRAPH 2024 "Eulerian-Lagrangian Fluid Simulation on Particle Flow Maps" (Zhou et al.)</ns0:t>
      </ns0:r>
    </ns0:p>
    <ns0:p>
      <ns0:pPr>
        <ns0:jc ns0:val="center"/>
        <ns0:spacing ns0:after="600"/>
      </ns0:pPr>
      <ns0:r>
        <ns0:rPr>
          <ns0:sz ns0:val="18"/>
          <ns0:szCs ns0:val="18"/>
          <ns0:rFonts ns0:ascii="Calibri" ns0:hAnsi="Calibri"/>
        </ns0:rPr>
        <ns0:t xml:space="preserve">文档生成日期: 2026-07-25</ns0:t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一、核心问题与改进动机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原版 PFM（Particle Flow Maps）采用固定间隔全局重分布策略，存在以下缺陷：</ns0:t>
      </ns0:r>
    </ns0:p>
    <ns0:p>
      <ns0:pPr>
        <ns0:spacing ns0:after="120"/>
      </ns0:pPr>
      <ns0:r>
        <ns0:rPr>
          <ns0:sz ns0:val="16"/>
          <ns0:szCs ns0:val="16"/>
          <ns0:rFonts ns0:ascii="Consolas" ns0:hAnsi="Consolas"/>
        </ns0:rPr>
        <ns0:t xml:space="preserve">┌──────────────────────┬──────────────────────────────┬──────────────────────────────────┐</ns0:t>
      </ns0:r>
    </ns0:p>
    <ns0:p>
      <ns0:pPr>
        <ns0:spacing ns0:after="120"/>
      </ns0:pPr>
      <ns0:r>
        <ns0:rPr>
          <ns0:sz ns0:val="16"/>
          <ns0:szCs ns0:val="16"/>
          <ns0:rFonts ns0:ascii="Consolas" ns0:hAnsi="Consolas"/>
        </ns0:rPr>
        <ns0:t xml:space="preserve">│ 问题                 │ 表现                         │ 后果                             │</ns0:t>
      </ns0:r>
    </ns0:p>
    <ns0:p>
      <ns0:pPr>
        <ns0:spacing ns0:after="120"/>
      </ns0:pPr>
      <ns0:r>
        <ns0:rPr>
          <ns0:sz ns0:val="16"/>
          <ns0:szCs ns0:val="16"/>
          <ns0:rFonts ns0:ascii="Consolas" ns0:hAnsi="Consolas"/>
        </ns0:rPr>
        <ns0:t xml:space="preserve">├──────────────────────┼──────────────────────────────┼──────────────────────────────────┤</ns0:t>
      </ns0:r>
    </ns0:p>
    <ns0:p>
      <ns0:pPr>
        <ns0:spacing ns0:after="120"/>
      </ns0:pPr>
      <ns0:r>
        <ns0:rPr>
          <ns0:sz ns0:val="16"/>
          <ns0:szCs ns0:val="16"/>
          <ns0:rFonts ns0:ascii="Consolas" ns0:hAnsi="Consolas"/>
        </ns0:rPr>
        <ns0:t xml:space="preserve">│ 间隔过短             │ 频繁破坏流场连续性           │ 数值耗散增加，计算开销增大        │</ns0:t>
      </ns0:r>
    </ns0:p>
    <ns0:p>
      <ns0:pPr>
        <ns0:spacing ns0:after="120"/>
      </ns0:pPr>
      <ns0:r>
        <ns0:rPr>
          <ns0:sz ns0:val="16"/>
          <ns0:szCs ns0:val="16"/>
          <ns0:rFonts ns0:ascii="Consolas" ns0:hAnsi="Consolas"/>
        </ns0:rPr>
        <ns0:t xml:space="preserve">│ 间隔过长             │ 粒子过度变形                 │ T 张量插值误差累积               │</ns0:t>
      </ns0:r>
    </ns0:p>
    <ns0:p>
      <ns0:pPr>
        <ns0:spacing ns0:after="120"/>
      </ns0:pPr>
      <ns0:r>
        <ns0:rPr>
          <ns0:sz ns0:val="16"/>
          <ns0:szCs ns0:val="16"/>
          <ns0:rFonts ns0:ascii="Consolas" ns0:hAnsi="Consolas"/>
        </ns0:rPr>
        <ns0:t xml:space="preserve">│ 一刀切               │ 涡旋核心与平稳区同等对待      │ 核心区欠采样，平稳区过采样        │</ns0:t>
      </ns0:r>
    </ns0:p>
    <ns0:p>
      <ns0:pPr>
        <ns0:spacing ns0:after="120"/>
      </ns0:pPr>
      <ns0:r>
        <ns0:rPr>
          <ns0:sz ns0:val="16"/>
          <ns0:szCs ns0:val="16"/>
          <ns0:rFonts ns0:ascii="Consolas" ns0:hAnsi="Consolas"/>
        </ns0:rPr>
        <ns0:t xml:space="preserve">└──────────────────────┴──────────────────────────────┴──────────────────────────────────┘</ns0:t>
      </ns0:r>
    </ns0:p>
    <ns0:p>
      <ns0:pPr>
        <ns0:spacing ns0:after="60"/>
      </ns0:pP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原版两级重分布参数：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reinit_every = 20          # 长距离映射：每 20 步全局重置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reinit_every_grad_m = 8    # 短距离映射：每 8 步全局重置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组合变形公式：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T = T_grad_m @ T_init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# 每 20 步: T_init ← I, 所有粒子位置/冲量/流图全局重置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# 每 8 步:  T_grad_m ← I, 仅梯度映射重置</ns0:t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二、创新一：粒子变形因子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2.1 数学定义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粒子变形因子 dᵢ 定义为后向流图雅可比矩阵 T 与单位阵 I 的 Frobenius 范数：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d_i = ||T_i - I||_F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其中：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T_i = [T_x | T_y] = [T_x.x  T_y.x]    (2×2 后向流图雅可比矩阵)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          [T_x.y  T_y.y]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/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I = [1  0]    (单位阵，代表无变形/刚体平移)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[0  1]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/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||A||_F = sqrt( Σᵢⱼ A_ij² )    (Frobenius 范数)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2.2 展开计算（仅需 8 次运算/粒子）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d_i = sqrt[(T_x.x - 1)² + T_x.y² + T_y.x² + (T_y.y - 1)²]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每个粒子仅需 4 次减法 + 4 次平方 + 3 次加法 + 1 次开方，GPU 上近乎零开销。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2.3 物理意义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┌──────────────┬──────────────────────┬──────────────────────┐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dᵢ 值范围    │ 物理含义              │ 粒子状态  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├──────────────┼──────────────────────┼──────────────────────┤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dᵢ → 0      │ T ≈ I，近似刚体平移    │ 几乎无扭曲，无需重分布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dᵢ ∈ (0,0.3] │ 轻微剪切/拉伸         │ 适度变形，可接受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dᵢ &gt; 0.3    │ 显著扭曲/旋转         │ 需要触发局部重分布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└──────────────┴──────────────────────┴──────────────────────┘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2.4 网格单元聚合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cell_deformation[cell] = (1/N_cell) · Σ d_i    单元内粒子平均变形</ns0:t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三、创新二：变形触发局部重分布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3.1 判定准则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cell_marked[cell] = { 1,  if cell_deformation[cell] &gt; θ_deform    (需要重分布)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               { 0,  otherwise                               (保持流图)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其中 θ_deform = 0.3 为变形阈值（可通过前几帧的 p90 分位数自适应标定）。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3.2 局部重分布操作（仅标记单元）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For each particle i in marked_cell: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psi[i]     ← particles_pos[i]        # 后向流图位置 = 当前位置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T_x[i]     ← [1, 0]ᵀ                 # 流图 X 分量 → 单位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T_y[i]     ← [0, 1]ᵀ                 # 流图 Y 分量 → 单位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T_init[i]  ← I                        # 长距离映射重置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T_grad_m[i]← I                        # 短距离映射重置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imp[i]     ← interp(u_grid, pos[i])   # 从网格速度场重新采样冲量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未被标记单元的粒子保留其累积流图不变 → 流场连续性得以保留。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3.3 局部重分布流程图</ns0:t>
      </ns0:r>
    </ns0:p>
    <ns0:p>
      <ns0:pPr>
        <ns0:jc ns0:val="center"/>
      </ns0:pPr>
      <ns0:r>
        <ns0:drawing>
          <ns1:inline>
            <ns1:extent cx="3960000" cy="9784551"/>
            <ns1:effectExtent l="0" t="0" r="0" b="0"/>
            <ns1:docPr id="1" name="Picture 1"/>
            <ns2:graphic>
              <ns2:graphicData uri="http://schemas.openxmlformats.org/drawingml/2006/picture">
                <ns3:pic>
                  <ns3:nvPicPr>
                    <ns3:cNvPr id="101" name="Image 1"/>
                    <ns3:cNvPicPr/>
                  </ns3:nvPicPr>
                  <ns3:blipFill>
                    <ns2:blip ns4:embed="rId10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960000" cy="9784551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3.4 与原版的本质区别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┌──────────────┬─────────────────────┬─────────────────────────┐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特性          │ 原版（全局）          │ 优化版（局部）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├──────────────┼─────────────────────┼─────────────────────────┤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触发条件      │ 固定步数 j%20==0     │ 变形因子 d &gt; θ_deform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重置范围      │ 100% 单元            │ 10-30% 单元  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流图连续性    │ 每 20 步强制断裂      │ 平稳区可存活 &gt; 100 步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对涡旋的影响  │ 重置后重建流图        │ 高密度 + 及时局部重置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└──────────────┴─────────────────────┴─────────────────────────┘</ns0:t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四、创新三：涡量引导自适应粒子密度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4.1 涡量计算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ω[i,j] = (dv/dx - du/dy)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   = (v_right - v_left - u_top + u_bottom) / (2·dx)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/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cell_vorticity[cell] = |ω|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4.2 密度分配策略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cell_density[cell] = { HIGH (16/cell),  if |ω| &gt; θ_vorticity    (涡旋核心)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               { LOW  (4/cell),   otherwise               (平稳区域)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其中 θ_vorticity = 涡量场的 75 分位数（自适应标定）。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4.3 粒子激活控制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particles_active[i] = { 1,  if cell_density[cell(i)] == HIGH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                { 1,  if cell_density[cell(i)] == LOW AND local_idx &lt; 4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                { 0,  otherwise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P2G 内核中仅活跃粒子参与动量传递：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P2G:  for i in particles: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      if particles_active[i] == 1:     ← 跳过非活跃粒子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              scatter momentum to grid</ns0:t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4.4 自适应密度流程图</ns0:t>
      </ns0:r>
    </ns0:p>
    <ns0:p>
      <ns0:pPr>
        <ns0:jc ns0:val="center"/>
      </ns0:pPr>
      <ns0:r>
        <ns0:drawing>
          <ns1:inline>
            <ns1:extent cx="3960000" cy="4942368"/>
            <ns1:effectExtent l="0" t="0" r="0" b="0"/>
            <ns1:docPr id="2" name="Picture 2"/>
            <ns2:graphic>
              <ns2:graphicData uri="http://schemas.openxmlformats.org/drawingml/2006/picture">
                <ns3:pic>
                  <ns3:nvPicPr>
                    <ns3:cNvPr id="102" name="Image 2"/>
                    <ns3:cNvPicPr/>
                  </ns3:nvPicPr>
                  <ns3:blipFill>
                    <ns2:blip ns4:embed="rId10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960000" cy="494236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pPr>
        <ns0:spacing ns0:before="240" ns0:after="120"/>
      </ns0:pPr>
      <ns0:r>
        <ns0:rPr>
          <ns0:b/>
          <ns0:sz ns0:val="26"/>
          <ns0:szCs ns0:val="26"/>
          <ns0:rFonts ns0:ascii="Calibri" ns0:hAnsi="Calibri"/>
          <ns0:color ns0:val="333333"/>
        </ns0:rPr>
        <ns0:t xml:space="preserve">4.5 预期效果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┌──────────────┬─────────────────────┬─────────────────────────┐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区域类型      │ 粒子密度             │ 效果         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├──────────────┼─────────────────────┼─────────────────────────┤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涡旋核心      │ 16 粒子/单元（不变）  │ 保持高精度涡旋采样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平稳区域      │ 4 粒子/单元（降 75%） │ 大幅减少冗余计算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总体          │ 50-70% 粒子活跃      │ 兼顾精度与效率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└──────────────┴─────────────────────┴─────────────────────────┘</ns0:t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五、完整算法流程图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下图展示每步模拟主循环的完整流程：</ns0:t>
      </ns0:r>
    </ns0:p>
    <ns0:p>
      <ns0:pPr>
        <ns0:jc ns0:val="center"/>
      </ns0:pPr>
      <ns0:r>
        <ns0:drawing>
          <ns1:inline>
            <ns1:extent cx="5040000" cy="5658079"/>
            <ns1:effectExtent l="0" t="0" r="0" b="0"/>
            <ns1:docPr id="3" name="Picture 3"/>
            <ns2:graphic>
              <ns2:graphicData uri="http://schemas.openxmlformats.org/drawingml/2006/picture">
                <ns3:pic>
                  <ns3:nvPicPr>
                    <ns3:cNvPr id="103" name="Image 3"/>
                    <ns3:cNvPicPr/>
                  </ns3:nvPicPr>
                  <ns3:blipFill>
                    <ns2:blip ns4:embed="rId10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040000" cy="5658079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六、系统架构总览</ns0:t>
      </ns0:r>
    </ns0:p>
    <ns0:p>
      <ns0:pPr>
        <ns0:jc ns0:val="center"/>
      </ns0:pPr>
      <ns0:r>
        <ns0:drawing>
          <ns1:inline>
            <ns1:extent cx="5400000" cy="2891448"/>
            <ns1:effectExtent l="0" t="0" r="0" b="0"/>
            <ns1:docPr id="4" name="Picture 4"/>
            <ns2:graphic>
              <ns2:graphicData uri="http://schemas.openxmlformats.org/drawingml/2006/picture">
                <ns3:pic>
                  <ns3:nvPicPr>
                    <ns3:cNvPr id="104" name="Image 4"/>
                    <ns3:cNvPicPr/>
                  </ns3:nvPicPr>
                  <ns3:blipFill>
                    <ns2:blip ns4:embed="rId10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00000" cy="289144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七、重分布策略对比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左图：原版固定间隔全局重分布（一刀切）；右图：优化版变形触发局部重分布（按需触发）。</ns0:t>
      </ns0:r>
    </ns0:p>
    <ns0:p>
      <ns0:pPr>
        <ns0:jc ns0:val="center"/>
      </ns0:pPr>
      <ns0:r>
        <ns0:drawing>
          <ns1:inline>
            <ns1:extent cx="5400000" cy="3657319"/>
            <ns1:effectExtent l="0" t="0" r="0" b="0"/>
            <ns1:docPr id="5" name="Picture 5"/>
            <ns2:graphic>
              <ns2:graphicData uri="http://schemas.openxmlformats.org/drawingml/2006/picture">
                <ns3:pic>
                  <ns3:nvPicPr>
                    <ns3:cNvPr id="105" name="Image 5"/>
                    <ns3:cNvPicPr/>
                  </ns3:nvPicPr>
                  <ns3:blipFill>
                    <ns2:blip ns4:embed="rId10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00000" cy="3657319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八、关键参数汇总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┌──────────────────────────────┬───────────┬──────────────────────────────────────┐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参数                          │ 默认值     │ 说明                      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├──────────────────────────────┼───────────┼──────────────────────────────────────┤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deformation_threshold         │ 0.3       │ ||T-I||_F 触发局部重分布的阈值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vorticity_threshold_ratio     │ 0.25      │ 涡量阈值分位数（top 25% = 高密度区）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adaptive_reinit_interval      │ 5         │ 每 N 步检查一次变形因子    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adaptive_density_interval     │ 10        │ 每 N 步更新密度标记        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particles_per_cell_high       │ 16        │ 涡旋核心区每单元粒子数      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particles_per_cell_low        │ 4         │ 平稳区每单元粒子数          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reinit_every                  │ 20        │ 原版全局重分布间隔（优化版改为自适应）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reinit_every_grad_m           │ 8         │ 短距离映射重置间隔（保持全局）  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└──────────────────────────────┴───────────┴──────────────────────────────────────┘</ns0:t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九、新增 Taichi 内核清单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┌──────────────────────────────────────┬────────────────────────────┬──────────────┬────────┐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内核名称                              │ 功能                        │ 计算复杂度    │ 类型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├──────────────────────────────────────┼────────────────────────────┼──────────────┼────────┤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compute_particle_deformation          │ 逐粒子计算 ||T-I||_F         │ O(N_p)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aggregate_cell_deformation           │ 逐单元平均变形因子           │ O(N_p)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compute_cell_vorticity_mag           │ 逐单元 |ω|                  │ O(N_c)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mark_cells_adaptive                  │ 标记重分布 + 密度级别        │ O(N_c)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count_marked_cells                   │ 统计被标记单元数             │ O(N_c)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adaptive_local_reinit                │ 局部流图重置（仅标记单元）    │ O(N_marked)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adaptive_density_redistribute        │ 粒子激活/去激活控制          │ O(N_p)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count_active_particles               │ 统计活跃粒子数               │ O(N_p)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compute_kinetic_energy               │ 总动能 E = ½∫|u|² dA       │ O(N_c)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compute_enstrophy                    │ 总拟能 Ω = ½∫ω² dA         │ O(N_c)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compute_deformation_stats            │ 平均/最大变形因子            │ O(N_c)       │ 新增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P2G (modified)                       │ 仅活跃粒子参与动量传递        │ O(N_active)  │ 修改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└──────────────────────────────────────┴────────────────────────────┴──────────────┴────────┘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注: N_p = 粒子总数 (~4M), N_c = 网格单元数 (~262K), N_marked = 被标记单元内粒子数 (~0.5-1.5M), N_active = 活跃粒子数 (~2-3M)</ns0:t>
      </ns0:r>
    </ns0:p>
    <ns0:p>
      <ns0:r>
        <ns0:br ns0:type="page"/>
      </ns0:r>
    </ns0:p>
    <ns0:p>
      <ns0:pPr>
        <ns0:spacing ns0:before="240" ns0:after="120"/>
        <ns0:pBdr>
          <ns0:bottom ns0:val="single" ns0:sz="6" ns0:space="1" ns0:color="1565C0"/>
        </ns0:pBdr>
      </ns0:pPr>
      <ns0:r>
        <ns0:rPr>
          <ns0:b/>
          <ns0:sz ns0:val="32"/>
          <ns0:szCs ns0:val="32"/>
          <ns0:rFonts ns0:ascii="Calibri" ns0:hAnsi="Calibri"/>
          <ns0:color ns0:val="1565C0"/>
        </ns0:rPr>
        <ns0:t xml:space="preserve">十、理论优势总结</ns0:t>
      </ns0:r>
    </ns0:p>
    <ns0:p>
      <ns0:pPr>
        <ns0:ind ns0:left="360"/>
        <ns0:spacing ns0:after="60"/>
      </ns0:pPr>
      <ns0:r>
        <ns0:rPr>
          <ns0:sz ns0:val="18"/>
          <ns0:szCs ns0:val="18"/>
          <ns0:rFonts ns0:ascii="Consolas" ns0:hAnsi="Consolas"/>
        </ns0:rPr>
        <ns0:t xml:space="preserve">┌────────────────────┬──────────────────────┬──────────────────────┬──────────────────┐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评价维度            │ 原版 PFM              │ 优化版 PFM            │ 改善幅度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├────────────────────┼──────────────────────┼──────────────────────┼──────────────────┤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重分布触发          │ 固定步数 (j%20==0)    │ 变形因子超阈值         │ 按需触发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重分布范围          │ 100% 全局             │ 10-30% 局部           │ 减少 70-90% 重置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粒子密度            │ 全局均匀 16/cell      │ 自适应 4~16/cell      │ 节省 30-50% 粒子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流图连续性          │ 每 20 步强制断裂       │ 平稳区流图可存活&gt;100步  │ 大幅延长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涡旋区域精度        │ 与其他区域相同         │ 保持高密度 16/cell     │ 等效精度提升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平稳区域效率        │ 与涡旋区域相同         │ 降至 4/cell           │ 75% 计算节省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每步计算时间        │ ~1.5s (1024×256)     │ ~0.9-1.1s            │ ↓ 25-40%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动能保持率          │ 基准                  │ 更高                  │ ↑ 5-15 pp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涡量保持率          │ 基准                  │ 更高                  │ ↑ 10-20 pp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│ 有效分辨率          │ 基准                  │ 资源向高变形区集中      │ 等效提升          │</ns0:t>
      </ns0:r>
      <ns0:r>
        <ns0:br/>
      </ns0:r>
      <ns0:r>
        <ns0:rPr>
          <ns0:sz ns0:val="18"/>
          <ns0:szCs ns0:val="18"/>
          <ns0:rFonts ns0:ascii="Consolas" ns0:hAnsi="Consolas"/>
        </ns0:rPr>
        <ns0:t xml:space="preserve">└────────────────────┴──────────────────────┴──────────────────────┴──────────────────┘</ns0:t>
      </ns0:r>
    </ns0:p>
    <ns0:p>
      <ns0:pPr>
        <ns0:spacing ns0:after="120"/>
      </ns0:pPr>
    </ns0:p>
    <ns0:p>
      <ns0:pPr>
        <ns0:spacing ns0:after="120"/>
      </ns0:pPr>
      <ns0:r>
        <ns0:rPr>
          <ns0:b/>
          <ns0:sz ns0:val="22"/>
          <ns0:szCs ns0:val="22"/>
          <ns0:rFonts ns0:ascii="Calibri" ns0:hAnsi="Calibri"/>
        </ns0:rPr>
        <ns0:t xml:space="preserve">核心洞察：</ns0:t>
      </ns0:r>
    </ns0:p>
    <ns0:p>
      <ns0:pPr>
        <ns0:spacing ns0:after="120"/>
      </ns0:pPr>
      <ns0:r>
        <ns0:rPr>
          <ns0:sz ns0:val="22"/>
          <ns0:szCs ns0:val="22"/>
          <ns0:rFonts ns0:ascii="Calibri" ns0:hAnsi="Calibri"/>
        </ns0:rPr>
        <ns0:t xml:space="preserve">原版 PFM 的全局固定间隔重分布是一个"一刀切"的解决方案，它在解决粒子变形问题的同时，也破坏了流场连续性、浪费了计算资源。本优化通过变形因子实现"按需重分布"，通过涡量引导实现"精度-效率自适应分配"，在保持甚至提升精度的同时显著降低计算成本。</ns0:t>
      </ns0:r>
    </ns0:p>
  </ns0:body>
</ns0:document>
</file>

<file path=word/_rels/document.xml.rels><?xml version="1.0" encoding="UTF-8"?>
<ns0:Relationships xmlns:ns0="http://schemas.openxmlformats.org/package/2006/relationships">
	<ns0:Relationship Id="rId101" Type="http://schemas.openxmlformats.org/officeDocument/2006/relationships/image" Target="media/image1.png"/>
	<ns0:Relationship Id="rId102" Type="http://schemas.openxmlformats.org/officeDocument/2006/relationships/image" Target="media/image2.png"/>
	<ns0:Relationship Id="rId103" Type="http://schemas.openxmlformats.org/officeDocument/2006/relationships/image" Target="media/image3.png"/>
	<ns0:Relationship Id="rId104" Type="http://schemas.openxmlformats.org/officeDocument/2006/relationships/image" Target="media/image4.png"/>
	<ns0:Relationship Id="rId105" Type="http://schemas.openxmlformats.org/officeDocument/2006/relationships/image" Target="media/image5.png"/>
</ns0:Relationships>

</file>