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0C7" w14:textId="77777777" w:rsidR="00A21C1E" w:rsidRDefault="00000000">
      <w:pPr>
        <w:spacing w:before="160" w:after="0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>《寒江独钓图》VR沉浸式智能鉴赏系统项目文档</w:t>
      </w:r>
    </w:p>
    <w:p w14:paraId="15924529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1. 项目概述</w:t>
      </w:r>
    </w:p>
    <w:p w14:paraId="2773FAE8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本项目旨在开发一套面向中国传统绘画的VR沉浸式智能鉴赏系统原型。系统以宋代经典画作《寒江独钓图》为核心对象，深度融合AI问答、RAG（检索增强生成）、多角色智能代理与</w:t>
      </w:r>
      <w:proofErr w:type="spellStart"/>
      <w:r>
        <w:rPr>
          <w:rFonts w:ascii="宋体" w:eastAsia="宋体" w:hAnsi="宋体" w:cs="宋体"/>
          <w:sz w:val="24"/>
        </w:rPr>
        <w:t>WebXR</w:t>
      </w:r>
      <w:proofErr w:type="spellEnd"/>
      <w:r>
        <w:rPr>
          <w:rFonts w:ascii="宋体" w:eastAsia="宋体" w:hAnsi="宋体" w:cs="宋体"/>
          <w:sz w:val="24"/>
        </w:rPr>
        <w:t>/Three.js虚拟现实技术。通过构建3D虚拟博物馆与沉浸式赏析空间，引导用户从构图、笔墨、意象、历史背景及文人文化等多维视角，身临其境地理解古画背后的审美精神与文化内涵。</w:t>
      </w:r>
    </w:p>
    <w:p w14:paraId="276D54EC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2. 项目定位</w:t>
      </w:r>
    </w:p>
    <w:p w14:paraId="285FB5E1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本系统不仅是一个智能问答工具，更是一个“VR沉浸式导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 xml:space="preserve"> + 文化知识库 + 交互式赏析平台”。区别于传统的平面浏览，系统利用虚拟现实技术打破物理空间限制，将专业文化知识、可信AI解读与流畅的3D交互体验相结合，为文化遗产教育和大众美育提供全新的数字化沉浸式方式。</w:t>
      </w:r>
    </w:p>
    <w:p w14:paraId="7AD151E6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3. 核心研究对象</w:t>
      </w:r>
    </w:p>
    <w:p w14:paraId="4B3FEA9A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项目初期聚焦单幅画作《寒江独钓图》。该画作构图</w:t>
      </w:r>
      <w:proofErr w:type="gramStart"/>
      <w:r>
        <w:rPr>
          <w:rFonts w:ascii="宋体" w:eastAsia="宋体" w:hAnsi="宋体" w:cs="宋体"/>
          <w:sz w:val="24"/>
        </w:rPr>
        <w:t>极</w:t>
      </w:r>
      <w:proofErr w:type="gramEnd"/>
      <w:r>
        <w:rPr>
          <w:rFonts w:ascii="宋体" w:eastAsia="宋体" w:hAnsi="宋体" w:cs="宋体"/>
          <w:sz w:val="24"/>
        </w:rPr>
        <w:t>简、留白突出，非常适合在VR环境中展示AI对“虚实相生”、“诗画同源”以及“文人隐逸精神”的深度解读能力。后期可拓展增加第二幅画作，在虚拟展厅中进行对比鉴赏。</w:t>
      </w:r>
    </w:p>
    <w:p w14:paraId="6E17EE22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4. 目标用户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76160E10" w14:textId="77777777">
        <w:trPr>
          <w:trHeight w:val="800"/>
        </w:trPr>
        <w:tc>
          <w:tcPr>
            <w:tcW w:w="4140" w:type="dxa"/>
          </w:tcPr>
          <w:p w14:paraId="2717868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用户群体</w:t>
            </w:r>
          </w:p>
        </w:tc>
        <w:tc>
          <w:tcPr>
            <w:tcW w:w="4140" w:type="dxa"/>
          </w:tcPr>
          <w:p w14:paraId="4C911D1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核心需求</w:t>
            </w:r>
          </w:p>
        </w:tc>
      </w:tr>
      <w:tr w:rsidR="00A21C1E" w14:paraId="0AA41F5A" w14:textId="77777777">
        <w:trPr>
          <w:trHeight w:val="800"/>
        </w:trPr>
        <w:tc>
          <w:tcPr>
            <w:tcW w:w="4140" w:type="dxa"/>
          </w:tcPr>
          <w:p w14:paraId="47266EA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博物馆参观者</w:t>
            </w:r>
          </w:p>
        </w:tc>
        <w:tc>
          <w:tcPr>
            <w:tcW w:w="4140" w:type="dxa"/>
          </w:tcPr>
          <w:p w14:paraId="2870CE3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需要简洁、生动、沉浸式的虚拟导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体验</w:t>
            </w:r>
          </w:p>
        </w:tc>
      </w:tr>
      <w:tr w:rsidR="00A21C1E" w14:paraId="7D4E06BA" w14:textId="77777777">
        <w:trPr>
          <w:trHeight w:val="800"/>
        </w:trPr>
        <w:tc>
          <w:tcPr>
            <w:tcW w:w="4140" w:type="dxa"/>
          </w:tcPr>
          <w:p w14:paraId="55536D7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学生与教师</w:t>
            </w:r>
          </w:p>
        </w:tc>
        <w:tc>
          <w:tcPr>
            <w:tcW w:w="4140" w:type="dxa"/>
          </w:tcPr>
          <w:p w14:paraId="7C9BBA7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需要结构化的知识、问题引导与VR学习材料</w:t>
            </w:r>
          </w:p>
        </w:tc>
      </w:tr>
      <w:tr w:rsidR="00A21C1E" w14:paraId="0807519D" w14:textId="77777777">
        <w:trPr>
          <w:trHeight w:val="800"/>
        </w:trPr>
        <w:tc>
          <w:tcPr>
            <w:tcW w:w="4140" w:type="dxa"/>
          </w:tcPr>
          <w:p w14:paraId="35650C2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普通大众</w:t>
            </w:r>
          </w:p>
        </w:tc>
        <w:tc>
          <w:tcPr>
            <w:tcW w:w="4140" w:type="dxa"/>
          </w:tcPr>
          <w:p w14:paraId="008EF98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需要通俗易懂、故事化且具视觉冲击力的解读</w:t>
            </w:r>
          </w:p>
        </w:tc>
      </w:tr>
      <w:tr w:rsidR="00A21C1E" w14:paraId="742B70E2" w14:textId="77777777">
        <w:trPr>
          <w:trHeight w:val="800"/>
        </w:trPr>
        <w:tc>
          <w:tcPr>
            <w:tcW w:w="4140" w:type="dxa"/>
          </w:tcPr>
          <w:p w14:paraId="1BD2B5E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研究者与深度爱好者</w:t>
            </w:r>
          </w:p>
        </w:tc>
        <w:tc>
          <w:tcPr>
            <w:tcW w:w="4140" w:type="dxa"/>
          </w:tcPr>
          <w:p w14:paraId="7D9910E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需要详实的文献引用、高清细节查看与专业分析</w:t>
            </w:r>
          </w:p>
        </w:tc>
      </w:tr>
    </w:tbl>
    <w:p w14:paraId="41967E6B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5. 核心功能</w:t>
      </w:r>
    </w:p>
    <w:p w14:paraId="457CB380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5.1 AI 智能问答</w:t>
      </w:r>
    </w:p>
    <w:p w14:paraId="5BFF0D2A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用户可以围绕画作自由提问（如主题、构图、技法、历史背景、题跋印章、象征意象等）。系统通过RAG检索知识库内容，生成带引用来源的专业回答，确保内容的准确性与可信度。</w:t>
      </w:r>
    </w:p>
    <w:p w14:paraId="62A8F207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5.2 高清图像交互浏览</w:t>
      </w:r>
    </w:p>
    <w:p w14:paraId="0659D45B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支持用户对高清画作进行无损缩放、平移，并可点击画面热点区域查看局部解读。主要功能包括：</w:t>
      </w:r>
    </w:p>
    <w:p w14:paraId="3F346A6B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高清大图浏览与笔墨细节查看</w:t>
      </w:r>
    </w:p>
    <w:p w14:paraId="58E37006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热点标注与区域解读</w:t>
      </w:r>
    </w:p>
    <w:p w14:paraId="284D7843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构图</w:t>
      </w:r>
      <w:proofErr w:type="gramStart"/>
      <w:r>
        <w:rPr>
          <w:rFonts w:ascii="宋体" w:eastAsia="宋体" w:hAnsi="宋体" w:cs="宋体"/>
          <w:sz w:val="24"/>
        </w:rPr>
        <w:t>图层叠加</w:t>
      </w:r>
      <w:proofErr w:type="gramEnd"/>
      <w:r>
        <w:rPr>
          <w:rFonts w:ascii="宋体" w:eastAsia="宋体" w:hAnsi="宋体" w:cs="宋体"/>
          <w:sz w:val="24"/>
        </w:rPr>
        <w:t>与意象标记</w:t>
      </w:r>
    </w:p>
    <w:p w14:paraId="3F0B7343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5.3 多角色智能解读</w:t>
      </w:r>
    </w:p>
    <w:p w14:paraId="3551B1C6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系统提供多种角色代理，使同一问题可以从不同维度进行解答：</w:t>
      </w:r>
    </w:p>
    <w:p w14:paraId="1A1DCA01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策展人代理</w:t>
      </w:r>
      <w:r>
        <w:rPr>
          <w:rFonts w:ascii="宋体" w:eastAsia="宋体" w:hAnsi="宋体" w:cs="宋体"/>
          <w:sz w:val="24"/>
        </w:rPr>
        <w:t>：提供博物馆式的通俗导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与展览背景。</w:t>
      </w:r>
    </w:p>
    <w:p w14:paraId="03DB5060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美术史学者代理</w:t>
      </w:r>
      <w:r>
        <w:rPr>
          <w:rFonts w:ascii="宋体" w:eastAsia="宋体" w:hAnsi="宋体" w:cs="宋体"/>
          <w:sz w:val="24"/>
        </w:rPr>
        <w:t>：提供专业、学术化的深度分析。</w:t>
      </w:r>
    </w:p>
    <w:p w14:paraId="0FA71558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学习陪伴代理</w:t>
      </w:r>
      <w:r>
        <w:rPr>
          <w:rFonts w:ascii="宋体" w:eastAsia="宋体" w:hAnsi="宋体" w:cs="宋体"/>
          <w:sz w:val="24"/>
        </w:rPr>
        <w:t>：面向初学者，用浅显语言引导学习。</w:t>
      </w:r>
    </w:p>
    <w:p w14:paraId="17EA99BA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视觉分析代理</w:t>
      </w:r>
      <w:r>
        <w:rPr>
          <w:rFonts w:ascii="宋体" w:eastAsia="宋体" w:hAnsi="宋体" w:cs="宋体"/>
          <w:sz w:val="24"/>
        </w:rPr>
        <w:t>：专注构图、空间、笔墨和视觉细节解析。</w:t>
      </w:r>
    </w:p>
    <w:p w14:paraId="1E18365C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5.4 VR 沉浸式虚拟导</w:t>
      </w:r>
      <w:proofErr w:type="gramStart"/>
      <w:r>
        <w:rPr>
          <w:rFonts w:ascii="宋体" w:eastAsia="宋体" w:hAnsi="宋体" w:cs="宋体"/>
          <w:b/>
          <w:sz w:val="28"/>
        </w:rPr>
        <w:t>览</w:t>
      </w:r>
      <w:proofErr w:type="gramEnd"/>
      <w:r>
        <w:rPr>
          <w:rFonts w:ascii="宋体" w:eastAsia="宋体" w:hAnsi="宋体" w:cs="宋体"/>
          <w:b/>
          <w:sz w:val="28"/>
        </w:rPr>
        <w:t>（核心亮点）</w:t>
      </w:r>
    </w:p>
    <w:p w14:paraId="21EA2D55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彻底替代传统平面展示，提供全方位的VR沉浸式体验：</w:t>
      </w:r>
    </w:p>
    <w:p w14:paraId="2FD9DB6A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3D虚拟博物馆</w:t>
      </w:r>
      <w:r>
        <w:rPr>
          <w:rFonts w:ascii="宋体" w:eastAsia="宋体" w:hAnsi="宋体" w:cs="宋体"/>
          <w:sz w:val="24"/>
        </w:rPr>
        <w:t>：构建具有中国传统建筑风格的虚拟展厅，用户可通过VR设备或浏览器在展厅中自由漫游。</w:t>
      </w:r>
    </w:p>
    <w:p w14:paraId="53C33A90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巨幅沉浸式赏析</w:t>
      </w:r>
      <w:r>
        <w:rPr>
          <w:rFonts w:ascii="宋体" w:eastAsia="宋体" w:hAnsi="宋体" w:cs="宋体"/>
          <w:sz w:val="24"/>
        </w:rPr>
        <w:t>：画作以超高分辨率呈现于虚拟空间中，用户可“走近”画作，以毫米级精度观察纸张纹理、墨色晕染与笔触走向。</w:t>
      </w:r>
    </w:p>
    <w:p w14:paraId="03AA83FA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空间化语音导</w:t>
      </w:r>
      <w:proofErr w:type="gramStart"/>
      <w:r>
        <w:rPr>
          <w:rFonts w:ascii="宋体" w:eastAsia="宋体" w:hAnsi="宋体" w:cs="宋体"/>
          <w:b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：结合3D空间音频技术，当用户靠近画作特定区域时，AI导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语音自动触发，营造身临其境的讲解氛围。</w:t>
      </w:r>
    </w:p>
    <w:p w14:paraId="3F95C33F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交互式热点探索</w:t>
      </w:r>
      <w:r>
        <w:rPr>
          <w:rFonts w:ascii="宋体" w:eastAsia="宋体" w:hAnsi="宋体" w:cs="宋体"/>
          <w:sz w:val="24"/>
        </w:rPr>
        <w:t>：在VR场景中，画作的关键细节以悬浮的3D光效标签呈现，用户通过手柄或鼠标点击标签，即可展开详细的图文或语音解读。</w:t>
      </w:r>
    </w:p>
    <w:p w14:paraId="6F700EEB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5.5 文献引用与可信输出</w:t>
      </w:r>
    </w:p>
    <w:p w14:paraId="38F92EB4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所有AI回答均基于知识库检索结果生成，严格避免虚构年代、人名或象征意义。回答中清晰展示来源（如博物馆页面、学术文章、项目整理文稿等），保障学术严谨性。</w:t>
      </w:r>
    </w:p>
    <w:p w14:paraId="4A81876E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6. 系统架构</w:t>
      </w:r>
    </w:p>
    <w:p w14:paraId="66357135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系统整体分为六层架构：</w:t>
      </w:r>
    </w:p>
    <w:p w14:paraId="2B44EDD3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数据层</w:t>
      </w:r>
      <w:r>
        <w:rPr>
          <w:rFonts w:ascii="宋体" w:eastAsia="宋体" w:hAnsi="宋体" w:cs="宋体"/>
          <w:sz w:val="24"/>
        </w:rPr>
        <w:t>：存储画作高清图像、元数据、3D模型、标注信息及知识文档。</w:t>
      </w:r>
    </w:p>
    <w:p w14:paraId="0E647CE4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知识库层</w:t>
      </w:r>
      <w:r>
        <w:rPr>
          <w:rFonts w:ascii="宋体" w:eastAsia="宋体" w:hAnsi="宋体" w:cs="宋体"/>
          <w:sz w:val="24"/>
        </w:rPr>
        <w:t>：负责文本清洗、分块、向量化及入库管理。</w:t>
      </w:r>
    </w:p>
    <w:p w14:paraId="4017E403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AI/RAG层</w:t>
      </w:r>
      <w:r>
        <w:rPr>
          <w:rFonts w:ascii="宋体" w:eastAsia="宋体" w:hAnsi="宋体" w:cs="宋体"/>
          <w:sz w:val="24"/>
        </w:rPr>
        <w:t>：执行资料检索、提示词构建、回答生成及引用溯源。</w:t>
      </w:r>
    </w:p>
    <w:p w14:paraId="6F930EDE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后端接口层</w:t>
      </w:r>
      <w:r>
        <w:rPr>
          <w:rFonts w:ascii="宋体" w:eastAsia="宋体" w:hAnsi="宋体" w:cs="宋体"/>
          <w:sz w:val="24"/>
        </w:rPr>
        <w:t>：提供问答、画作数据、标注、导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等RESTful API。</w:t>
      </w:r>
    </w:p>
    <w:p w14:paraId="77AE5B4C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前端交互层</w:t>
      </w:r>
      <w:r>
        <w:rPr>
          <w:rFonts w:ascii="宋体" w:eastAsia="宋体" w:hAnsi="宋体" w:cs="宋体"/>
          <w:sz w:val="24"/>
        </w:rPr>
        <w:t>：展示2D高清阅览器、聊天面板、角色选择器及导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界面。</w:t>
      </w:r>
    </w:p>
    <w:p w14:paraId="76F16E2A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VR沉浸层</w:t>
      </w:r>
      <w:r>
        <w:rPr>
          <w:rFonts w:ascii="宋体" w:eastAsia="宋体" w:hAnsi="宋体" w:cs="宋体"/>
          <w:sz w:val="24"/>
        </w:rPr>
        <w:t>：基于</w:t>
      </w:r>
      <w:proofErr w:type="spellStart"/>
      <w:r>
        <w:rPr>
          <w:rFonts w:ascii="宋体" w:eastAsia="宋体" w:hAnsi="宋体" w:cs="宋体"/>
          <w:sz w:val="24"/>
        </w:rPr>
        <w:t>WebXR</w:t>
      </w:r>
      <w:proofErr w:type="spellEnd"/>
      <w:r>
        <w:rPr>
          <w:rFonts w:ascii="宋体" w:eastAsia="宋体" w:hAnsi="宋体" w:cs="宋体"/>
          <w:sz w:val="24"/>
        </w:rPr>
        <w:t>/Three.js构建3D虚拟展厅、渲染沉浸式画作及空间交互逻辑。</w:t>
      </w:r>
    </w:p>
    <w:p w14:paraId="271C2F54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7. 技术</w:t>
      </w:r>
      <w:proofErr w:type="gramStart"/>
      <w:r>
        <w:rPr>
          <w:rFonts w:ascii="宋体" w:eastAsia="宋体" w:hAnsi="宋体" w:cs="宋体"/>
          <w:b/>
          <w:sz w:val="36"/>
        </w:rPr>
        <w:t>栈</w:t>
      </w:r>
      <w:proofErr w:type="gramEnd"/>
      <w:r>
        <w:rPr>
          <w:rFonts w:ascii="宋体" w:eastAsia="宋体" w:hAnsi="宋体" w:cs="宋体"/>
          <w:b/>
          <w:sz w:val="36"/>
        </w:rPr>
        <w:t>详解</w:t>
      </w:r>
    </w:p>
    <w:p w14:paraId="7F507CE8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7.1 前端技术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25BCF2F1" w14:textId="77777777">
        <w:trPr>
          <w:trHeight w:val="800"/>
        </w:trPr>
        <w:tc>
          <w:tcPr>
            <w:tcW w:w="4140" w:type="dxa"/>
          </w:tcPr>
          <w:p w14:paraId="4DD4D6D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</w:t>
            </w:r>
          </w:p>
        </w:tc>
        <w:tc>
          <w:tcPr>
            <w:tcW w:w="4140" w:type="dxa"/>
          </w:tcPr>
          <w:p w14:paraId="79434BB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用途</w:t>
            </w:r>
          </w:p>
        </w:tc>
      </w:tr>
      <w:tr w:rsidR="00A21C1E" w14:paraId="4B4512A1" w14:textId="77777777">
        <w:trPr>
          <w:trHeight w:val="800"/>
        </w:trPr>
        <w:tc>
          <w:tcPr>
            <w:tcW w:w="4140" w:type="dxa"/>
          </w:tcPr>
          <w:p w14:paraId="5CC0CF6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React + TypeScript</w:t>
            </w:r>
          </w:p>
        </w:tc>
        <w:tc>
          <w:tcPr>
            <w:tcW w:w="4140" w:type="dxa"/>
          </w:tcPr>
          <w:p w14:paraId="6BE1AA0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构建前端应用与类型安全开发</w:t>
            </w:r>
          </w:p>
        </w:tc>
      </w:tr>
      <w:tr w:rsidR="00A21C1E" w14:paraId="05D1BEEE" w14:textId="77777777">
        <w:trPr>
          <w:trHeight w:val="800"/>
        </w:trPr>
        <w:tc>
          <w:tcPr>
            <w:tcW w:w="4140" w:type="dxa"/>
          </w:tcPr>
          <w:p w14:paraId="33E891F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Vite</w:t>
            </w:r>
          </w:p>
        </w:tc>
        <w:tc>
          <w:tcPr>
            <w:tcW w:w="4140" w:type="dxa"/>
          </w:tcPr>
          <w:p w14:paraId="7C3484A6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快速开发与打包</w:t>
            </w:r>
          </w:p>
        </w:tc>
      </w:tr>
      <w:tr w:rsidR="00A21C1E" w14:paraId="58DE21A2" w14:textId="77777777">
        <w:trPr>
          <w:trHeight w:val="800"/>
        </w:trPr>
        <w:tc>
          <w:tcPr>
            <w:tcW w:w="4140" w:type="dxa"/>
          </w:tcPr>
          <w:p w14:paraId="5A96763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Tailwind CSS</w:t>
            </w:r>
          </w:p>
        </w:tc>
        <w:tc>
          <w:tcPr>
            <w:tcW w:w="4140" w:type="dxa"/>
          </w:tcPr>
          <w:p w14:paraId="5942204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页面样式与响应式布局</w:t>
            </w:r>
          </w:p>
        </w:tc>
      </w:tr>
      <w:tr w:rsidR="00A21C1E" w14:paraId="0A927F5E" w14:textId="77777777">
        <w:trPr>
          <w:trHeight w:val="800"/>
        </w:trPr>
        <w:tc>
          <w:tcPr>
            <w:tcW w:w="4140" w:type="dxa"/>
          </w:tcPr>
          <w:p w14:paraId="5CBD20C3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lastRenderedPageBreak/>
              <w:t>OpenSeadragon</w:t>
            </w:r>
            <w:proofErr w:type="spellEnd"/>
          </w:p>
        </w:tc>
        <w:tc>
          <w:tcPr>
            <w:tcW w:w="4140" w:type="dxa"/>
          </w:tcPr>
          <w:p w14:paraId="5E9EBBA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2D高清大图缩放、平移与浏览</w:t>
            </w:r>
          </w:p>
        </w:tc>
      </w:tr>
      <w:tr w:rsidR="00A21C1E" w14:paraId="51ED2508" w14:textId="77777777">
        <w:trPr>
          <w:trHeight w:val="800"/>
        </w:trPr>
        <w:tc>
          <w:tcPr>
            <w:tcW w:w="4140" w:type="dxa"/>
          </w:tcPr>
          <w:p w14:paraId="312CF05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React Markdown</w:t>
            </w:r>
          </w:p>
        </w:tc>
        <w:tc>
          <w:tcPr>
            <w:tcW w:w="4140" w:type="dxa"/>
          </w:tcPr>
          <w:p w14:paraId="240E4155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渲染AI回答中的富文本</w:t>
            </w:r>
          </w:p>
        </w:tc>
      </w:tr>
      <w:tr w:rsidR="00A21C1E" w14:paraId="7A719673" w14:textId="77777777">
        <w:trPr>
          <w:trHeight w:val="800"/>
        </w:trPr>
        <w:tc>
          <w:tcPr>
            <w:tcW w:w="4140" w:type="dxa"/>
          </w:tcPr>
          <w:p w14:paraId="11B284D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Zustand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/ Redux</w:t>
            </w:r>
          </w:p>
        </w:tc>
        <w:tc>
          <w:tcPr>
            <w:tcW w:w="4140" w:type="dxa"/>
          </w:tcPr>
          <w:p w14:paraId="089FEDC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全局状态管理</w:t>
            </w:r>
          </w:p>
        </w:tc>
      </w:tr>
    </w:tbl>
    <w:p w14:paraId="72A5AB97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7.2 后端技术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0FA41856" w14:textId="77777777">
        <w:trPr>
          <w:trHeight w:val="800"/>
        </w:trPr>
        <w:tc>
          <w:tcPr>
            <w:tcW w:w="4140" w:type="dxa"/>
          </w:tcPr>
          <w:p w14:paraId="58B4BCC2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</w:t>
            </w:r>
          </w:p>
        </w:tc>
        <w:tc>
          <w:tcPr>
            <w:tcW w:w="4140" w:type="dxa"/>
          </w:tcPr>
          <w:p w14:paraId="28BA56E3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用途</w:t>
            </w:r>
          </w:p>
        </w:tc>
      </w:tr>
      <w:tr w:rsidR="00A21C1E" w14:paraId="27FC1E61" w14:textId="77777777">
        <w:trPr>
          <w:trHeight w:val="800"/>
        </w:trPr>
        <w:tc>
          <w:tcPr>
            <w:tcW w:w="4140" w:type="dxa"/>
          </w:tcPr>
          <w:p w14:paraId="254654D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Python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FastAPI</w:t>
            </w:r>
            <w:proofErr w:type="spellEnd"/>
          </w:p>
        </w:tc>
        <w:tc>
          <w:tcPr>
            <w:tcW w:w="4140" w:type="dxa"/>
          </w:tcPr>
          <w:p w14:paraId="16326FE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高性能后端服务与API开发</w:t>
            </w:r>
          </w:p>
        </w:tc>
      </w:tr>
      <w:tr w:rsidR="00A21C1E" w14:paraId="6B1363AD" w14:textId="77777777">
        <w:trPr>
          <w:trHeight w:val="800"/>
        </w:trPr>
        <w:tc>
          <w:tcPr>
            <w:tcW w:w="4140" w:type="dxa"/>
          </w:tcPr>
          <w:p w14:paraId="0E2635D3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Pydantic</w:t>
            </w:r>
            <w:proofErr w:type="spellEnd"/>
          </w:p>
        </w:tc>
        <w:tc>
          <w:tcPr>
            <w:tcW w:w="4140" w:type="dxa"/>
          </w:tcPr>
          <w:p w14:paraId="6AEB972C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数据校验与序列化</w:t>
            </w:r>
          </w:p>
        </w:tc>
      </w:tr>
      <w:tr w:rsidR="00A21C1E" w14:paraId="256A0170" w14:textId="77777777">
        <w:trPr>
          <w:trHeight w:val="800"/>
        </w:trPr>
        <w:tc>
          <w:tcPr>
            <w:tcW w:w="4140" w:type="dxa"/>
          </w:tcPr>
          <w:p w14:paraId="61E3C4E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Uvicorn</w:t>
            </w:r>
            <w:proofErr w:type="spellEnd"/>
          </w:p>
        </w:tc>
        <w:tc>
          <w:tcPr>
            <w:tcW w:w="4140" w:type="dxa"/>
          </w:tcPr>
          <w:p w14:paraId="7A04CE4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ASGI服务运行</w:t>
            </w:r>
          </w:p>
        </w:tc>
      </w:tr>
      <w:tr w:rsidR="00A21C1E" w14:paraId="63A69342" w14:textId="77777777">
        <w:trPr>
          <w:trHeight w:val="800"/>
        </w:trPr>
        <w:tc>
          <w:tcPr>
            <w:tcW w:w="4140" w:type="dxa"/>
          </w:tcPr>
          <w:p w14:paraId="6EC5ED8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RESTful API</w:t>
            </w:r>
          </w:p>
        </w:tc>
        <w:tc>
          <w:tcPr>
            <w:tcW w:w="4140" w:type="dxa"/>
          </w:tcPr>
          <w:p w14:paraId="3A36CEC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前后端标准化通信</w:t>
            </w:r>
          </w:p>
        </w:tc>
      </w:tr>
    </w:tbl>
    <w:p w14:paraId="086C4051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7.3 AI 与 RAG 技术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5BB73619" w14:textId="77777777">
        <w:trPr>
          <w:trHeight w:val="800"/>
        </w:trPr>
        <w:tc>
          <w:tcPr>
            <w:tcW w:w="4140" w:type="dxa"/>
          </w:tcPr>
          <w:p w14:paraId="3BEC2823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</w:t>
            </w:r>
          </w:p>
        </w:tc>
        <w:tc>
          <w:tcPr>
            <w:tcW w:w="4140" w:type="dxa"/>
          </w:tcPr>
          <w:p w14:paraId="6DCC8FD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用途</w:t>
            </w:r>
          </w:p>
        </w:tc>
      </w:tr>
      <w:tr w:rsidR="00A21C1E" w14:paraId="69E7533B" w14:textId="77777777">
        <w:trPr>
          <w:trHeight w:val="800"/>
        </w:trPr>
        <w:tc>
          <w:tcPr>
            <w:tcW w:w="4140" w:type="dxa"/>
          </w:tcPr>
          <w:p w14:paraId="1EA334D3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LangChain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/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LlamaIndex</w:t>
            </w:r>
            <w:proofErr w:type="spellEnd"/>
          </w:p>
        </w:tc>
        <w:tc>
          <w:tcPr>
            <w:tcW w:w="4140" w:type="dxa"/>
          </w:tcPr>
          <w:p w14:paraId="762E5106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构建RAG检索增强生成流程</w:t>
            </w:r>
          </w:p>
        </w:tc>
      </w:tr>
      <w:tr w:rsidR="00A21C1E" w14:paraId="5A4A3600" w14:textId="77777777">
        <w:trPr>
          <w:trHeight w:val="800"/>
        </w:trPr>
        <w:tc>
          <w:tcPr>
            <w:tcW w:w="4140" w:type="dxa"/>
          </w:tcPr>
          <w:p w14:paraId="6A70E89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OpenAI / Gemini / Claude API</w:t>
            </w:r>
          </w:p>
        </w:tc>
        <w:tc>
          <w:tcPr>
            <w:tcW w:w="4140" w:type="dxa"/>
          </w:tcPr>
          <w:p w14:paraId="08986AE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大模型回答生成</w:t>
            </w:r>
          </w:p>
        </w:tc>
      </w:tr>
      <w:tr w:rsidR="00A21C1E" w14:paraId="33508F7D" w14:textId="77777777">
        <w:trPr>
          <w:trHeight w:val="800"/>
        </w:trPr>
        <w:tc>
          <w:tcPr>
            <w:tcW w:w="4140" w:type="dxa"/>
          </w:tcPr>
          <w:p w14:paraId="6C06712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BGE / Jina /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SentenceTransformers</w:t>
            </w:r>
            <w:proofErr w:type="spellEnd"/>
          </w:p>
        </w:tc>
        <w:tc>
          <w:tcPr>
            <w:tcW w:w="4140" w:type="dxa"/>
          </w:tcPr>
          <w:p w14:paraId="4E30704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文本向量嵌入模型</w:t>
            </w:r>
          </w:p>
        </w:tc>
      </w:tr>
      <w:tr w:rsidR="00A21C1E" w14:paraId="023BD895" w14:textId="77777777">
        <w:trPr>
          <w:trHeight w:val="800"/>
        </w:trPr>
        <w:tc>
          <w:tcPr>
            <w:tcW w:w="4140" w:type="dxa"/>
          </w:tcPr>
          <w:p w14:paraId="349D88A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Prompt Engineering</w:t>
            </w:r>
          </w:p>
        </w:tc>
        <w:tc>
          <w:tcPr>
            <w:tcW w:w="4140" w:type="dxa"/>
          </w:tcPr>
          <w:p w14:paraId="1A8F304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控制多角色语气与回答规范</w:t>
            </w:r>
          </w:p>
        </w:tc>
      </w:tr>
    </w:tbl>
    <w:p w14:paraId="4CF075DD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7.4 数据库技术</w:t>
      </w:r>
    </w:p>
    <w:p w14:paraId="3FE67FCC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向量数据库</w:t>
      </w:r>
      <w:r>
        <w:rPr>
          <w:rFonts w:ascii="宋体" w:eastAsia="宋体" w:hAnsi="宋体" w:cs="宋体"/>
          <w:sz w:val="24"/>
        </w:rPr>
        <w:t>：</w:t>
      </w:r>
      <w:proofErr w:type="spellStart"/>
      <w:r>
        <w:rPr>
          <w:rFonts w:ascii="宋体" w:eastAsia="宋体" w:hAnsi="宋体" w:cs="宋体"/>
          <w:sz w:val="24"/>
        </w:rPr>
        <w:t>ChromaDB</w:t>
      </w:r>
      <w:proofErr w:type="spellEnd"/>
      <w:r>
        <w:rPr>
          <w:rFonts w:ascii="宋体" w:eastAsia="宋体" w:hAnsi="宋体" w:cs="宋体"/>
          <w:sz w:val="24"/>
        </w:rPr>
        <w:t xml:space="preserve"> 或 FAISS（轻量级原型），</w:t>
      </w:r>
      <w:proofErr w:type="spellStart"/>
      <w:r>
        <w:rPr>
          <w:rFonts w:ascii="宋体" w:eastAsia="宋体" w:hAnsi="宋体" w:cs="宋体"/>
          <w:sz w:val="24"/>
        </w:rPr>
        <w:t>Qdrant</w:t>
      </w:r>
      <w:proofErr w:type="spellEnd"/>
      <w:r>
        <w:rPr>
          <w:rFonts w:ascii="宋体" w:eastAsia="宋体" w:hAnsi="宋体" w:cs="宋体"/>
          <w:sz w:val="24"/>
        </w:rPr>
        <w:t>（可扩展生产环</w:t>
      </w:r>
      <w:r>
        <w:rPr>
          <w:rFonts w:ascii="宋体" w:eastAsia="宋体" w:hAnsi="宋体" w:cs="宋体"/>
          <w:sz w:val="24"/>
        </w:rPr>
        <w:lastRenderedPageBreak/>
        <w:t>境）。</w:t>
      </w:r>
    </w:p>
    <w:p w14:paraId="08C17DCB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结构化数据库</w:t>
      </w:r>
      <w:r>
        <w:rPr>
          <w:rFonts w:ascii="宋体" w:eastAsia="宋体" w:hAnsi="宋体" w:cs="宋体"/>
          <w:sz w:val="24"/>
        </w:rPr>
        <w:t>：SQLite（初期原型），PostgreSQL（后期完整版本）。</w:t>
      </w:r>
    </w:p>
    <w:p w14:paraId="02038F92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7.5 VR 与 3D 渲染技术（核心）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58DD3796" w14:textId="77777777">
        <w:trPr>
          <w:trHeight w:val="800"/>
        </w:trPr>
        <w:tc>
          <w:tcPr>
            <w:tcW w:w="4140" w:type="dxa"/>
          </w:tcPr>
          <w:p w14:paraId="5DA777B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</w:t>
            </w:r>
          </w:p>
        </w:tc>
        <w:tc>
          <w:tcPr>
            <w:tcW w:w="4140" w:type="dxa"/>
          </w:tcPr>
          <w:p w14:paraId="7CA81FE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用途</w:t>
            </w:r>
          </w:p>
        </w:tc>
      </w:tr>
      <w:tr w:rsidR="00A21C1E" w14:paraId="6F32CD16" w14:textId="77777777">
        <w:trPr>
          <w:trHeight w:val="800"/>
        </w:trPr>
        <w:tc>
          <w:tcPr>
            <w:tcW w:w="4140" w:type="dxa"/>
          </w:tcPr>
          <w:p w14:paraId="39AA5EC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Three.js</w:t>
            </w:r>
          </w:p>
        </w:tc>
        <w:tc>
          <w:tcPr>
            <w:tcW w:w="4140" w:type="dxa"/>
          </w:tcPr>
          <w:p w14:paraId="580266E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核心3D渲染引擎，构建虚拟展厅、画作3D展示及粒子特效</w:t>
            </w:r>
          </w:p>
        </w:tc>
      </w:tr>
      <w:tr w:rsidR="00A21C1E" w14:paraId="155F692B" w14:textId="77777777">
        <w:trPr>
          <w:trHeight w:val="800"/>
        </w:trPr>
        <w:tc>
          <w:tcPr>
            <w:tcW w:w="4140" w:type="dxa"/>
          </w:tcPr>
          <w:p w14:paraId="0AF2BA0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WebXR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API</w:t>
            </w:r>
          </w:p>
        </w:tc>
        <w:tc>
          <w:tcPr>
            <w:tcW w:w="4140" w:type="dxa"/>
          </w:tcPr>
          <w:p w14:paraId="1CD79442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提供跨平台VR/AR设备接入标准，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支持头显及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浏览器沉浸式体验</w:t>
            </w:r>
          </w:p>
        </w:tc>
      </w:tr>
      <w:tr w:rsidR="00A21C1E" w14:paraId="6CA5F9F8" w14:textId="77777777">
        <w:trPr>
          <w:trHeight w:val="800"/>
        </w:trPr>
        <w:tc>
          <w:tcPr>
            <w:tcW w:w="4140" w:type="dxa"/>
          </w:tcPr>
          <w:p w14:paraId="08524B26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React Three Fiber (R3F)</w:t>
            </w:r>
          </w:p>
        </w:tc>
        <w:tc>
          <w:tcPr>
            <w:tcW w:w="4140" w:type="dxa"/>
          </w:tcPr>
          <w:p w14:paraId="5819B0F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React生态下的Three.js声明式封装，简化VR场景组件开发</w:t>
            </w:r>
          </w:p>
        </w:tc>
      </w:tr>
      <w:tr w:rsidR="00A21C1E" w14:paraId="2B905295" w14:textId="77777777">
        <w:trPr>
          <w:trHeight w:val="800"/>
        </w:trPr>
        <w:tc>
          <w:tcPr>
            <w:tcW w:w="4140" w:type="dxa"/>
          </w:tcPr>
          <w:p w14:paraId="367398E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@react-three/drei</w:t>
            </w:r>
          </w:p>
        </w:tc>
        <w:tc>
          <w:tcPr>
            <w:tcW w:w="4140" w:type="dxa"/>
          </w:tcPr>
          <w:p w14:paraId="0BBEA36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提供VR交互辅助组件（如Text3D、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OrbitControls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、Html等）</w:t>
            </w:r>
          </w:p>
        </w:tc>
      </w:tr>
      <w:tr w:rsidR="00A21C1E" w14:paraId="4457B60E" w14:textId="77777777">
        <w:trPr>
          <w:trHeight w:val="800"/>
        </w:trPr>
        <w:tc>
          <w:tcPr>
            <w:tcW w:w="4140" w:type="dxa"/>
          </w:tcPr>
          <w:p w14:paraId="5ABCEAA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Unity + WebGL (备选)</w:t>
            </w:r>
          </w:p>
        </w:tc>
        <w:tc>
          <w:tcPr>
            <w:tcW w:w="4140" w:type="dxa"/>
          </w:tcPr>
          <w:p w14:paraId="1C820DC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用于构建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高复杂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度的3D虚拟博物馆场景及物理交互</w:t>
            </w:r>
          </w:p>
        </w:tc>
      </w:tr>
    </w:tbl>
    <w:p w14:paraId="73F00F59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7.6 部署方案</w:t>
      </w:r>
    </w:p>
    <w:p w14:paraId="5B89C87C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前端</w:t>
      </w:r>
      <w:r>
        <w:rPr>
          <w:rFonts w:ascii="宋体" w:eastAsia="宋体" w:hAnsi="宋体" w:cs="宋体"/>
          <w:sz w:val="24"/>
        </w:rPr>
        <w:t>：</w:t>
      </w:r>
      <w:proofErr w:type="spellStart"/>
      <w:r>
        <w:rPr>
          <w:rFonts w:ascii="宋体" w:eastAsia="宋体" w:hAnsi="宋体" w:cs="宋体"/>
          <w:sz w:val="24"/>
        </w:rPr>
        <w:t>Vercel</w:t>
      </w:r>
      <w:proofErr w:type="spellEnd"/>
      <w:r>
        <w:rPr>
          <w:rFonts w:ascii="宋体" w:eastAsia="宋体" w:hAnsi="宋体" w:cs="宋体"/>
          <w:sz w:val="24"/>
        </w:rPr>
        <w:t xml:space="preserve"> / Netlify</w:t>
      </w:r>
    </w:p>
    <w:p w14:paraId="4FDD2054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后端</w:t>
      </w:r>
      <w:r>
        <w:rPr>
          <w:rFonts w:ascii="宋体" w:eastAsia="宋体" w:hAnsi="宋体" w:cs="宋体"/>
          <w:sz w:val="24"/>
        </w:rPr>
        <w:t>：Render / Railway / Fly.io / 校园服务器</w:t>
      </w:r>
    </w:p>
    <w:p w14:paraId="712E03D7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演示部署</w:t>
      </w:r>
      <w:r>
        <w:rPr>
          <w:rFonts w:ascii="宋体" w:eastAsia="宋体" w:hAnsi="宋体" w:cs="宋体"/>
          <w:sz w:val="24"/>
        </w:rPr>
        <w:t>：Docker Compose 本地一键运行</w:t>
      </w:r>
    </w:p>
    <w:p w14:paraId="0D563A55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8. 数据设计</w:t>
      </w:r>
    </w:p>
    <w:p w14:paraId="40087FA8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8.1 画作元数据</w:t>
      </w:r>
    </w:p>
    <w:p w14:paraId="21163363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记录画作名称、作者、朝代、尺寸、材质、馆藏及关键词等基础信息。</w:t>
      </w:r>
    </w:p>
    <w:p w14:paraId="6BBE3142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8.2 画面标注数据</w:t>
      </w:r>
    </w:p>
    <w:p w14:paraId="7A749813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存储热点坐标、标签类型（如象征意象、笔墨技法）、多语言描述及文献来源引用。</w:t>
      </w:r>
    </w:p>
    <w:p w14:paraId="65FB0EB4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8.3 知识库文档</w:t>
      </w:r>
    </w:p>
    <w:p w14:paraId="6B700EB1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涵盖博物馆资料、学术论文、展览图录、画家传记、题跋释文及项目团队原创整理文稿。</w:t>
      </w:r>
    </w:p>
    <w:p w14:paraId="44F08D71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8.4 角色代理配置</w:t>
      </w:r>
    </w:p>
    <w:p w14:paraId="5B6F0CAE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定义各AI代理的名称、语气风格及关注焦点，确保多角色输出的差异化与专业性。</w:t>
      </w:r>
    </w:p>
    <w:p w14:paraId="4E4646E0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9. RAG 工作流程</w:t>
      </w:r>
    </w:p>
    <w:p w14:paraId="7919ED24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用户提问 → 识别当前画作与角色 → 优化检索问题 → 检索知识库 → 重排序证据 → 构建提示词 → 大模型生成回答 → 返回回答正文、文献引用、追问建议与关联画面区域。</w:t>
      </w:r>
    </w:p>
    <w:p w14:paraId="72AB8240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10. 最终呈现效果</w:t>
      </w:r>
    </w:p>
    <w:p w14:paraId="38B0BAF9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10.1 首页</w:t>
      </w:r>
    </w:p>
    <w:p w14:paraId="6F01C7AF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展示项目名称、核心画作3D预览入口、系统简介与主要功能导航，提供“进入2D鉴赏”与“进入VR沉浸空间”双入口。</w:t>
      </w:r>
    </w:p>
    <w:p w14:paraId="32566DA0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10.2 2D画作鉴赏页</w:t>
      </w:r>
    </w:p>
    <w:p w14:paraId="38B86014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页面左侧为高清画作阅览器，右侧为AI对话面板、角色选择器和文献引用区。用户点击画面热点后，系统弹出局部说明，并可继续追问。</w:t>
      </w:r>
    </w:p>
    <w:p w14:paraId="144AA7A6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10.3 VR 沉浸式虚拟展厅（核心呈现）</w:t>
      </w:r>
    </w:p>
    <w:p w14:paraId="0F0E509E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视觉体验</w:t>
      </w:r>
      <w:r>
        <w:rPr>
          <w:rFonts w:ascii="宋体" w:eastAsia="宋体" w:hAnsi="宋体" w:cs="宋体"/>
          <w:sz w:val="24"/>
        </w:rPr>
        <w:t>：用户进入一个光影柔和、具有东方美学风格的虚拟展厅。中央悬浮着《寒江独钓图》的高清3D复刻版，周围环绕着水墨粒子特效。</w:t>
      </w:r>
    </w:p>
    <w:p w14:paraId="3337718D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交互体验</w:t>
      </w:r>
      <w:r>
        <w:rPr>
          <w:rFonts w:ascii="宋体" w:eastAsia="宋体" w:hAnsi="宋体" w:cs="宋体"/>
          <w:sz w:val="24"/>
        </w:rPr>
        <w:t>：用户可通过VR手柄或鼠标在展厅内漫游。走近画作时，画作自动放大，呈现极致的笔墨细节；视线聚焦于特定区域时，3D光效标签浮现，点击即可呼出AI语音或图文解读。</w:t>
      </w:r>
    </w:p>
    <w:p w14:paraId="710BF1E1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听觉体验</w:t>
      </w:r>
      <w:r>
        <w:rPr>
          <w:rFonts w:ascii="宋体" w:eastAsia="宋体" w:hAnsi="宋体" w:cs="宋体"/>
          <w:sz w:val="24"/>
        </w:rPr>
        <w:t>：配合古琴背景音与空间化AI导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语音，营造“孤舟蓑笠翁，独钓寒江雪”的极致沉浸意境。</w:t>
      </w:r>
    </w:p>
    <w:p w14:paraId="724B45C3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10.4 导</w:t>
      </w:r>
      <w:proofErr w:type="gramStart"/>
      <w:r>
        <w:rPr>
          <w:rFonts w:ascii="宋体" w:eastAsia="宋体" w:hAnsi="宋体" w:cs="宋体"/>
          <w:b/>
          <w:sz w:val="28"/>
        </w:rPr>
        <w:t>览</w:t>
      </w:r>
      <w:proofErr w:type="gramEnd"/>
      <w:r>
        <w:rPr>
          <w:rFonts w:ascii="宋体" w:eastAsia="宋体" w:hAnsi="宋体" w:cs="宋体"/>
          <w:b/>
          <w:sz w:val="28"/>
        </w:rPr>
        <w:t>模式页</w:t>
      </w:r>
    </w:p>
    <w:p w14:paraId="4CC041F3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系统按照预设路线自动移动视角至画面重点区域，展示简短解说、相关知识和思考问题，支持2D与VR模式无缝切换。</w:t>
      </w:r>
    </w:p>
    <w:p w14:paraId="06AEE7B7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11. 后端 API 设计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0"/>
        <w:gridCol w:w="2720"/>
        <w:gridCol w:w="2720"/>
      </w:tblGrid>
      <w:tr w:rsidR="00A21C1E" w14:paraId="3BBA1288" w14:textId="77777777">
        <w:trPr>
          <w:trHeight w:val="800"/>
        </w:trPr>
        <w:tc>
          <w:tcPr>
            <w:tcW w:w="2720" w:type="dxa"/>
          </w:tcPr>
          <w:p w14:paraId="7EFC023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接口</w:t>
            </w:r>
          </w:p>
        </w:tc>
        <w:tc>
          <w:tcPr>
            <w:tcW w:w="2720" w:type="dxa"/>
          </w:tcPr>
          <w:p w14:paraId="24ECD9C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方法</w:t>
            </w:r>
          </w:p>
        </w:tc>
        <w:tc>
          <w:tcPr>
            <w:tcW w:w="2720" w:type="dxa"/>
          </w:tcPr>
          <w:p w14:paraId="2D6CA31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A21C1E" w14:paraId="3DC0A926" w14:textId="77777777">
        <w:trPr>
          <w:trHeight w:val="800"/>
        </w:trPr>
        <w:tc>
          <w:tcPr>
            <w:tcW w:w="2720" w:type="dxa"/>
          </w:tcPr>
          <w:p w14:paraId="6C65CF6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api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/paintings</w:t>
            </w:r>
          </w:p>
        </w:tc>
        <w:tc>
          <w:tcPr>
            <w:tcW w:w="2720" w:type="dxa"/>
          </w:tcPr>
          <w:p w14:paraId="18D3C1F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2720" w:type="dxa"/>
          </w:tcPr>
          <w:p w14:paraId="0EC52F9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获取全部画作列表</w:t>
            </w:r>
          </w:p>
        </w:tc>
      </w:tr>
      <w:tr w:rsidR="00A21C1E" w14:paraId="4DC82FEE" w14:textId="77777777">
        <w:trPr>
          <w:trHeight w:val="800"/>
        </w:trPr>
        <w:tc>
          <w:tcPr>
            <w:tcW w:w="2720" w:type="dxa"/>
          </w:tcPr>
          <w:p w14:paraId="2325EE1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 w:cs="宋体"/>
                <w:sz w:val="24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 w:cs="宋体"/>
                <w:sz w:val="24"/>
              </w:rPr>
              <w:t>/paintings/{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painting_id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}</w:t>
            </w:r>
          </w:p>
        </w:tc>
        <w:tc>
          <w:tcPr>
            <w:tcW w:w="2720" w:type="dxa"/>
          </w:tcPr>
          <w:p w14:paraId="012C000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2720" w:type="dxa"/>
          </w:tcPr>
          <w:p w14:paraId="10093F25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获取单幅画作详情及3D资源路径</w:t>
            </w:r>
          </w:p>
        </w:tc>
      </w:tr>
      <w:tr w:rsidR="00A21C1E" w14:paraId="2A202AA1" w14:textId="77777777">
        <w:trPr>
          <w:trHeight w:val="800"/>
        </w:trPr>
        <w:tc>
          <w:tcPr>
            <w:tcW w:w="2720" w:type="dxa"/>
          </w:tcPr>
          <w:p w14:paraId="13E3995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 w:cs="宋体"/>
                <w:sz w:val="24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 w:cs="宋体"/>
                <w:sz w:val="24"/>
              </w:rPr>
              <w:t>/paintings/{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painting_id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}/annotations</w:t>
            </w:r>
          </w:p>
        </w:tc>
        <w:tc>
          <w:tcPr>
            <w:tcW w:w="2720" w:type="dxa"/>
          </w:tcPr>
          <w:p w14:paraId="1D7F432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2720" w:type="dxa"/>
          </w:tcPr>
          <w:p w14:paraId="363F0143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获取画作标注及VR热点坐标</w:t>
            </w:r>
          </w:p>
        </w:tc>
      </w:tr>
      <w:tr w:rsidR="00A21C1E" w14:paraId="4085CD2F" w14:textId="77777777">
        <w:trPr>
          <w:trHeight w:val="800"/>
        </w:trPr>
        <w:tc>
          <w:tcPr>
            <w:tcW w:w="2720" w:type="dxa"/>
          </w:tcPr>
          <w:p w14:paraId="2F101A5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api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/ask</w:t>
            </w:r>
          </w:p>
        </w:tc>
        <w:tc>
          <w:tcPr>
            <w:tcW w:w="2720" w:type="dxa"/>
          </w:tcPr>
          <w:p w14:paraId="17CE2EE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POST</w:t>
            </w:r>
          </w:p>
        </w:tc>
        <w:tc>
          <w:tcPr>
            <w:tcW w:w="2720" w:type="dxa"/>
          </w:tcPr>
          <w:p w14:paraId="5BEA247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AI问答接口（支持传入当前VR视角坐标）</w:t>
            </w:r>
          </w:p>
        </w:tc>
      </w:tr>
      <w:tr w:rsidR="00A21C1E" w14:paraId="39166135" w14:textId="77777777">
        <w:trPr>
          <w:trHeight w:val="800"/>
        </w:trPr>
        <w:tc>
          <w:tcPr>
            <w:tcW w:w="2720" w:type="dxa"/>
          </w:tcPr>
          <w:p w14:paraId="681D69C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 w:cs="宋体"/>
                <w:sz w:val="24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 w:cs="宋体"/>
                <w:sz w:val="24"/>
              </w:rPr>
              <w:t>/paintings/{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painting_id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}/tours</w:t>
            </w:r>
          </w:p>
        </w:tc>
        <w:tc>
          <w:tcPr>
            <w:tcW w:w="2720" w:type="dxa"/>
          </w:tcPr>
          <w:p w14:paraId="4B6ED73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GET</w:t>
            </w:r>
          </w:p>
        </w:tc>
        <w:tc>
          <w:tcPr>
            <w:tcW w:w="2720" w:type="dxa"/>
          </w:tcPr>
          <w:p w14:paraId="76446652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获取导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流程及空间路径点</w:t>
            </w:r>
          </w:p>
        </w:tc>
      </w:tr>
      <w:tr w:rsidR="00A21C1E" w14:paraId="3D9971DC" w14:textId="77777777">
        <w:trPr>
          <w:trHeight w:val="800"/>
        </w:trPr>
        <w:tc>
          <w:tcPr>
            <w:tcW w:w="2720" w:type="dxa"/>
          </w:tcPr>
          <w:p w14:paraId="2A9C0D3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/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api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/feedback</w:t>
            </w:r>
          </w:p>
        </w:tc>
        <w:tc>
          <w:tcPr>
            <w:tcW w:w="2720" w:type="dxa"/>
          </w:tcPr>
          <w:p w14:paraId="3FB2C99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POST</w:t>
            </w:r>
          </w:p>
        </w:tc>
        <w:tc>
          <w:tcPr>
            <w:tcW w:w="2720" w:type="dxa"/>
          </w:tcPr>
          <w:p w14:paraId="48ECC04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提交用户反馈</w:t>
            </w:r>
          </w:p>
        </w:tc>
      </w:tr>
    </w:tbl>
    <w:p w14:paraId="42B1C762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12. MVP 最小可行产品</w:t>
      </w:r>
    </w:p>
    <w:p w14:paraId="393AD8DD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单幅核心古画完整数据与3D资源</w:t>
      </w:r>
    </w:p>
    <w:p w14:paraId="219E5D18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画作基础信息介绍页</w:t>
      </w:r>
    </w:p>
    <w:p w14:paraId="53662E25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高清交互式图像阅览器</w:t>
      </w:r>
    </w:p>
    <w:p w14:paraId="120525C6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10–20个热点标注与VR空间交互点</w:t>
      </w:r>
    </w:p>
    <w:p w14:paraId="6A86D8B8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基于RAG的AI问答（附带文献引用）</w:t>
      </w:r>
    </w:p>
    <w:p w14:paraId="52350919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至少3类角色代理</w:t>
      </w:r>
    </w:p>
    <w:p w14:paraId="57AAE064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一套标准化导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流程</w:t>
      </w:r>
    </w:p>
    <w:p w14:paraId="516F5423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基础VR虚拟展厅原型（支持浏览器</w:t>
      </w:r>
      <w:proofErr w:type="spellStart"/>
      <w:r>
        <w:rPr>
          <w:rFonts w:ascii="宋体" w:eastAsia="宋体" w:hAnsi="宋体" w:cs="宋体"/>
          <w:b/>
          <w:sz w:val="24"/>
        </w:rPr>
        <w:t>WebXR</w:t>
      </w:r>
      <w:proofErr w:type="spellEnd"/>
      <w:r>
        <w:rPr>
          <w:rFonts w:ascii="宋体" w:eastAsia="宋体" w:hAnsi="宋体" w:cs="宋体"/>
          <w:b/>
          <w:sz w:val="24"/>
        </w:rPr>
        <w:t>漫游）</w:t>
      </w:r>
    </w:p>
    <w:p w14:paraId="36FBAD90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简易用户反馈功能</w:t>
      </w:r>
    </w:p>
    <w:p w14:paraId="703E47E6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可运行演示原型与项目报告</w:t>
      </w:r>
    </w:p>
    <w:p w14:paraId="2059338C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13. 三人团队分工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3475803B" w14:textId="77777777">
        <w:trPr>
          <w:trHeight w:val="800"/>
        </w:trPr>
        <w:tc>
          <w:tcPr>
            <w:tcW w:w="4140" w:type="dxa"/>
          </w:tcPr>
          <w:p w14:paraId="191B586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成员</w:t>
            </w:r>
          </w:p>
        </w:tc>
        <w:tc>
          <w:tcPr>
            <w:tcW w:w="4140" w:type="dxa"/>
          </w:tcPr>
          <w:p w14:paraId="491B396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核心职责</w:t>
            </w:r>
          </w:p>
        </w:tc>
      </w:tr>
      <w:tr w:rsidR="00A21C1E" w14:paraId="081DCDD7" w14:textId="77777777">
        <w:trPr>
          <w:trHeight w:val="800"/>
        </w:trPr>
        <w:tc>
          <w:tcPr>
            <w:tcW w:w="4140" w:type="dxa"/>
          </w:tcPr>
          <w:p w14:paraId="1AC5152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成员 A：AI/RAG 与后端负责人</w:t>
            </w:r>
          </w:p>
        </w:tc>
        <w:tc>
          <w:tcPr>
            <w:tcW w:w="4140" w:type="dxa"/>
          </w:tcPr>
          <w:p w14:paraId="15CA2C9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FastAPI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、RAG流程、向量数据库、大模型接口、角色提示词、引用输出、API文档</w:t>
            </w:r>
          </w:p>
        </w:tc>
      </w:tr>
      <w:tr w:rsidR="00A21C1E" w14:paraId="2BE1F8E5" w14:textId="77777777">
        <w:trPr>
          <w:trHeight w:val="800"/>
        </w:trPr>
        <w:tc>
          <w:tcPr>
            <w:tcW w:w="4140" w:type="dxa"/>
          </w:tcPr>
          <w:p w14:paraId="7A6E65E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成员 B：前端与可视化负责人</w:t>
            </w:r>
          </w:p>
        </w:tc>
        <w:tc>
          <w:tcPr>
            <w:tcW w:w="4140" w:type="dxa"/>
          </w:tcPr>
          <w:p w14:paraId="7849377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React页面、高清阅览器、热点标注、聊天面板、角色选择、导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交互</w:t>
            </w:r>
          </w:p>
        </w:tc>
      </w:tr>
      <w:tr w:rsidR="00A21C1E" w14:paraId="7F299D26" w14:textId="77777777">
        <w:trPr>
          <w:trHeight w:val="800"/>
        </w:trPr>
        <w:tc>
          <w:tcPr>
            <w:tcW w:w="4140" w:type="dxa"/>
          </w:tcPr>
          <w:p w14:paraId="17163E3D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成员 C：VR体验、知识库与UX负责人</w:t>
            </w:r>
          </w:p>
        </w:tc>
        <w:tc>
          <w:tcPr>
            <w:tcW w:w="4140" w:type="dxa"/>
          </w:tcPr>
          <w:p w14:paraId="4B5E63D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Three.js/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WebXR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虚拟展厅开发、素材收集、元数据整理、标注制作、导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文案、用户测试</w:t>
            </w:r>
          </w:p>
        </w:tc>
      </w:tr>
    </w:tbl>
    <w:p w14:paraId="7A7EBDC7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14. 开发计划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2060"/>
        <w:gridCol w:w="2060"/>
        <w:gridCol w:w="2060"/>
      </w:tblGrid>
      <w:tr w:rsidR="00A21C1E" w14:paraId="5BBAF3A3" w14:textId="77777777">
        <w:trPr>
          <w:trHeight w:val="800"/>
        </w:trPr>
        <w:tc>
          <w:tcPr>
            <w:tcW w:w="2060" w:type="dxa"/>
          </w:tcPr>
          <w:p w14:paraId="6B43689C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阶段</w:t>
            </w:r>
          </w:p>
        </w:tc>
        <w:tc>
          <w:tcPr>
            <w:tcW w:w="2060" w:type="dxa"/>
          </w:tcPr>
          <w:p w14:paraId="1411297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时间</w:t>
            </w:r>
          </w:p>
        </w:tc>
        <w:tc>
          <w:tcPr>
            <w:tcW w:w="2060" w:type="dxa"/>
          </w:tcPr>
          <w:p w14:paraId="7170EA16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目标</w:t>
            </w:r>
          </w:p>
        </w:tc>
        <w:tc>
          <w:tcPr>
            <w:tcW w:w="2060" w:type="dxa"/>
          </w:tcPr>
          <w:p w14:paraId="13D133B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交付物</w:t>
            </w:r>
          </w:p>
        </w:tc>
      </w:tr>
      <w:tr w:rsidR="00A21C1E" w14:paraId="7BF5DA7D" w14:textId="77777777">
        <w:trPr>
          <w:trHeight w:val="800"/>
        </w:trPr>
        <w:tc>
          <w:tcPr>
            <w:tcW w:w="2060" w:type="dxa"/>
          </w:tcPr>
          <w:p w14:paraId="2E21987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0</w:t>
            </w:r>
          </w:p>
        </w:tc>
        <w:tc>
          <w:tcPr>
            <w:tcW w:w="2060" w:type="dxa"/>
          </w:tcPr>
          <w:p w14:paraId="59E30EC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0–1 周</w:t>
            </w:r>
          </w:p>
        </w:tc>
        <w:tc>
          <w:tcPr>
            <w:tcW w:w="2060" w:type="dxa"/>
          </w:tcPr>
          <w:p w14:paraId="76BAEAAA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确定范围、选画、搭建仓库</w:t>
            </w:r>
          </w:p>
        </w:tc>
        <w:tc>
          <w:tcPr>
            <w:tcW w:w="2060" w:type="dxa"/>
          </w:tcPr>
          <w:p w14:paraId="7BC97E0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项目计划、技术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文档、仓库</w:t>
            </w:r>
          </w:p>
        </w:tc>
      </w:tr>
      <w:tr w:rsidR="00A21C1E" w14:paraId="2E9E7226" w14:textId="77777777">
        <w:trPr>
          <w:trHeight w:val="800"/>
        </w:trPr>
        <w:tc>
          <w:tcPr>
            <w:tcW w:w="2060" w:type="dxa"/>
          </w:tcPr>
          <w:p w14:paraId="21CBF3E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1</w:t>
            </w:r>
          </w:p>
        </w:tc>
        <w:tc>
          <w:tcPr>
            <w:tcW w:w="2060" w:type="dxa"/>
          </w:tcPr>
          <w:p w14:paraId="2858E6EC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1–2 周</w:t>
            </w:r>
          </w:p>
        </w:tc>
        <w:tc>
          <w:tcPr>
            <w:tcW w:w="2060" w:type="dxa"/>
          </w:tcPr>
          <w:p w14:paraId="759FA4D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素材调研、UX设计、数据规范</w:t>
            </w:r>
          </w:p>
        </w:tc>
        <w:tc>
          <w:tcPr>
            <w:tcW w:w="2060" w:type="dxa"/>
          </w:tcPr>
          <w:p w14:paraId="0883429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素材库、线框图、数据模板</w:t>
            </w:r>
          </w:p>
        </w:tc>
      </w:tr>
      <w:tr w:rsidR="00A21C1E" w14:paraId="4927D2F9" w14:textId="77777777">
        <w:trPr>
          <w:trHeight w:val="800"/>
        </w:trPr>
        <w:tc>
          <w:tcPr>
            <w:tcW w:w="2060" w:type="dxa"/>
          </w:tcPr>
          <w:p w14:paraId="0F8DE6BC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2</w:t>
            </w:r>
          </w:p>
        </w:tc>
        <w:tc>
          <w:tcPr>
            <w:tcW w:w="2060" w:type="dxa"/>
          </w:tcPr>
          <w:p w14:paraId="51D9865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3–4 周</w:t>
            </w:r>
          </w:p>
        </w:tc>
        <w:tc>
          <w:tcPr>
            <w:tcW w:w="2060" w:type="dxa"/>
          </w:tcPr>
          <w:p w14:paraId="2103EC2F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搭建知识库与基础RAG</w:t>
            </w:r>
          </w:p>
        </w:tc>
        <w:tc>
          <w:tcPr>
            <w:tcW w:w="2060" w:type="dxa"/>
          </w:tcPr>
          <w:p w14:paraId="2E88977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后端问答接口、初版知识库</w:t>
            </w:r>
          </w:p>
        </w:tc>
      </w:tr>
      <w:tr w:rsidR="00A21C1E" w14:paraId="37472B82" w14:textId="77777777">
        <w:trPr>
          <w:trHeight w:val="800"/>
        </w:trPr>
        <w:tc>
          <w:tcPr>
            <w:tcW w:w="2060" w:type="dxa"/>
          </w:tcPr>
          <w:p w14:paraId="17D5886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3</w:t>
            </w:r>
          </w:p>
        </w:tc>
        <w:tc>
          <w:tcPr>
            <w:tcW w:w="2060" w:type="dxa"/>
          </w:tcPr>
          <w:p w14:paraId="75DDB69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5–6 周</w:t>
            </w:r>
          </w:p>
        </w:tc>
        <w:tc>
          <w:tcPr>
            <w:tcW w:w="2060" w:type="dxa"/>
          </w:tcPr>
          <w:p w14:paraId="55B3D33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实现高清阅览器与热点标注</w:t>
            </w:r>
          </w:p>
        </w:tc>
        <w:tc>
          <w:tcPr>
            <w:tcW w:w="2060" w:type="dxa"/>
          </w:tcPr>
          <w:p w14:paraId="6EBBD78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交互式画作页面、标注数据</w:t>
            </w:r>
          </w:p>
        </w:tc>
      </w:tr>
      <w:tr w:rsidR="00A21C1E" w14:paraId="37D80D5A" w14:textId="77777777">
        <w:trPr>
          <w:trHeight w:val="800"/>
        </w:trPr>
        <w:tc>
          <w:tcPr>
            <w:tcW w:w="2060" w:type="dxa"/>
          </w:tcPr>
          <w:p w14:paraId="405CE42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4</w:t>
            </w:r>
          </w:p>
        </w:tc>
        <w:tc>
          <w:tcPr>
            <w:tcW w:w="2060" w:type="dxa"/>
          </w:tcPr>
          <w:p w14:paraId="46AA9D4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7–8 周</w:t>
            </w:r>
          </w:p>
        </w:tc>
        <w:tc>
          <w:tcPr>
            <w:tcW w:w="2060" w:type="dxa"/>
          </w:tcPr>
          <w:p w14:paraId="1A600A6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实现多角色与导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模式</w:t>
            </w:r>
          </w:p>
        </w:tc>
        <w:tc>
          <w:tcPr>
            <w:tcW w:w="2060" w:type="dxa"/>
          </w:tcPr>
          <w:p w14:paraId="717BDCF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角色切换、导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流程</w:t>
            </w:r>
          </w:p>
        </w:tc>
      </w:tr>
      <w:tr w:rsidR="00A21C1E" w14:paraId="500EEF57" w14:textId="77777777">
        <w:trPr>
          <w:trHeight w:val="800"/>
        </w:trPr>
        <w:tc>
          <w:tcPr>
            <w:tcW w:w="2060" w:type="dxa"/>
          </w:tcPr>
          <w:p w14:paraId="7684FCA6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5</w:t>
            </w:r>
          </w:p>
        </w:tc>
        <w:tc>
          <w:tcPr>
            <w:tcW w:w="2060" w:type="dxa"/>
          </w:tcPr>
          <w:p w14:paraId="66DD6D0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9–10 周</w:t>
            </w:r>
          </w:p>
        </w:tc>
        <w:tc>
          <w:tcPr>
            <w:tcW w:w="2060" w:type="dxa"/>
          </w:tcPr>
          <w:p w14:paraId="57ACA824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开发VR虚拟展厅与</w:t>
            </w:r>
            <w:proofErr w:type="spellStart"/>
            <w:r>
              <w:rPr>
                <w:rFonts w:ascii="宋体" w:eastAsia="宋体" w:hAnsi="宋体" w:cs="宋体"/>
                <w:b/>
                <w:sz w:val="24"/>
              </w:rPr>
              <w:t>WebXR</w:t>
            </w:r>
            <w:proofErr w:type="spellEnd"/>
            <w:r>
              <w:rPr>
                <w:rFonts w:ascii="宋体" w:eastAsia="宋体" w:hAnsi="宋体" w:cs="宋体"/>
                <w:b/>
                <w:sz w:val="24"/>
              </w:rPr>
              <w:t>沉浸体验</w:t>
            </w:r>
          </w:p>
        </w:tc>
        <w:tc>
          <w:tcPr>
            <w:tcW w:w="2060" w:type="dxa"/>
          </w:tcPr>
          <w:p w14:paraId="15BB5DEC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3D虚拟博物馆原型、VR交互演示</w:t>
            </w:r>
          </w:p>
        </w:tc>
      </w:tr>
      <w:tr w:rsidR="00A21C1E" w14:paraId="2ABB145B" w14:textId="77777777">
        <w:trPr>
          <w:trHeight w:val="800"/>
        </w:trPr>
        <w:tc>
          <w:tcPr>
            <w:tcW w:w="2060" w:type="dxa"/>
          </w:tcPr>
          <w:p w14:paraId="6800B6D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Phase 6</w:t>
            </w:r>
          </w:p>
        </w:tc>
        <w:tc>
          <w:tcPr>
            <w:tcW w:w="2060" w:type="dxa"/>
          </w:tcPr>
          <w:p w14:paraId="7E72647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第 11–12 周</w:t>
            </w:r>
          </w:p>
        </w:tc>
        <w:tc>
          <w:tcPr>
            <w:tcW w:w="2060" w:type="dxa"/>
          </w:tcPr>
          <w:p w14:paraId="058407D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测试、优化、文档整理</w:t>
            </w:r>
          </w:p>
        </w:tc>
        <w:tc>
          <w:tcPr>
            <w:tcW w:w="2060" w:type="dxa"/>
          </w:tcPr>
          <w:p w14:paraId="352D6CFE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最终原型、报告、演示视频</w:t>
            </w:r>
          </w:p>
        </w:tc>
      </w:tr>
    </w:tbl>
    <w:p w14:paraId="6608B6DB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15. 系统评测</w:t>
      </w:r>
    </w:p>
    <w:p w14:paraId="775BDA8E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15.1 AI 问答质量</w:t>
      </w:r>
    </w:p>
    <w:p w14:paraId="19DC621D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评测维度包括：准确度、引用相关性、引用规范性、幻觉率、内容完整性与可读性。</w:t>
      </w:r>
    </w:p>
    <w:p w14:paraId="36ACB4FF" w14:textId="77777777" w:rsidR="00A21C1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15.2 用户体验与VR沉浸感</w:t>
      </w:r>
    </w:p>
    <w:p w14:paraId="1AA878E6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邀请5–10名用户测试系统，完成画作浏览、热点点击、AI提问、VR漫游和</w:t>
      </w:r>
      <w:proofErr w:type="gramStart"/>
      <w:r>
        <w:rPr>
          <w:rFonts w:ascii="宋体" w:eastAsia="宋体" w:hAnsi="宋体" w:cs="宋体"/>
          <w:sz w:val="24"/>
        </w:rPr>
        <w:t>导览</w:t>
      </w:r>
      <w:proofErr w:type="gramEnd"/>
      <w:r>
        <w:rPr>
          <w:rFonts w:ascii="宋体" w:eastAsia="宋体" w:hAnsi="宋体" w:cs="宋体"/>
          <w:sz w:val="24"/>
        </w:rPr>
        <w:t>任务。</w:t>
      </w:r>
    </w:p>
    <w:p w14:paraId="4C32D65D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评测维度包括：易用性、趣味性、AI可信度、学习效果、标注实用性、</w:t>
      </w:r>
      <w:r>
        <w:rPr>
          <w:rFonts w:ascii="宋体" w:eastAsia="宋体" w:hAnsi="宋体" w:cs="宋体"/>
          <w:b/>
          <w:sz w:val="24"/>
        </w:rPr>
        <w:t>VR沉浸感与晕眩度评估</w:t>
      </w:r>
      <w:r>
        <w:rPr>
          <w:rFonts w:ascii="宋体" w:eastAsia="宋体" w:hAnsi="宋体" w:cs="宋体"/>
          <w:sz w:val="24"/>
        </w:rPr>
        <w:t>。</w:t>
      </w:r>
    </w:p>
    <w:p w14:paraId="55567A36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16. 风险与应对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21C1E" w14:paraId="1556CD95" w14:textId="77777777">
        <w:trPr>
          <w:trHeight w:val="800"/>
        </w:trPr>
        <w:tc>
          <w:tcPr>
            <w:tcW w:w="4140" w:type="dxa"/>
          </w:tcPr>
          <w:p w14:paraId="719B4DF2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风险</w:t>
            </w:r>
          </w:p>
        </w:tc>
        <w:tc>
          <w:tcPr>
            <w:tcW w:w="4140" w:type="dxa"/>
          </w:tcPr>
          <w:p w14:paraId="6E0A1F11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应对方案</w:t>
            </w:r>
          </w:p>
        </w:tc>
      </w:tr>
      <w:tr w:rsidR="00A21C1E" w14:paraId="2AF4F585" w14:textId="77777777">
        <w:trPr>
          <w:trHeight w:val="800"/>
        </w:trPr>
        <w:tc>
          <w:tcPr>
            <w:tcW w:w="4140" w:type="dxa"/>
          </w:tcPr>
          <w:p w14:paraId="3E19911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AI 回答虚构</w:t>
            </w:r>
          </w:p>
        </w:tc>
        <w:tc>
          <w:tcPr>
            <w:tcW w:w="4140" w:type="dxa"/>
          </w:tcPr>
          <w:p w14:paraId="75DFEF87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使用RAG、强制引用、资料不足时明确说明</w:t>
            </w:r>
          </w:p>
        </w:tc>
      </w:tr>
      <w:tr w:rsidR="00A21C1E" w14:paraId="7FEBC1CE" w14:textId="77777777">
        <w:trPr>
          <w:trHeight w:val="800"/>
        </w:trPr>
        <w:tc>
          <w:tcPr>
            <w:tcW w:w="4140" w:type="dxa"/>
          </w:tcPr>
          <w:p w14:paraId="127BC35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素材收集耗时</w:t>
            </w:r>
          </w:p>
        </w:tc>
        <w:tc>
          <w:tcPr>
            <w:tcW w:w="4140" w:type="dxa"/>
          </w:tcPr>
          <w:p w14:paraId="31009F4B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聚焦单幅画作，优先整理核心资料</w:t>
            </w:r>
          </w:p>
        </w:tc>
      </w:tr>
      <w:tr w:rsidR="00A21C1E" w14:paraId="33BBEC13" w14:textId="77777777">
        <w:trPr>
          <w:trHeight w:val="800"/>
        </w:trPr>
        <w:tc>
          <w:tcPr>
            <w:tcW w:w="4140" w:type="dxa"/>
          </w:tcPr>
          <w:p w14:paraId="1276F992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标注工作量大</w:t>
            </w:r>
          </w:p>
        </w:tc>
        <w:tc>
          <w:tcPr>
            <w:tcW w:w="4140" w:type="dxa"/>
          </w:tcPr>
          <w:p w14:paraId="795101B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初期仅做10–20个矩形热点与VR交互点</w:t>
            </w:r>
          </w:p>
        </w:tc>
      </w:tr>
      <w:tr w:rsidR="00A21C1E" w14:paraId="440684DF" w14:textId="77777777">
        <w:trPr>
          <w:trHeight w:val="800"/>
        </w:trPr>
        <w:tc>
          <w:tcPr>
            <w:tcW w:w="4140" w:type="dxa"/>
          </w:tcPr>
          <w:p w14:paraId="4B5C7509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VR 性能与兼容性</w:t>
            </w:r>
          </w:p>
        </w:tc>
        <w:tc>
          <w:tcPr>
            <w:tcW w:w="4140" w:type="dxa"/>
          </w:tcPr>
          <w:p w14:paraId="3502B5D5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采用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WebXR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标准，提供降级2D模式；优化Three.js模型面数与纹理压缩</w:t>
            </w:r>
          </w:p>
        </w:tc>
      </w:tr>
      <w:tr w:rsidR="00A21C1E" w14:paraId="47F3F70B" w14:textId="77777777">
        <w:trPr>
          <w:trHeight w:val="800"/>
        </w:trPr>
        <w:tc>
          <w:tcPr>
            <w:tcW w:w="4140" w:type="dxa"/>
          </w:tcPr>
          <w:p w14:paraId="49242658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版权风险</w:t>
            </w:r>
          </w:p>
        </w:tc>
        <w:tc>
          <w:tcPr>
            <w:tcW w:w="4140" w:type="dxa"/>
          </w:tcPr>
          <w:p w14:paraId="0ADFD4D0" w14:textId="77777777" w:rsidR="00A21C1E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使用公有领域、开放资料和原创摘要</w:t>
            </w:r>
          </w:p>
        </w:tc>
      </w:tr>
    </w:tbl>
    <w:p w14:paraId="755945C6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17. 项目最终成果</w:t>
      </w:r>
    </w:p>
    <w:p w14:paraId="7CD6A287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项目最终形成一套可运行的网页端及VR端智能鉴赏系统原型，配套完整的知识库、标注数据、RAG问答接口、角色代理配置、VR导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流程、测试报告和项目文档。</w:t>
      </w:r>
    </w:p>
    <w:p w14:paraId="512620EF" w14:textId="77777777" w:rsidR="00A21C1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交付清单：</w:t>
      </w:r>
    </w:p>
    <w:p w14:paraId="3ECA4F76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网页端与VR端系统原型</w:t>
      </w:r>
    </w:p>
    <w:p w14:paraId="72572526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后端API服务</w:t>
      </w:r>
    </w:p>
    <w:p w14:paraId="1439275B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RAG知识库</w:t>
      </w:r>
    </w:p>
    <w:p w14:paraId="6FA78DF8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画作元数据与热点标注</w:t>
      </w:r>
    </w:p>
    <w:p w14:paraId="09FE60FA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多角色AI问答功能</w:t>
      </w:r>
    </w:p>
    <w:p w14:paraId="7EDB1049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标准化导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功能</w:t>
      </w:r>
    </w:p>
    <w:p w14:paraId="350CCCF0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VR沉浸式虚拟展厅演示</w:t>
      </w:r>
    </w:p>
    <w:p w14:paraId="471ED5F3" w14:textId="77777777" w:rsidR="00A21C1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项目报告与演示视频</w:t>
      </w:r>
    </w:p>
    <w:p w14:paraId="05029F0D" w14:textId="77777777" w:rsidR="00A21C1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18. 项目总结</w:t>
      </w:r>
    </w:p>
    <w:p w14:paraId="509C6C0C" w14:textId="77777777" w:rsidR="00A21C1E" w:rsidRDefault="00000000">
      <w:pPr>
        <w:spacing w:before="160" w:after="0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sz w:val="24"/>
        </w:rPr>
        <w:t>本项目通过AI、RAG、多角色代理、图像可视化与VR沉浸式技术，构建面向中国古画的智能鉴赏系统。其核心价值在于将专业文化知识、可信AI解读与前沿的虚拟现实体验深度融合，让用户在跨越时空的3D虚拟空间中，真正“走进”古画，为文化遗产教育和大众美育提供极具创新性的数字化解决方案。</w:t>
      </w:r>
      <w:bookmarkEnd w:id="0"/>
    </w:p>
    <w:p w14:paraId="1BE9D64A" w14:textId="77777777" w:rsidR="00A21C1E" w:rsidRDefault="00000000">
      <w:pPr>
        <w:rPr>
          <w:rFonts w:hint="eastAsia"/>
        </w:rPr>
      </w:pPr>
      <w:r>
        <w:t>(AI</w:t>
      </w:r>
      <w:r>
        <w:t>生成</w:t>
      </w:r>
      <w:r>
        <w:t>)</w:t>
      </w:r>
    </w:p>
    <w:sectPr w:rsidR="00A21C1E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1104F" w14:textId="77777777" w:rsidR="007825FF" w:rsidRDefault="007825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51F662" w14:textId="77777777" w:rsidR="007825FF" w:rsidRDefault="007825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649F" w14:textId="77777777" w:rsidR="00A21C1E" w:rsidRDefault="00A21C1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EE01E" w14:textId="77777777" w:rsidR="007825FF" w:rsidRDefault="007825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725BAF" w14:textId="77777777" w:rsidR="007825FF" w:rsidRDefault="007825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A7DF" w14:textId="77777777" w:rsidR="00A21C1E" w:rsidRDefault="00A21C1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567E9"/>
    <w:multiLevelType w:val="hybridMultilevel"/>
    <w:tmpl w:val="8432EB6E"/>
    <w:lvl w:ilvl="0" w:tplc="7F5A22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08531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54A0EA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E94BD8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EFAC2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13C9D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CA231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4A88E7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BE2F09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20514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1E"/>
    <w:rsid w:val="00201F42"/>
    <w:rsid w:val="007825FF"/>
    <w:rsid w:val="008E1E66"/>
    <w:rsid w:val="00A2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512ED"/>
  <w15:docId w15:val="{032C82DE-9B45-4C99-B5E1-E04E139A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2152</Words>
  <Characters>2648</Characters>
  <Application>Microsoft Office Word</Application>
  <DocSecurity>0</DocSecurity>
  <Lines>189</Lines>
  <Paragraphs>252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946321376@qq.com</cp:lastModifiedBy>
  <cp:revision>2</cp:revision>
  <dcterms:created xsi:type="dcterms:W3CDTF">2026-07-07T08:15:00Z</dcterms:created>
  <dcterms:modified xsi:type="dcterms:W3CDTF">2026-07-07T08:15:00Z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M3wi97qSIkdQ/WtlWnJqd9SzDbZISe1+Vnl3TY42s7w=","ProduceID":"doc_sgs:d0f42379-7cbb-4743-b7b0-67d987c6da7f","ReservedCode2":"M3wi97qSIkdQ/WtlWnJqd9SzDbZISe1+Vnl3TY42s7w=","PropagateID":"doc_sgs:d0f42379-7cbb-4743-b7b0-67d987c6da7f","ContentProducer":"001191440101MA9Y9T4H7A00000"}</vt:lpwstr>
  </property>
</Properties>
</file>