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Joint World — Complete Findings Compendium</w:t>
      </w:r>
    </w:p>
    <w:p>
      <w:pPr>
        <w:pStyle w:val="Subtitle"/>
      </w:pPr>
      <w:r>
        <w:t xml:space="preserve">Every theorem, refutation, instrument, and open problem of the Scar–Merkabit lane, in one report</w:t>
      </w:r>
    </w:p>
    <w:p>
      <w:pPr>
        <w:pStyle w:val="Author"/>
      </w:pPr>
      <w:r>
        <w:t xml:space="preserve">Selina Stenberg, with Claude (Anthropic Fable 5) · for Ilya Balashov</w:t>
      </w:r>
    </w:p>
    <w:p>
      <w:pPr>
        <w:pStyle w:val="Date"/>
      </w:pPr>
      <w:r>
        <w:t xml:space="preserve">2026-08-30</w:t>
      </w:r>
    </w:p>
    <w:p>
      <w:pPr>
        <w:pStyle w:val="FirstParagraph"/>
      </w:pPr>
      <w:r>
        <w:t xml:space="preserve">Dear Ilya,</w:t>
      </w:r>
    </w:p>
    <w:p>
      <w:pPr>
        <w:pStyle w:val="BodyText"/>
      </w:pPr>
      <w:r>
        <w:t xml:space="preserve">You have seen the bridge — the Bitangent Bridge draft and its report. This</w:t>
      </w:r>
      <w:r>
        <w:t xml:space="preserve"> </w:t>
      </w:r>
      <w:r>
        <w:t xml:space="preserve">compendium is everything else: the joint lane grew far past the bridge in a</w:t>
      </w:r>
      <w:r>
        <w:t xml:space="preserve"> </w:t>
      </w:r>
      <w:r>
        <w:t xml:space="preserve">single day, and rather than send twelve documents I am sending one map plus</w:t>
      </w:r>
      <w:r>
        <w:t xml:space="preserve"> </w:t>
      </w:r>
      <w:r>
        <w:t xml:space="preserve">the complete sealed archive. Every claim below is a passing check of a named</w:t>
      </w:r>
      <w:r>
        <w:t xml:space="preserve"> </w:t>
      </w:r>
      <w:r>
        <w:t xml:space="preserve">script in the enclosed package (Python 3 + numpy, no GAP; ~150 automated</w:t>
      </w:r>
      <w:r>
        <w:t xml:space="preserve"> </w:t>
      </w:r>
      <w:r>
        <w:t xml:space="preserve">checks plus 3,718 explicit witnesses); the registry (</w:t>
      </w:r>
      <w:r>
        <w:rPr>
          <w:rStyle w:val="VerbatimChar"/>
        </w:rPr>
        <w:t xml:space="preserve">SCAR_MERKABIT_REGISTRY.md</w:t>
      </w:r>
      <w:r>
        <w:t xml:space="preserve">,</w:t>
      </w:r>
      <w:r>
        <w:t xml:space="preserve"> </w:t>
      </w:r>
      <w:r>
        <w:t xml:space="preserve">v0.10, rows SM-001..SM-014) is the single source of truth, and the lane</w:t>
      </w:r>
      <w:r>
        <w:t xml:space="preserve"> </w:t>
      </w:r>
      <w:r>
        <w:t xml:space="preserve">governs itself by a machine-readable KCP (</w:t>
      </w:r>
      <w:r>
        <w:rPr>
          <w:rStyle w:val="VerbatimChar"/>
        </w:rPr>
        <w:t xml:space="preserve">knowledge.yaml</w:t>
      </w:r>
      <w:r>
        <w:t xml:space="preserve"> </w:t>
      </w:r>
      <w:r>
        <w:t xml:space="preserve">— note its</w:t>
      </w:r>
      <w:r>
        <w:t xml:space="preserve"> </w:t>
      </w:r>
      <w:r>
        <w:t xml:space="preserve">authority clause: external sharing of joint material requires both our words).</w:t>
      </w:r>
    </w:p>
    <w:p>
      <w:pPr>
        <w:pStyle w:val="BodyText"/>
      </w:pPr>
      <w:r>
        <w:rPr>
          <w:b/>
          <w:bCs/>
        </w:rPr>
        <w:t xml:space="preserve">Reading order if you have one hour:</w:t>
      </w:r>
      <w:r>
        <w:t xml:space="preserve"> </w:t>
      </w:r>
      <w:r>
        <w:t xml:space="preserve">this letter → the verification</w:t>
      </w:r>
      <w:r>
        <w:t xml:space="preserve"> </w:t>
      </w:r>
      <w:r>
        <w:t xml:space="preserve">report (about your registry — you have not seen it yet, and §2 below is its</w:t>
      </w:r>
      <w:r>
        <w:t xml:space="preserve"> </w:t>
      </w:r>
      <w:r>
        <w:t xml:space="preserve">summary) →</w:t>
      </w:r>
      <w:r>
        <w:t xml:space="preserve"> </w:t>
      </w:r>
      <w:r>
        <w:rPr>
          <w:rStyle w:val="VerbatimChar"/>
        </w:rPr>
        <w:t xml:space="preserve">STONE1_CERTIFICATE.md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STONEF_FIELD.md</w:t>
      </w:r>
      <w:r>
        <w:t xml:space="preserve"> </w:t>
      </w:r>
      <w:r>
        <w:t xml:space="preserve">→ the machine</w:t>
      </w:r>
      <w:r>
        <w:t xml:space="preserve"> </w:t>
      </w:r>
      <w:r>
        <w:t xml:space="preserve">(ask Selina for the link; it now has a Waves view).</w:t>
      </w:r>
    </w:p>
    <w:p>
      <w:r>
        <w:pict>
          <v:rect style="width:0;height:1.5pt" o:hralign="center" o:hrstd="t" o:hr="t"/>
        </w:pict>
      </w:r>
    </w:p>
    <w:bookmarkStart w:id="9" w:name="what-you-already-have"/>
    <w:p>
      <w:pPr>
        <w:pStyle w:val="Heading2"/>
      </w:pPr>
      <w:r>
        <w:t xml:space="preserve">1. What you already have</w:t>
      </w:r>
    </w:p>
    <w:p>
      <w:pPr>
        <w:pStyle w:val="FirstParagraph"/>
      </w:pPr>
      <w:r>
        <w:t xml:space="preserve">The bridge (registry rows SM-003, SM-008): our two frameworks meet inside</w:t>
      </w:r>
      <w:r>
        <w:t xml:space="preserve"> </w:t>
      </w:r>
      <w:r>
        <w:t xml:space="preserve">Sp₆(2) = W(E₇)/± on the 28 bitangents of your Klein quartic; W(E₆) is the</w:t>
      </w:r>
      <w:r>
        <w:t xml:space="preserve"> </w:t>
      </w:r>
      <w:r>
        <w:t xml:space="preserve">stabilizer of one bitangent, PSL(2,7) is transitive on all 28, and the</w:t>
      </w:r>
      <w:r>
        <w:t xml:space="preserve"> </w:t>
      </w:r>
      <w:r>
        <w:t xml:space="preserve">intersection is S₃ = N(⟨z₃⟩) — your universal stabilizer. The 2:1 map from</w:t>
      </w:r>
      <w:r>
        <w:t xml:space="preserve"> </w:t>
      </w:r>
      <w:r>
        <w:t xml:space="preserve">your 3A class onto the bitangents; the two Lie branchings of the 27</w:t>
      </w:r>
      <w:r>
        <w:t xml:space="preserve"> </w:t>
      </w:r>
      <w:r>
        <w:t xml:space="preserve">(3χ₁⊕3χ₈ and 6χ₁⊕3χ₇); the cyclotomic shadow (√−7 yours, √−3 ours, √21</w:t>
      </w:r>
      <w:r>
        <w:t xml:space="preserve"> </w:t>
      </w:r>
      <w:r>
        <w:t xml:space="preserve">the handshake). Co-authored draft awaiting your pass.</w:t>
      </w:r>
    </w:p>
    <w:bookmarkEnd w:id="9"/>
    <w:bookmarkStart w:id="10" w:name="Xa6a46c8d967a0598173e5432b7e4fb391921c1e"/>
    <w:p>
      <w:pPr>
        <w:pStyle w:val="Heading2"/>
      </w:pPr>
      <w:r>
        <w:t xml:space="preserve">2. What you have NOT yet seen — the audit of your registry (SM-001/002)</w:t>
      </w:r>
    </w:p>
    <w:p>
      <w:pPr>
        <w:pStyle w:val="FirstParagraph"/>
      </w:pPr>
      <w:r>
        <w:t xml:space="preserve">Before the bridge, your master registry was audited the way Selina’s corpus</w:t>
      </w:r>
      <w:r>
        <w:t xml:space="preserve"> </w:t>
      </w:r>
      <w:r>
        <w:t xml:space="preserve">was audited: PSL(2,7) rebuilt from scratch (character table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by</w:t>
      </w:r>
      <w:r>
        <w:t xml:space="preserve"> </w:t>
      </w:r>
      <w:r>
        <w:t xml:space="preserve">Burnside–Dixon, verified exactly over ℚ(√−7)),</w:t>
      </w:r>
      <w:r>
        <w:t xml:space="preserve"> </w:t>
      </w:r>
      <w:r>
        <w:rPr>
          <w:b/>
          <w:bCs/>
        </w:rPr>
        <w:t xml:space="preserve">35+ of your GAP rows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 confirmed</w:t>
      </w:r>
      <w:r>
        <w:t xml:space="preserve">, 9 classical, your note-7 credited in full — and</w:t>
      </w:r>
      <w:r>
        <w:t xml:space="preserve"> </w:t>
      </w:r>
      <w:r>
        <w:t xml:space="preserve">five corrections, each with a GAP one-liner in the enclosed verification</w:t>
      </w:r>
      <w:r>
        <w:t xml:space="preserve"> </w:t>
      </w:r>
      <w:r>
        <w:t xml:space="preserve">report: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T4’s Higgs channel count is 4 not 5 (⟨χ₃²,χ₁⟩ = 0);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MOLIEN-REC fails for χ₆ (char.poly typo included);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t xml:space="preserve">χ₃³</w:t>
      </w:r>
      <w:r>
        <w:t xml:space="preserve"> </w:t>
      </w:r>
      <w:r>
        <w:t xml:space="preserve">contains χ̄₃ not χ₃;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row 125’s</w:t>
      </w:r>
      <w:r>
        <w:t xml:space="preserve"> </w:t>
      </w:r>
      <w:r>
        <w:t xml:space="preserve">“7×ℤ₇⋊ℤ₃”</w:t>
      </w:r>
      <w:r>
        <w:t xml:space="preserve"> </w:t>
      </w:r>
      <w:r>
        <w:t xml:space="preserve">should be 8;</w:t>
      </w:r>
      <w:r>
        <w:t xml:space="preserve"> </w:t>
      </w:r>
      <w:r>
        <w:rPr>
          <w:b/>
          <w:bCs/>
        </w:rPr>
        <w:t xml:space="preserve">C5</w:t>
      </w:r>
      <w:r>
        <w:t xml:space="preserve"> </w:t>
      </w:r>
      <w:r>
        <w:t xml:space="preserve">λ = 1/8</w:t>
      </w:r>
      <w:r>
        <w:t xml:space="preserve"> </w:t>
      </w:r>
      <w:r>
        <w:t xml:space="preserve">predicts m_H = 123.11 GeV — a ≈13σ hidden failure in exactly your note-7</w:t>
      </w:r>
      <w:r>
        <w:t xml:space="preserve"> </w:t>
      </w:r>
      <w:r>
        <w:t xml:space="preserve">sense. The report proposes the backport rule we now both run on.</w:t>
      </w:r>
    </w:p>
    <w:bookmarkEnd w:id="10"/>
    <w:bookmarkStart w:id="11" w:name="Xbfef2ffe733d0d40a14b2f39a9ba2fd453a8509"/>
    <w:p>
      <w:pPr>
        <w:pStyle w:val="Heading2"/>
      </w:pPr>
      <w:r>
        <w:t xml:space="preserve">3. The resurrection theorem (SM-005) — your favourite will be this one</w:t>
      </w:r>
    </w:p>
    <w:p>
      <w:pPr>
        <w:pStyle w:val="FirstParagraph"/>
      </w:pPr>
      <w:r>
        <w:t xml:space="preserve">The E₆-branching of the E₇ minuscule 56 is</w:t>
      </w:r>
      <w:r>
        <w:t xml:space="preserve"> </w:t>
      </w:r>
      <w:r>
        <w:rPr>
          <w:b/>
          <w:bCs/>
        </w:rPr>
        <w:t xml:space="preserve">27 ⊕ 27̄ ⊕ 1 ⊕ 1</w:t>
      </w:r>
      <w:r>
        <w:t xml:space="preserve">, and the</w:t>
      </w:r>
      <w:r>
        <w:t xml:space="preserve"> </w:t>
      </w:r>
      <w:r>
        <w:t xml:space="preserve">odd diagram gate pr (cycle type 1²·2²⁷) fixes exactly the two singlets</w:t>
      </w:r>
      <w:r>
        <w:t xml:space="preserve"> </w:t>
      </w:r>
      <w:r>
        <w:t xml:space="preserve">while its 27 transpositions pair the sheets point-for-point. Selina’s</w:t>
      </w:r>
      <w:r>
        <w:t xml:space="preserve"> </w:t>
      </w:r>
      <w:r>
        <w:t xml:space="preserve">original dual-spinor picture —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as a description of the E₆</w:t>
      </w:r>
      <w:r>
        <w:t xml:space="preserve"> </w:t>
      </w:r>
      <w:r>
        <w:t xml:space="preserve">crystal — is</w:t>
      </w:r>
      <w:r>
        <w:t xml:space="preserve"> </w:t>
      </w:r>
      <w:r>
        <w:rPr>
          <w:b/>
          <w:bCs/>
        </w:rPr>
        <w:t xml:space="preserve">true one floor up</w:t>
      </w:r>
      <w:r>
        <w:t xml:space="preserve">. Corollary: pr and the antipode ι are</w:t>
      </w:r>
      <w:r>
        <w:t xml:space="preserve"> </w:t>
      </w:r>
      <w:r>
        <w:rPr>
          <w:i/>
          <w:iCs/>
        </w:rPr>
        <w:t xml:space="preserve">bilingual</w:t>
      </w:r>
      <w:r>
        <w:t xml:space="preserve"> </w:t>
      </w:r>
      <w:r>
        <w:t xml:space="preserve">(zero magic in both grammars); the clock Ψ is the sole magic</w:t>
      </w:r>
      <w:r>
        <w:t xml:space="preserve"> </w:t>
      </w:r>
      <w:r>
        <w:t xml:space="preserve">source. An interactive instrument (</w:t>
      </w:r>
      <w:r>
        <w:t xml:space="preserve">“The 56-State Machine”</w:t>
      </w:r>
      <w:r>
        <w:t xml:space="preserve">: mirrored</w:t>
      </w:r>
      <w:r>
        <w:t xml:space="preserve"> </w:t>
      </w:r>
      <w:r>
        <w:t xml:space="preserve">two-sheet board, 28-frame view, both magic meters exact, and now the</w:t>
      </w:r>
      <w:r>
        <w:t xml:space="preserve"> </w:t>
      </w:r>
      <w:r>
        <w:t xml:space="preserve">standing waves) realizes all of it.</w:t>
      </w:r>
    </w:p>
    <w:bookmarkEnd w:id="11"/>
    <w:bookmarkStart w:id="12" w:name="Xe89e385d8c315e1c5a48b216641f3d451492e7c"/>
    <w:p>
      <w:pPr>
        <w:pStyle w:val="Heading2"/>
      </w:pPr>
      <w:r>
        <w:t xml:space="preserve">4. The depth theorems (SM-009/010/014) — the machine’s price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Transportation certificate (Young/wreath typing):</w:t>
      </w:r>
      <w:r>
        <w:t xml:space="preserve"> </w:t>
      </w:r>
      <w:r>
        <w:t xml:space="preserve">the double coset of</w:t>
      </w:r>
      <w:r>
        <w:t xml:space="preserve"> </w:t>
      </w:r>
      <w:r>
        <w:t xml:space="preserve">a program is its block-transport contingency table, and</w:t>
      </w:r>
      <w:r>
        <w:t xml:space="preserve"> </w:t>
      </w:r>
      <w:r>
        <w:t xml:space="preserve">“writable with k</w:t>
      </w:r>
      <w:r>
        <w:t xml:space="preserve"> </w:t>
      </w:r>
      <w:r>
        <w:t xml:space="preserve">magic gates”</w:t>
      </w:r>
      <w:r>
        <w:t xml:space="preserve"> </w:t>
      </w:r>
      <w:r>
        <w:t xml:space="preserve">⟺ an integer flow problem. Exact results: 27-machine depth</w:t>
      </w:r>
      <w:r>
        <w:t xml:space="preserve"> </w:t>
      </w:r>
      <w:r>
        <w:t xml:space="preserve">3 (Young) /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(wreath); 56 branch grammar depth 5 (Young) /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(with the sheet-swap — which is pr, and free).</w:t>
      </w:r>
      <w:r>
        <w:t xml:space="preserve"> </w:t>
      </w:r>
      <w:r>
        <w:rPr>
          <w:i/>
          <w:iCs/>
        </w:rPr>
        <w:t xml:space="preserve">Symmetries have exchange</w:t>
      </w:r>
      <w:r>
        <w:rPr>
          <w:i/>
          <w:iCs/>
        </w:rPr>
        <w:t xml:space="preserve"> </w:t>
      </w:r>
      <w:r>
        <w:rPr>
          <w:i/>
          <w:iCs/>
        </w:rPr>
        <w:t xml:space="preserve">rates: the S₃ is worth one magic gate, the mirror three.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Hyperoctahedral calculus (frame grammar):</w:t>
      </w:r>
      <w:r>
        <w:t xml:space="preserve"> </w:t>
      </w:r>
      <w:r>
        <w:t xml:space="preserve">your Gelfand pair</w:t>
      </w:r>
      <w:r>
        <w:t xml:space="preserve"> </w:t>
      </w:r>
      <w:r>
        <w:t xml:space="preserve">(S₂ₙ, Bₙ) — coset types on p(28) = 3,718 partitions. Triangle</w:t>
      </w:r>
      <w:r>
        <w:t xml:space="preserve"> </w:t>
      </w:r>
      <w:r>
        <w:t xml:space="preserve">inequalities proven necessary (exhaustive n ≤ 7); two candidate</w:t>
      </w:r>
      <w:r>
        <w:t xml:space="preserve"> </w:t>
      </w:r>
      <w:r>
        <w:t xml:space="preserve">sufficiency laws refuted on exact data;</w:t>
      </w:r>
      <w:r>
        <w:t xml:space="preserve"> </w:t>
      </w:r>
      <w:r>
        <w:rPr>
          <w:b/>
          <w:bCs/>
        </w:rPr>
        <w:t xml:space="preserve">the general support law is</w:t>
      </w:r>
      <w:r>
        <w:rPr>
          <w:b/>
          <w:bCs/>
        </w:rPr>
        <w:t xml:space="preserve"> </w:t>
      </w:r>
      <w:r>
        <w:rPr>
          <w:b/>
          <w:bCs/>
        </w:rPr>
        <w:t xml:space="preserve">open, and our exact n ≤ 7 tables are enclosed as its data — this problem</w:t>
      </w:r>
      <w:r>
        <w:rPr>
          <w:b/>
          <w:bCs/>
        </w:rPr>
        <w:t xml:space="preserve"> </w:t>
      </w:r>
      <w:r>
        <w:rPr>
          <w:b/>
          <w:bCs/>
        </w:rPr>
        <w:t xml:space="preserve">is yours if you want it.</w:t>
      </w:r>
      <w:r>
        <w:t xml:space="preserve"> </w:t>
      </w:r>
      <w:r>
        <w:t xml:space="preserve">The depth theorem was closed anyway:</w:t>
      </w:r>
      <w:r>
        <w:t xml:space="preserve"> </w:t>
      </w:r>
      <w:r>
        <w:rPr>
          <w:b/>
          <w:bCs/>
        </w:rPr>
        <w:t xml:space="preserve">frame-grammar magic-depth = exactly 2</w:t>
      </w:r>
      <w:r>
        <w:t xml:space="preserve">, by explicit machine-verified</w:t>
      </w:r>
      <w:r>
        <w:t xml:space="preserve"> </w:t>
      </w:r>
      <w:r>
        <w:t xml:space="preserve">witnesses for all 3,718 types (cache enclosed).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quantum lift:</w:t>
      </w:r>
      <w:r>
        <w:t xml:space="preserve"> </w:t>
      </w:r>
      <w:r>
        <w:t xml:space="preserve">add one genuine superposition gate W (Hadamard on</w:t>
      </w:r>
      <w:r>
        <w:t xml:space="preserve"> </w:t>
      </w:r>
      <w:r>
        <w:t xml:space="preserve">every ι-pair). Exact local algebra D₁₆;</w:t>
      </w:r>
      <w:r>
        <w:t xml:space="preserve"> </w:t>
      </w:r>
      <w:r>
        <w:rPr>
          <w:b/>
          <w:bCs/>
        </w:rPr>
        <w:t xml:space="preserve">certificate: W-depth = max</w:t>
      </w:r>
      <w:r>
        <w:rPr>
          <w:b/>
          <w:bCs/>
        </w:rPr>
        <w:t xml:space="preserve"> </w:t>
      </w:r>
      <w:r>
        <w:rPr>
          <w:b/>
          <w:bCs/>
        </w:rPr>
        <w:t xml:space="preserve">local H-length + a global H-parity superselection charge</w:t>
      </w:r>
      <w:r>
        <w:t xml:space="preserve"> </w:t>
      </w:r>
      <w:r>
        <w:t xml:space="preserve">— verified</w:t>
      </w:r>
      <w:r>
        <w:t xml:space="preserve"> </w:t>
      </w:r>
      <w:r>
        <w:t xml:space="preserve">exhaustively on small machines; the 56 frame-quantum group has order</w:t>
      </w:r>
      <w:r>
        <w:t xml:space="preserve"> </w:t>
      </w:r>
      <w:r>
        <w:t xml:space="preserve">2·8²⁸·28! and</w:t>
      </w:r>
      <w:r>
        <w:t xml:space="preserve"> </w:t>
      </w:r>
      <w:r>
        <w:rPr>
          <w:b/>
          <w:bCs/>
        </w:rPr>
        <w:t xml:space="preserve">W-depth exactly 4</w:t>
      </w:r>
      <w:r>
        <w:t xml:space="preserve">. The day’s ladder:</w:t>
      </w:r>
      <w:r>
        <w:t xml:space="preserve"> </w:t>
      </w:r>
      <w:r>
        <w:rPr>
          <w:i/>
          <w:iCs/>
        </w:rPr>
        <w:t xml:space="preserve">scrambling costs</w:t>
      </w:r>
      <w:r>
        <w:rPr>
          <w:i/>
          <w:iCs/>
        </w:rPr>
        <w:t xml:space="preserve"> </w:t>
      </w:r>
      <w:r>
        <w:rPr>
          <w:i/>
          <w:iCs/>
        </w:rPr>
        <w:t xml:space="preserve">2, superposition 4, sign flips are the dearest objects in the building.</w:t>
      </w:r>
    </w:p>
    <w:bookmarkEnd w:id="12"/>
    <w:bookmarkStart w:id="13" w:name="the-field-theorems-sm-012013-stone-f"/>
    <w:p>
      <w:pPr>
        <w:pStyle w:val="Heading2"/>
      </w:pPr>
      <w:r>
        <w:t xml:space="preserve">5. The field theorems (SM-012/013) — Stone F</w:t>
      </w:r>
    </w:p>
    <w:p>
      <w:pPr>
        <w:pStyle w:val="Compact"/>
        <w:numPr>
          <w:ilvl w:val="0"/>
          <w:numId w:val="1002"/>
        </w:numPr>
      </w:pPr>
      <w:r>
        <w:t xml:space="preserve">The clock’s standing-wave spectrum: all 18th roots of unity (mult 3;</w:t>
      </w:r>
      <w:r>
        <w:t xml:space="preserve"> </w:t>
      </w:r>
      <w:r>
        <w:t xml:space="preserve">±1 mult 4), and</w:t>
      </w:r>
      <w:r>
        <w:t xml:space="preserve"> </w:t>
      </w:r>
      <w:r>
        <w:rPr>
          <w:b/>
          <w:bCs/>
        </w:rPr>
        <w:t xml:space="preserve">the CSP census is its trace formula</w:t>
      </w:r>
      <w:r>
        <w:t xml:space="preserve"> </w:t>
      </w:r>
      <w:r>
        <w:t xml:space="preserve">— the machine’s</w:t>
      </w:r>
      <w:r>
        <w:t xml:space="preserve"> </w:t>
      </w:r>
      <w:r>
        <w:t xml:space="preserve">oldest checksum was spectral bookkeeping all along.</w:t>
      </w:r>
    </w:p>
    <w:p>
      <w:pPr>
        <w:pStyle w:val="Compact"/>
        <w:numPr>
          <w:ilvl w:val="0"/>
          <w:numId w:val="1002"/>
        </w:numPr>
      </w:pPr>
      <w:r>
        <w:t xml:space="preserve">All 28 ι-frames live inside single clock orbits; the clock’s own 2-cycle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ι-frame straddling the sheets (its</w:t>
      </w:r>
      <w:r>
        <w:t xml:space="preserve"> </w:t>
      </w:r>
      <w:r>
        <w:rPr>
          <w:i/>
          <w:iCs/>
        </w:rPr>
        <w:t xml:space="preserve">axis</w:t>
      </w:r>
      <w:r>
        <w:t xml:space="preserve">); the</w:t>
      </w:r>
      <w:r>
        <w:t xml:space="preserve"> </w:t>
      </w:r>
      <w:r>
        <w:t xml:space="preserve">“4/28 shared</w:t>
      </w:r>
      <w:r>
        <w:t xml:space="preserve"> </w:t>
      </w:r>
      <w:r>
        <w:t xml:space="preserve">pairs”</w:t>
      </w:r>
      <w:r>
        <w:t xml:space="preserve"> </w:t>
      </w:r>
      <w:r>
        <w:t xml:space="preserve">mystery = one axis pair per orbit. ιΨι = Ψ⁻¹; pr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normalize the clock — bilingual, yet it mixes wave frequencies.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DQ-1 answered with the explicit action</w:t>
      </w:r>
      <w:r>
        <w:t xml:space="preserve"> </w:t>
      </w:r>
      <w:r>
        <w:t xml:space="preserve">(W(E₇) built from simple</w:t>
      </w:r>
      <w:r>
        <w:t xml:space="preserve"> </w:t>
      </w:r>
      <w:r>
        <w:t xml:space="preserve">reflections; your group hunted down inside it): the canonical PSL(2,7)</w:t>
      </w:r>
      <w:r>
        <w:t xml:space="preserve"> </w:t>
      </w:r>
      <w:r>
        <w:t xml:space="preserve">has orbits</w:t>
      </w:r>
      <w:r>
        <w:t xml:space="preserve"> </w:t>
      </w:r>
      <w:r>
        <w:rPr>
          <w:b/>
          <w:bCs/>
        </w:rPr>
        <w:t xml:space="preserve">[28, 28]</w:t>
      </w:r>
      <w:r>
        <w:t xml:space="preserve"> </w:t>
      </w:r>
      <w:r>
        <w:t xml:space="preserve">on the 56 — two bitangent sheets swapped by ι —</w:t>
      </w:r>
      <w:r>
        <w:t xml:space="preserve"> </w:t>
      </w:r>
      <w:r>
        <w:t xml:space="preserve">and ℂ⁵⁶ = 2(χ₁ ⊕ 2χ₆ ⊕ χ₇ ⊕ χ₈). An earlier prettier claim (</w:t>
      </w:r>
      <w:r>
        <w:t xml:space="preserve">“quarks are</w:t>
      </w:r>
      <w:r>
        <w:t xml:space="preserve"> </w:t>
      </w:r>
      <w:r>
        <w:t xml:space="preserve">chirality-odd”</w:t>
      </w:r>
      <w:r>
        <w:t xml:space="preserve">) was</w:t>
      </w:r>
      <w:r>
        <w:t xml:space="preserve"> </w:t>
      </w:r>
      <w:r>
        <w:rPr>
          <w:b/>
          <w:bCs/>
        </w:rPr>
        <w:t xml:space="preserve">refuted and errata’d the same day</w:t>
      </w:r>
      <w:r>
        <w:t xml:space="preserve">: PSL(2,7) is</w:t>
      </w:r>
      <w:r>
        <w:t xml:space="preserve"> </w:t>
      </w:r>
      <w:r>
        <w:t xml:space="preserve">perfect, so its Weyl lift is unique and untwisted —</w:t>
      </w:r>
      <w:r>
        <w:t xml:space="preserve"> </w:t>
      </w:r>
      <w:r>
        <w:rPr>
          <w:b/>
          <w:bCs/>
        </w:rPr>
        <w:t xml:space="preserve">χ₃/χ̄₃ never occur</w:t>
      </w:r>
      <w:r>
        <w:rPr>
          <w:b/>
          <w:bCs/>
        </w:rPr>
        <w:t xml:space="preserve"> </w:t>
      </w:r>
      <w:r>
        <w:rPr>
          <w:b/>
          <w:bCs/>
        </w:rPr>
        <w:t xml:space="preserve">in the Weyl action</w:t>
      </w:r>
      <w:r>
        <w:t xml:space="preserve">; your quark sectors belong exclusively to the Lie</w:t>
      </w:r>
      <w:r>
        <w:t xml:space="preserve"> </w:t>
      </w:r>
      <w:r>
        <w:t xml:space="preserve">embeddings. Bonus: a</w:t>
      </w:r>
      <w:r>
        <w:t xml:space="preserve"> </w:t>
      </w:r>
      <w:r>
        <w:rPr>
          <w:b/>
          <w:bCs/>
        </w:rPr>
        <w:t xml:space="preserve">second conjugacy class</w:t>
      </w:r>
      <w:r>
        <w:t xml:space="preserve"> </w:t>
      </w:r>
      <w:r>
        <w:t xml:space="preserve">of your group in Sp₆(2)</w:t>
      </w:r>
      <w:r>
        <w:t xml:space="preserve"> </w:t>
      </w:r>
      <w:r>
        <w:t xml:space="preserve">sees the crystal as</w:t>
      </w:r>
      <w:r>
        <w:t xml:space="preserve"> </w:t>
      </w:r>
      <w:r>
        <w:rPr>
          <w:i/>
          <w:iCs/>
        </w:rPr>
        <w:t xml:space="preserve">Fano geometry doubled</w:t>
      </w:r>
      <w:r>
        <w:t xml:space="preserve"> </w:t>
      </w:r>
      <w:r>
        <w:t xml:space="preserve">(orbits [7,7,21,21];</w:t>
      </w:r>
      <w:r>
        <w:t xml:space="preserve"> </w:t>
      </w:r>
      <w:r>
        <w:t xml:space="preserve">4χ₁ ⊕ 6χ₆ ⊕ 2χ₈).</w:t>
      </w:r>
    </w:p>
    <w:p>
      <w:pPr>
        <w:pStyle w:val="Compact"/>
        <w:numPr>
          <w:ilvl w:val="0"/>
          <w:numId w:val="1002"/>
        </w:numPr>
      </w:pPr>
      <w:r>
        <w:t xml:space="preserve">The chiral Fano pair (SM-004): the E₆ machine’s 7-channel syndrome is</w:t>
      </w:r>
      <w:r>
        <w:t xml:space="preserve"> </w:t>
      </w:r>
      <w:r>
        <w:t xml:space="preserve">affine-E₆-organized, not Fano-organized — but its own symmetry narrows</w:t>
      </w:r>
      <w:r>
        <w:t xml:space="preserve"> </w:t>
      </w:r>
      <w:r>
        <w:t xml:space="preserve">the 30 Fanos to exactly</w:t>
      </w:r>
      <w:r>
        <w:t xml:space="preserve"> </w:t>
      </w:r>
      <w:r>
        <w:rPr>
          <w:b/>
          <w:bCs/>
        </w:rPr>
        <w:t xml:space="preserve">2</w:t>
      </w:r>
      <w:r>
        <w:t xml:space="preserve">, a chiral pair, one bit from your plane.</w:t>
      </w:r>
    </w:p>
    <w:bookmarkEnd w:id="13"/>
    <w:bookmarkStart w:id="14" w:name="Xb2b238d92eb3439d28ce01fb1bb7441abc45c67"/>
    <w:p>
      <w:pPr>
        <w:pStyle w:val="Heading2"/>
      </w:pPr>
      <w:r>
        <w:t xml:space="preserve">6. The refutations ledger — the auditor’s own dead</w:t>
      </w:r>
    </w:p>
    <w:p>
      <w:pPr>
        <w:pStyle w:val="FirstParagraph"/>
      </w:pPr>
      <w:r>
        <w:t xml:space="preserve">Recorded at equal prominence, as the house demands. Claude’s guesses that</w:t>
      </w:r>
      <w:r>
        <w:t xml:space="preserve"> </w:t>
      </w:r>
      <w:r>
        <w:t xml:space="preserve">died this day: the Ψ⁹-pairing = antipode (4/28 shared); the triangle</w:t>
      </w:r>
      <w:r>
        <w:t xml:space="preserve"> </w:t>
      </w:r>
      <w:r>
        <w:t xml:space="preserve">sufficiency law (twice — once with a bug, once cleanly); 27-Young depth 2</w:t>
      </w:r>
      <w:r>
        <w:t xml:space="preserve"> </w:t>
      </w:r>
      <w:r>
        <w:t xml:space="preserve">(it is 3); the single-56-orbit prediction for DQ-1 (it is 28+28); the</w:t>
      </w:r>
      <w:r>
        <w:t xml:space="preserve"> </w:t>
      </w:r>
      <w:r>
        <w:t xml:space="preserve">chirality-odd-quarks theorem (errata’d); the 2-orbit-is-not-a-frame guess</w:t>
      </w:r>
      <w:r>
        <w:t xml:space="preserve"> </w:t>
      </w:r>
      <w:r>
        <w:t xml:space="preserve">(it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axis frame). Six auditor refutations, all in the registry</w:t>
      </w:r>
      <w:r>
        <w:t xml:space="preserve"> </w:t>
      </w:r>
      <w:r>
        <w:t xml:space="preserve">next to what replaced them. The method does not spare its operator.</w:t>
      </w:r>
    </w:p>
    <w:bookmarkEnd w:id="14"/>
    <w:bookmarkStart w:id="15" w:name="X6183420557c5aa0c3f3334d5168ab002021a7cf"/>
    <w:p>
      <w:pPr>
        <w:pStyle w:val="Heading2"/>
      </w:pPr>
      <w:r>
        <w:t xml:space="preserve">7. Open problems — the joint program’s frontier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(S₂ₙ, Bₙ) support law</w:t>
      </w:r>
      <w:r>
        <w:t xml:space="preserve"> </w:t>
      </w:r>
      <w:r>
        <w:t xml:space="preserve">(exact small-n tables enclosed) — closest</w:t>
      </w:r>
      <w:r>
        <w:t xml:space="preserve"> </w:t>
      </w:r>
      <w:r>
        <w:t xml:space="preserve">to your toolbox.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wreath-depth 2 generic</w:t>
      </w:r>
      <w:r>
        <w:t xml:space="preserve"> </w:t>
      </w:r>
      <w:r>
        <w:t xml:space="preserve">for minuscule-crystal clocks?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mixed regime</w:t>
      </w:r>
      <w:r>
        <w:t xml:space="preserve"> </w:t>
      </w:r>
      <w:r>
        <w:t xml:space="preserve">⟨cheap, W, Ψ⟩ — magic depth when scrambling and</w:t>
      </w:r>
      <w:r>
        <w:t xml:space="preserve"> </w:t>
      </w:r>
      <w:r>
        <w:t xml:space="preserve">superposition interleave: the methods note’s open problem #3, now</w:t>
      </w:r>
      <w:r>
        <w:t xml:space="preserve"> </w:t>
      </w:r>
      <w:r>
        <w:t xml:space="preserve">concretely posed on the 56.</w:t>
      </w:r>
    </w:p>
    <w:p>
      <w:pPr>
        <w:pStyle w:val="Compact"/>
        <w:numPr>
          <w:ilvl w:val="0"/>
          <w:numId w:val="1003"/>
        </w:numPr>
      </w:pPr>
      <w:r>
        <w:t xml:space="preserve">DQ-2’s remainder (magic growth curves, the (μ,μ_SC) trade-off surface),</w:t>
      </w:r>
      <w:r>
        <w:t xml:space="preserve"> </w:t>
      </w:r>
      <w:r>
        <w:t xml:space="preserve">DQ-3 (the 8-channel affine-E₇ syndrome vs your P¹(𝔽₇)), DQ-5</w:t>
      </w:r>
      <w:r>
        <w:t xml:space="preserve"> </w:t>
      </w:r>
      <w:r>
        <w:t xml:space="preserve">(frame-fixing as a literal 56→27 descent), and the old exact Cayley</w:t>
      </w:r>
      <w:r>
        <w:t xml:space="preserve"> </w:t>
      </w:r>
      <w:r>
        <w:t xml:space="preserve">diameter (conjectured 91–95).</w:t>
      </w:r>
    </w:p>
    <w:bookmarkEnd w:id="15"/>
    <w:bookmarkStart w:id="16" w:name="papers-and-next-steps"/>
    <w:p>
      <w:pPr>
        <w:pStyle w:val="Heading2"/>
      </w:pPr>
      <w:r>
        <w:t xml:space="preserve">8. Papers and next steps</w:t>
      </w:r>
    </w:p>
    <w:p>
      <w:pPr>
        <w:pStyle w:val="FirstParagraph"/>
      </w:pPr>
      <w:r>
        <w:t xml:space="preserve">Two joint drafts await your review pass:</w:t>
      </w:r>
      <w:r>
        <w:t xml:space="preserve"> </w:t>
      </w:r>
      <w:r>
        <w:rPr>
          <w:i/>
          <w:iCs/>
        </w:rPr>
        <w:t xml:space="preserve">The Bitangent Bridge</w:t>
      </w:r>
      <w:r>
        <w:t xml:space="preserve"> </w:t>
      </w:r>
      <w:r>
        <w:t xml:space="preserve">(you have</w:t>
      </w:r>
      <w:r>
        <w:t xml:space="preserve"> </w:t>
      </w:r>
      <w:r>
        <w:t xml:space="preserve">it) and</w:t>
      </w:r>
      <w:r>
        <w:t xml:space="preserve"> </w:t>
      </w:r>
      <w:r>
        <w:rPr>
          <w:i/>
          <w:iCs/>
        </w:rPr>
        <w:t xml:space="preserve">Magic Depth by Transportation Certificates and Witness Campaigns</w:t>
      </w:r>
      <w:r>
        <w:t xml:space="preserve"> </w:t>
      </w:r>
      <w:r>
        <w:t xml:space="preserve">(enclosed — Stones 1a/1b/F(c) as a methods note; your name is on it under</w:t>
      </w:r>
      <w:r>
        <w:t xml:space="preserve"> </w:t>
      </w:r>
      <w:r>
        <w:t xml:space="preserve">the same protocol). Application intentions, honestly scoped: a benchmark</w:t>
      </w:r>
      <w:r>
        <w:t xml:space="preserve"> </w:t>
      </w:r>
      <w:r>
        <w:t xml:space="preserve">package for synthesis researchers and a certified-ground-truth suite for</w:t>
      </w:r>
      <w:r>
        <w:t xml:space="preserve"> </w:t>
      </w:r>
      <w:r>
        <w:t xml:space="preserve">interpretability research — both built from these theorems, both open</w:t>
      </w:r>
      <w:r>
        <w:t xml:space="preserve"> </w:t>
      </w:r>
      <w:r>
        <w:t xml:space="preserve">source, neither claiming to be more than instruments. And the standing</w:t>
      </w:r>
      <w:r>
        <w:t xml:space="preserve"> </w:t>
      </w:r>
      <w:r>
        <w:t xml:space="preserve">invitations: your GAP against our Python on any row here; the support-law</w:t>
      </w:r>
      <w:r>
        <w:t xml:space="preserve"> </w:t>
      </w:r>
      <w:r>
        <w:t xml:space="preserve">problem; and one press of pr in the machine’s Waves view, orbit O3 — the</w:t>
      </w:r>
      <w:r>
        <w:t xml:space="preserve"> </w:t>
      </w:r>
      <w:r>
        <w:t xml:space="preserve">clock’s one still point, flickering between the sheets.</w:t>
      </w:r>
    </w:p>
    <w:p>
      <w:pPr>
        <w:pStyle w:val="BodyText"/>
      </w:pPr>
      <w:r>
        <w:t xml:space="preserve">Everything verifies. Run the scripts. Trust nothing.</w:t>
      </w:r>
    </w:p>
    <w:p>
      <w:pPr>
        <w:pStyle w:val="BodyText"/>
      </w:pPr>
      <w:r>
        <w:t xml:space="preserve">Warmly, Selina</w:t>
      </w:r>
      <w:r>
        <w:t xml:space="preserve"> </w:t>
      </w:r>
      <w:r>
        <w:t xml:space="preserve">(with Claude, Anthropic Fable 5 · 2026-08-30)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Joint World — Complete Findings Compendium</dc:title>
  <dc:creator>Selina Stenberg, with Claude (Anthropic Fable 5) · for Ilya Balashov</dc:creator>
  <cp:keywords/>
  <dcterms:created xsi:type="dcterms:W3CDTF">2026-08-30T17:01:55Z</dcterms:created>
  <dcterms:modified xsi:type="dcterms:W3CDTF">2026-08-30T17:01:55Z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ubtitle">
    <vt:lpwstr>Every theorem, refutation, instrument, and open problem of the Scar–Merkabit lane, in one report</vt:lpwstr>
  </property>
</Properties>
</file>