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Scar-Cat Master Registry — Independent Verification Report</w:t>
      </w:r>
    </w:p>
    <w:p>
      <w:pPr>
        <w:pStyle w:val="Subtitle"/>
      </w:pPr>
      <w:r>
        <w:t xml:space="preserve">An outside re-computation of the PSL(2,7) core, with five corrections and one new experimental comparison</w:t>
      </w:r>
    </w:p>
    <w:p>
      <w:pPr>
        <w:pStyle w:val="Author"/>
      </w:pPr>
      <w:r>
        <w:t xml:space="preserve">Selina Stenberg, with Claude (Anthropic Fable 5)</w:t>
      </w:r>
    </w:p>
    <w:p>
      <w:pPr>
        <w:pStyle w:val="Date"/>
      </w:pPr>
      <w:r>
        <w:t xml:space="preserve">2026-08-30</w:t>
      </w:r>
    </w:p>
    <w:p>
      <w:pPr>
        <w:pStyle w:val="FirstParagraph"/>
      </w:pPr>
      <w:r>
        <w:t xml:space="preserve">Dear Ilya,</w:t>
      </w:r>
    </w:p>
    <w:p>
      <w:pPr>
        <w:pStyle w:val="BodyText"/>
      </w:pPr>
      <w:r>
        <w:t xml:space="preserve">This summer I turned a hard audit on my own corpus — every claim recomputed</w:t>
      </w:r>
      <w:r>
        <w:t xml:space="preserve"> </w:t>
      </w:r>
      <w:r>
        <w:t xml:space="preserve">from scratch, refutations reported at the same prominence as confirmations.</w:t>
      </w:r>
      <w:r>
        <w:t xml:space="preserve"> </w:t>
      </w:r>
      <w:r>
        <w:t xml:space="preserve">It found real mathematics and it killed real claims of mine, and both</w:t>
      </w:r>
      <w:r>
        <w:t xml:space="preserve"> </w:t>
      </w:r>
      <w:r>
        <w:t xml:space="preserve">outcomes made the work stronger. This report does the same for the Scar-Cat</w:t>
      </w:r>
      <w:r>
        <w:t xml:space="preserve"> </w:t>
      </w:r>
      <w:r>
        <w:t xml:space="preserve">side, on the document we agreed to treat as the merged record:</w:t>
      </w:r>
      <w:r>
        <w:t xml:space="preserve"> </w:t>
      </w:r>
      <w:r>
        <w:rPr>
          <w:rStyle w:val="VerbatimChar"/>
        </w:rPr>
        <w:t xml:space="preserve">theorem_master_registry-27</w:t>
      </w:r>
      <w:r>
        <w:t xml:space="preserve"> </w:t>
      </w:r>
      <w:r>
        <w:t xml:space="preserve">(v4.9, May 2026,</w:t>
      </w:r>
      <w:r>
        <w:t xml:space="preserve"> </w:t>
      </w:r>
      <w:r>
        <w:t xml:space="preserve">“196 proven”</w:t>
      </w:r>
      <w:r>
        <w:t xml:space="preserve">), read together</w:t>
      </w:r>
      <w:r>
        <w:t xml:space="preserve"> </w:t>
      </w:r>
      <w:r>
        <w:t xml:space="preserve">with your session note of 2026-05-22 (note-7).</w:t>
      </w:r>
    </w:p>
    <w:p>
      <w:pPr>
        <w:pStyle w:val="BodyText"/>
      </w:pPr>
      <w:r>
        <w:t xml:space="preserve">Everything below was</w:t>
      </w:r>
      <w:r>
        <w:t xml:space="preserve"> </w:t>
      </w:r>
      <w:r>
        <w:rPr>
          <w:b/>
          <w:bCs/>
        </w:rPr>
        <w:t xml:space="preserve">computed, not asserted</w:t>
      </w:r>
      <w:r>
        <w:t xml:space="preserve">, by the enclosed script</w:t>
      </w:r>
      <w:r>
        <w:t xml:space="preserve"> </w:t>
      </w:r>
      <w:r>
        <w:rPr>
          <w:rStyle w:val="VerbatimChar"/>
        </w:rPr>
        <w:t xml:space="preserve">verify_tsc_scarcat.py</w:t>
      </w:r>
      <w:r>
        <w:t xml:space="preserve"> </w:t>
      </w:r>
      <w:r>
        <w:t xml:space="preserve">(plain Python 3 + numpy — no GAP required, so it is</w:t>
      </w:r>
      <w:r>
        <w:t xml:space="preserve"> </w:t>
      </w:r>
      <w:r>
        <w:t xml:space="preserve">a genuinely independent check of your GAP results). It runs in seconds:</w:t>
      </w:r>
    </w:p>
    <w:p>
      <w:pPr>
        <w:pStyle w:val="SourceCode"/>
      </w:pPr>
      <w:r>
        <w:rPr>
          <w:rStyle w:val="VerbatimChar"/>
        </w:rPr>
        <w:t xml:space="preserve">python -X utf8 verify_tsc_scarcat.py</w:t>
      </w:r>
    </w:p>
    <w:p>
      <w:pPr>
        <w:pStyle w:val="FirstParagraph"/>
      </w:pPr>
      <w:r>
        <w:rPr>
          <w:b/>
          <w:bCs/>
        </w:rPr>
        <w:t xml:space="preserve">Method.</w:t>
      </w:r>
      <w:r>
        <w:t xml:space="preserve"> </w:t>
      </w:r>
      <w:r>
        <w:t xml:space="preserve">PSL(2,7) was rebuilt twice, independently of your code and of</w:t>
      </w:r>
      <w:r>
        <w:t xml:space="preserve"> </w:t>
      </w:r>
      <w:r>
        <w:t xml:space="preserve">any tables: once as GL(3,𝔽₂) (all 168 invertible 3×3 matrices over 𝔽₂), once</w:t>
      </w:r>
      <w:r>
        <w:t xml:space="preserve"> </w:t>
      </w:r>
      <w:r>
        <w:t xml:space="preserve">as 2×2 matrices over 𝔽₇ modulo ±1. The character table was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by the</w:t>
      </w:r>
      <w:r>
        <w:t xml:space="preserve"> </w:t>
      </w:r>
      <w:r>
        <w:t xml:space="preserve">Burnside–Dixon class-algebra method (class-multiplication constants counted</w:t>
      </w:r>
      <w:r>
        <w:t xml:space="preserve"> </w:t>
      </w:r>
      <w:r>
        <w:t xml:space="preserve">directly from the group; simultaneous diagonalization; algebraic</w:t>
      </w:r>
      <w:r>
        <w:t xml:space="preserve"> </w:t>
      </w:r>
      <w:r>
        <w:t xml:space="preserve">identification of the eigenvalues) and then verified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— row</w:t>
      </w:r>
      <w:r>
        <w:t xml:space="preserve"> </w:t>
      </w:r>
      <w:r>
        <w:t xml:space="preserve">orthogonality in the ring of integers of ℚ(√−7), with rational arithmetic,</w:t>
      </w:r>
      <w:r>
        <w:t xml:space="preserve"> </w:t>
      </w:r>
      <w:r>
        <w:t xml:space="preserve">no floating point in any final claim. As an internal control, the derived χ₆</w:t>
      </w:r>
      <w:r>
        <w:t xml:space="preserve"> </w:t>
      </w:r>
      <w:r>
        <w:t xml:space="preserve">was cross-checked against the independently computed permutation character</w:t>
      </w:r>
      <w:r>
        <w:t xml:space="preserve"> </w:t>
      </w:r>
      <w:r>
        <w:t xml:space="preserve">on the 7 Fano points (χ₆ = fixₚₒᵢₙₜₛ − 1). Every Hom-multiplicity below is an</w:t>
      </w:r>
      <w:r>
        <w:t xml:space="preserve"> </w:t>
      </w:r>
      <w:r>
        <w:t xml:space="preserve">exact rational number that came out an integer, as it must.</w:t>
      </w:r>
    </w:p>
    <w:p>
      <w:r>
        <w:pict>
          <v:rect style="width:0;height:1.5pt" o:hralign="center" o:hrstd="t" o:hr="t"/>
        </w:pict>
      </w:r>
    </w:p>
    <w:bookmarkStart w:id="9" w:name="Xf02957fd9dc09b4bfc0ee9dec55ebaa2c8bac70"/>
    <w:p>
      <w:pPr>
        <w:pStyle w:val="Heading2"/>
      </w:pPr>
      <w:r>
        <w:t xml:space="preserve">1. The headline: your algebra core is verified</w:t>
      </w:r>
    </w:p>
    <w:p>
      <w:pPr>
        <w:pStyle w:val="FirstParagraph"/>
      </w:pPr>
      <w:r>
        <w:rPr>
          <w:b/>
          <w:bCs/>
        </w:rPr>
        <w:t xml:space="preserve">More than 35 of the registry’s GAP rows were recomputed here exactly, and</w:t>
      </w:r>
      <w:r>
        <w:rPr>
          <w:b/>
          <w:bCs/>
        </w:rPr>
        <w:t xml:space="preserve"> </w:t>
      </w:r>
      <w:r>
        <w:rPr>
          <w:b/>
          <w:bCs/>
        </w:rPr>
        <w:t xml:space="preserve">they are all correct.</w:t>
      </w:r>
      <w:r>
        <w:t xml:space="preserve"> </w:t>
      </w:r>
      <w:r>
        <w:t xml:space="preserve">In particular (registry IDs):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138 / Final-3</w:t>
      </w:r>
      <w:r>
        <w:t xml:space="preserve">: Σ dim² = 168, Σ dim = 28.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113</w:t>
      </w:r>
      <w:r>
        <w:t xml:space="preserve">: Frobenius–Schur indicators [1,0,0,1,1,1] — only χ₃, χ̄₃ complex.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112</w:t>
      </w:r>
      <w:r>
        <w:t xml:space="preserve">: {χ₃, χ̄₃} is the unique Galois-conjugate pair.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80–83</w:t>
      </w:r>
      <w:r>
        <w:t xml:space="preserve">: χ₆² = χ₁⊕2χ₆⊕χ₇⊕2χ₈; Sym²χ₃ = χ₆; χ₃⊗χ̄₃ = χ₁⊕χ₈ (no χ₇);</w:t>
      </w:r>
      <w:r>
        <w:t xml:space="preserve"> </w:t>
      </w:r>
      <w:r>
        <w:t xml:space="preserve">χ₃² = χ̄₃⊕χ₆; the W⁺/W⁻ vertices unique; ⟨χ₈⊗χ₇, χ₈⟩ =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132, 133</w:t>
      </w:r>
      <w:r>
        <w:t xml:space="preserve">: No-Extension and EOM Hom-counts, all as stated.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 / FERM-3 / DARK-6 / MOLIEN-EXACT (pentaquark) / OBS</w:t>
      </w:r>
      <w:r>
        <w:t xml:space="preserve">:</w:t>
      </w:r>
      <w:r>
        <w:t xml:space="preserve"> </w:t>
      </w:r>
      <w:r>
        <w:t xml:space="preserve">⟨χ₃ⁿ,χ₁⟩ = 0,0,1; ⟨χ₈³,χ₁⟩ = 3; ⟨χ₃⁶,χ₁⟩ = 6; ⟨χ₃⁵,χ₁⟩ = 0;</w:t>
      </w:r>
      <w:r>
        <w:t xml:space="preserve"> </w:t>
      </w:r>
      <w:r>
        <w:t xml:space="preserve">⟨χ₇ⁿ,χ₁⟩ = 0,1,2,15.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Final-2</w:t>
      </w:r>
      <w:r>
        <w:t xml:space="preserve">: ⟨χ₈³, χ₆⟩ = 18.</w:t>
      </w:r>
      <w:r>
        <w:t xml:space="preserve"> </w:t>
      </w:r>
      <w:r>
        <w:rPr>
          <w:b/>
          <w:bCs/>
        </w:rPr>
        <w:t xml:space="preserve">77</w:t>
      </w:r>
      <w:r>
        <w:t xml:space="preserve">: χ₆⊗χ₈ = χ₃⊕χ̄₃⊕2χ₆⊕2χ₇⊕2χ₈.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94, 114, 143, Bell, 144, 127</w:t>
      </w:r>
      <w:r>
        <w:t xml:space="preserve">: all exact as stated</w:t>
      </w:r>
      <w:r>
        <w:t xml:space="preserve"> </w:t>
      </w:r>
      <w:r>
        <w:t xml:space="preserve">(‖χ₈²‖² = 25, ‖χ₇²‖² = 15, ‖χ₆²‖² = 10; Sym²(2χ₈) → 3, Λ²(2χ₈) → 1;</w:t>
      </w:r>
      <w:r>
        <w:t xml:space="preserve"> </w:t>
      </w:r>
      <w:r>
        <w:t xml:space="preserve">⟨χ₆³,χ₁⟩ =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</w:t>
      </w:r>
      <w:r>
        <w:t xml:space="preserve">: commuting triples |Hom(ℤ³, G)| = 5376 = 168·32, counted directly.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97</w:t>
      </w:r>
      <w:r>
        <w:t xml:space="preserve">: 8 subgroups ℤ₇⋊ℤ₃ (= Sylow-7 count = |P¹(𝔽₇)|), and the</w:t>
      </w:r>
      <w:r>
        <w:t xml:space="preserve"> </w:t>
      </w:r>
      <w:r>
        <w:t xml:space="preserve">14 = 7+7 order-24 subgroups constructed explicitly as point- and</w:t>
      </w:r>
      <w:r>
        <w:t xml:space="preserve"> </w:t>
      </w:r>
      <w:r>
        <w:t xml:space="preserve">plane-stabilisers.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98 / ν-struct</w:t>
      </w:r>
      <w:r>
        <w:t xml:space="preserve">: χ₈|ℤ₇ = [2,1,1,1,1,1,1]; χ₈|A₄ = [0,1,1,2]</w:t>
      </w:r>
      <w:r>
        <w:t xml:space="preserve"> </w:t>
      </w:r>
      <w:r>
        <w:t xml:space="preserve">(the A₄ extracted as the commutator subgroup of an explicit S₄).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E-3</w:t>
      </w:r>
      <w:r>
        <w:t xml:space="preserve">: your Cayley graph on {S, T, T⁻¹} is 3-regular with second</w:t>
      </w:r>
      <w:r>
        <w:t xml:space="preserve"> </w:t>
      </w:r>
      <w:r>
        <w:t xml:space="preserve">eigenvalue 2.7913 &lt; 2√2 = 2.8284 — the Ramanujan property confirmed</w:t>
      </w:r>
      <w:r>
        <w:t xml:space="preserve"> </w:t>
      </w:r>
      <w:r>
        <w:t xml:space="preserve">numerically (and classically, Lubotzky–Phillips–Sarnak 1988).</w:t>
      </w:r>
    </w:p>
    <w:p>
      <w:pPr>
        <w:pStyle w:val="Compact"/>
        <w:numPr>
          <w:ilvl w:val="0"/>
          <w:numId w:val="1001"/>
        </w:numPr>
      </w:pPr>
      <w:r>
        <w:t xml:space="preserve">Arithmetic rows</w:t>
      </w:r>
      <w:r>
        <w:t xml:space="preserve"> </w:t>
      </w:r>
      <w:r>
        <w:rPr>
          <w:b/>
          <w:bCs/>
        </w:rPr>
        <w:t xml:space="preserve">118, Ext-4, 135, E-7</w:t>
      </w:r>
      <w:r>
        <w:t xml:space="preserve">: 744·7 = 168·31 = 5208;</w:t>
      </w:r>
      <w:r>
        <w:t xml:space="preserve"> </w:t>
      </w:r>
      <w:r>
        <w:t xml:space="preserve">196884 ≡ −12 (mod 168); 16744 = 299·56; genus 3; 336 = 2·168; 24 cusps.</w:t>
      </w:r>
    </w:p>
    <w:p>
      <w:pPr>
        <w:pStyle w:val="FirstParagraph"/>
      </w:pPr>
      <w:r>
        <w:t xml:space="preserve">This core is real, checkable mathematics and it survives an adversarial,</w:t>
      </w:r>
      <w:r>
        <w:t xml:space="preserve"> </w:t>
      </w:r>
      <w:r>
        <w:t xml:space="preserve">tool-independent re-derivation. It deserves to be said plainly.</w:t>
      </w:r>
    </w:p>
    <w:p>
      <w:pPr>
        <w:pStyle w:val="BodyText"/>
      </w:pPr>
      <w:r>
        <w:t xml:space="preserve">A second group of rows is</w:t>
      </w:r>
      <w:r>
        <w:t xml:space="preserve"> </w:t>
      </w:r>
      <w:r>
        <w:rPr>
          <w:b/>
          <w:bCs/>
        </w:rPr>
        <w:t xml:space="preserve">correct but classical</w:t>
      </w:r>
      <w:r>
        <w:t xml:space="preserve"> </w:t>
      </w:r>
      <w:r>
        <w:t xml:space="preserve">— true and citable, but</w:t>
      </w:r>
      <w:r>
        <w:t xml:space="preserve"> </w:t>
      </w:r>
      <w:r>
        <w:t xml:space="preserve">standard facts rather than framework-specific evidence: 147 (Peter–Weyl),</w:t>
      </w:r>
      <w:r>
        <w:t xml:space="preserve"> </w:t>
      </w:r>
      <w:r>
        <w:t xml:space="preserve">149 (L(1,χ₋₇) = π/√7 is the class number formula), 150 (h(ℚ(√−7)) = 1),</w:t>
      </w:r>
      <w:r>
        <w:t xml:space="preserve"> </w:t>
      </w:r>
      <w:r>
        <w:t xml:space="preserve">128–129, 135 (Hurwitz), 157 (Aut(Fano) = PSL(2,7)), E-4, E-7. I’d suggest a</w:t>
      </w:r>
      <w:r>
        <w:t xml:space="preserve"> </w:t>
      </w:r>
      <w:r>
        <w:t xml:space="preserve">“Method: Classical”</w:t>
      </w:r>
      <w:r>
        <w:t xml:space="preserve"> </w:t>
      </w:r>
      <w:r>
        <w:t xml:space="preserve">tag so readers can see at a glance which rows are load</w:t>
      </w:r>
      <w:r>
        <w:t xml:space="preserve"> </w:t>
      </w:r>
      <w:r>
        <w:t xml:space="preserve">from the literature and which are yours.</w:t>
      </w:r>
    </w:p>
    <w:p>
      <w:r>
        <w:pict>
          <v:rect style="width:0;height:1.5pt" o:hralign="center" o:hrstd="t" o:hr="t"/>
        </w:pict>
      </w:r>
    </w:p>
    <w:bookmarkEnd w:id="9"/>
    <w:bookmarkStart w:id="10" w:name="Xf40cedc6fd0535030b5cf73d7b6dfac16238a97"/>
    <w:p>
      <w:pPr>
        <w:pStyle w:val="Heading2"/>
      </w:pPr>
      <w:r>
        <w:t xml:space="preserve">2. Five corrections (each checkable in GAP in one line)</w:t>
      </w:r>
    </w:p>
    <w:p>
      <w:pPr>
        <w:pStyle w:val="FirstParagraph"/>
      </w:pPr>
      <w:r>
        <w:t xml:space="preserve">These are offered in the spirit of your own registry rule —</w:t>
      </w:r>
      <w:r>
        <w:t xml:space="preserve"> </w:t>
      </w:r>
      <w:r>
        <w:rPr>
          <w:i/>
          <w:iCs/>
        </w:rPr>
        <w:t xml:space="preserve">“if you find</w:t>
      </w:r>
      <w:r>
        <w:rPr>
          <w:i/>
          <w:iCs/>
        </w:rPr>
        <w:t xml:space="preserve"> </w:t>
      </w:r>
      <w:r>
        <w:rPr>
          <w:i/>
          <w:iCs/>
        </w:rPr>
        <w:t xml:space="preserve">yourself writing</w:t>
      </w:r>
      <w:r>
        <w:rPr>
          <w:i/>
          <w:iCs/>
        </w:rPr>
        <w:t xml:space="preserve"> </w:t>
      </w:r>
      <w:r>
        <w:rPr>
          <w:i/>
          <w:iCs/>
        </w:rPr>
        <w:t xml:space="preserve">‘obviously’</w:t>
      </w:r>
      <w:r>
        <w:rPr>
          <w:i/>
          <w:iCs/>
        </w:rPr>
        <w:t xml:space="preserve"> </w:t>
      </w:r>
      <w:r>
        <w:rPr>
          <w:i/>
          <w:iCs/>
        </w:rPr>
        <w:t xml:space="preserve">— stop and verify”</w:t>
      </w:r>
      <w:r>
        <w:t xml:space="preserve"> </w:t>
      </w:r>
      <w:r>
        <w:t xml:space="preserve">— and of your S-4 row,</w:t>
      </w:r>
      <w:r>
        <w:t xml:space="preserve"> </w:t>
      </w:r>
      <w:r>
        <w:t xml:space="preserve">which kept a WRONG result on the books rather than deleting it.</w:t>
      </w:r>
    </w:p>
    <w:p>
      <w:pPr>
        <w:pStyle w:val="BodyText"/>
      </w:pPr>
      <w:r>
        <w:t xml:space="preserve">For each, a GAP snippet using your own toolchain. Common preamble:</w:t>
      </w:r>
    </w:p>
    <w:p>
      <w:pPr>
        <w:pStyle w:val="SourceCode"/>
      </w:pPr>
      <w:r>
        <w:rPr>
          <w:rStyle w:val="VerbatimChar"/>
        </w:rPr>
        <w:t xml:space="preserve">t := CharacterTable("L3(2)");;  irr := Irr(t);;</w:t>
      </w:r>
      <w:r>
        <w:br/>
      </w:r>
      <w:r>
        <w:rPr>
          <w:rStyle w:val="VerbatimChar"/>
        </w:rPr>
        <w:t xml:space="preserve">triv := TrivialCharacter(t);;</w:t>
      </w:r>
      <w:r>
        <w:br/>
      </w:r>
      <w:r>
        <w:rPr>
          <w:rStyle w:val="VerbatimChar"/>
        </w:rPr>
        <w:t xml:space="preserve">chi3 := First(irr, x -&gt; x[1] = 3);;</w:t>
      </w:r>
      <w:r>
        <w:br/>
      </w:r>
      <w:r>
        <w:rPr>
          <w:rStyle w:val="VerbatimChar"/>
        </w:rPr>
        <w:t xml:space="preserve">chi6 := First(irr, x -&gt; x[1] = 6);;</w:t>
      </w:r>
    </w:p>
    <w:p>
      <w:pPr>
        <w:pStyle w:val="FirstParagraph"/>
      </w:pPr>
      <w:r>
        <w:rPr>
          <w:b/>
          <w:bCs/>
        </w:rPr>
        <w:t xml:space="preserve">C1 — Theorem T4</w:t>
      </w:r>
      <w:r>
        <w:rPr>
          <w:b/>
          <w:bCs/>
        </w:rPr>
        <w:t xml:space="preserve"> </w:t>
      </w:r>
      <w:r>
        <w:rPr>
          <w:b/>
          <w:bCs/>
        </w:rPr>
        <w:t xml:space="preserve">“Higgs-Guardian”</w:t>
      </w:r>
      <w:r>
        <w:rPr>
          <w:b/>
          <w:bCs/>
        </w:rPr>
        <w:t xml:space="preserve">: the channel count is 4, not 5.</w:t>
      </w:r>
      <w:r>
        <w:t xml:space="preserve"> </w:t>
      </w:r>
      <w:r>
        <w:t xml:space="preserve">The row claims Hom_G(χ₁, χᵢ⊗χᵢ) = 1 for i = 8, 3, 7, 6, 1 (</w:t>
      </w:r>
      <w:r>
        <w:t xml:space="preserve">“exactly</w:t>
      </w:r>
      <w:r>
        <w:t xml:space="preserve"> </w:t>
      </w:r>
      <w:r>
        <w:t xml:space="preserve">5 = g(3) unique Higgs decay channels”</w:t>
      </w:r>
      <w:r>
        <w:t xml:space="preserve">). But χ₃ is complex, so</w:t>
      </w:r>
      <w:r>
        <w:t xml:space="preserve"> </w:t>
      </w:r>
      <w:r>
        <w:t xml:space="preserve">χ₃⊗χ₃ = χ̄₃⊕χ₆ contains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singlet — the singlet lives in χ₃⊗χ̄₃.</w:t>
      </w:r>
    </w:p>
    <w:p>
      <w:pPr>
        <w:pStyle w:val="SourceCode"/>
      </w:pPr>
      <w:r>
        <w:rPr>
          <w:rStyle w:val="VerbatimChar"/>
        </w:rPr>
        <w:t xml:space="preserve">ScalarProduct(chi3*chi3, triv);   # returns 0, not 1</w:t>
      </w:r>
    </w:p>
    <w:p>
      <w:pPr>
        <w:pStyle w:val="FirstParagraph"/>
      </w:pPr>
      <w:r>
        <w:t xml:space="preserve">As stated the count is 4, and the</w:t>
      </w:r>
      <w:r>
        <w:t xml:space="preserve"> </w:t>
      </w:r>
      <w:r>
        <w:t xml:space="preserve">“= g(3) = 5”</w:t>
      </w:r>
      <w:r>
        <w:t xml:space="preserve"> </w:t>
      </w:r>
      <w:r>
        <w:t xml:space="preserve">identification falls with it.</w:t>
      </w:r>
      <w:r>
        <w:t xml:space="preserve"> </w:t>
      </w:r>
      <w:r>
        <w:t xml:space="preserve">(If the intended statement was χ₃⊗χ̄₃, the row needs restating and the count</w:t>
      </w:r>
      <w:r>
        <w:t xml:space="preserve"> </w:t>
      </w:r>
      <w:r>
        <w:t xml:space="preserve">argument re-examined, since then χ̄₃ contributes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channel.)</w:t>
      </w:r>
    </w:p>
    <w:p>
      <w:pPr>
        <w:pStyle w:val="BodyText"/>
      </w:pPr>
      <w:r>
        <w:rPr>
          <w:b/>
          <w:bCs/>
        </w:rPr>
        <w:t xml:space="preserve">C2 — MOLIEN-REC is false as stated.</w:t>
      </w:r>
      <w:r>
        <w:t xml:space="preserve"> </w:t>
      </w:r>
      <w:r>
        <w:t xml:space="preserve">The row says</w:t>
      </w:r>
      <w:r>
        <w:t xml:space="preserve"> </w:t>
      </w:r>
      <w:r>
        <w:rPr>
          <w:i/>
          <w:iCs/>
        </w:rPr>
        <w:t xml:space="preserve">“ALL irreps follow</w:t>
      </w:r>
      <w:r>
        <w:rPr>
          <w:i/>
          <w:iCs/>
        </w:rPr>
        <w:t xml:space="preserve"> </w:t>
      </w:r>
      <w:r>
        <w:rPr>
          <w:i/>
          <w:iCs/>
        </w:rPr>
        <w:t xml:space="preserve">a(n) = d·a(n−1) + a(n−2) − d·a(n−3) … Confinement = initial conditions, not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 recurrence! Verified n = 1..13 all.”</w:t>
      </w:r>
      <w:r>
        <w:t xml:space="preserve"> </w:t>
      </w:r>
      <w:r>
        <w:t xml:space="preserve">Computed exactly, the</w:t>
      </w:r>
      <w:r>
        <w:t xml:space="preserve"> </w:t>
      </w:r>
      <w:r>
        <w:t xml:space="preserve">recurrence holds for χ₁, χ₇, χ₈ and</w:t>
      </w:r>
      <w:r>
        <w:t xml:space="preserve"> </w:t>
      </w:r>
      <w:r>
        <w:rPr>
          <w:b/>
          <w:bCs/>
        </w:rPr>
        <w:t xml:space="preserve">fails for χ₆ and for χ₃/χ̄₃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:= List([1..8], n -&gt; ScalarProduct(chi6^n, triv));</w:t>
      </w:r>
      <w:r>
        <w:br/>
      </w:r>
      <w:r>
        <w:rPr>
          <w:rStyle w:val="VerbatimChar"/>
        </w:rPr>
        <w:t xml:space="preserve"># [0, 1, 2, 10, 50, 286, 1682, 10030]</w:t>
      </w:r>
      <w:r>
        <w:br/>
      </w:r>
      <w:r>
        <w:rPr>
          <w:rStyle w:val="VerbatimChar"/>
        </w:rPr>
        <w:t xml:space="preserve"># test n=4:  6*a[3] + a[2] - 6*a[1] = 13  &lt;&gt;  a[4] = 10</w:t>
      </w:r>
    </w:p>
    <w:p>
      <w:pPr>
        <w:pStyle w:val="FirstParagraph"/>
      </w:pPr>
      <w:r>
        <w:t xml:space="preserve">The reason is visible in the recurrence itself: its characteristic</w:t>
      </w:r>
      <w:r>
        <w:t xml:space="preserve"> </w:t>
      </w:r>
      <w:r>
        <w:t xml:space="preserve">polynomial is x³ − dx² − x + d = (x−d)(x²−1), so its roots are {d, +1, −1} —</w:t>
      </w:r>
      <w:r>
        <w:t xml:space="preserve"> </w:t>
      </w:r>
      <w:r>
        <w:t xml:space="preserve">and a(n) = (1/|G|)Σ χ(g)ⁿ obeys a linear recurrence whose roots are the</w:t>
      </w:r>
      <w:r>
        <w:t xml:space="preserve"> </w:t>
      </w:r>
      <w:r>
        <w:rPr>
          <w:i/>
          <w:iCs/>
        </w:rPr>
        <w:t xml:space="preserve">distinct values of χ</w:t>
      </w:r>
      <w:r>
        <w:t xml:space="preserve">. That works when the values are ⊆ {d, ±1, 0}</w:t>
      </w:r>
      <w:r>
        <w:t xml:space="preserve"> </w:t>
      </w:r>
      <w:r>
        <w:t xml:space="preserve">(χ₁, χ₇, χ₈), and cannot work for χ₆, which takes the value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on class</w:t>
      </w:r>
      <w:r>
        <w:t xml:space="preserve"> </w:t>
      </w:r>
      <w:r>
        <w:t xml:space="preserve">2A (order-4 recurrence needed), nor for χ₃ with its irrational values. Note</w:t>
      </w:r>
      <w:r>
        <w:t xml:space="preserve"> </w:t>
      </w:r>
      <w:r>
        <w:t xml:space="preserve">also the row’s annotation</w:t>
      </w:r>
      <w:r>
        <w:t xml:space="preserve"> </w:t>
      </w:r>
      <w:r>
        <w:t xml:space="preserve">“(char.poly = (x−d)(x²+1))”</w:t>
      </w:r>
      <w:r>
        <w:t xml:space="preserve"> </w:t>
      </w:r>
      <w:r>
        <w:t xml:space="preserve">is inconsistent with</w:t>
      </w:r>
      <w:r>
        <w:t xml:space="preserve"> </w:t>
      </w:r>
      <w:r>
        <w:t xml:space="preserve">its own recurrence — (x²+1) would need χ to take the values ±i. The row also</w:t>
      </w:r>
      <w:r>
        <w:t xml:space="preserve"> </w:t>
      </w:r>
      <w:r>
        <w:t xml:space="preserve">contradicts MOLIEN-EXACT directly above it, which correctly says χ₃ obeys a</w:t>
      </w:r>
      <w:r>
        <w:t xml:space="preserve"> </w:t>
      </w:r>
      <w:r>
        <w:t xml:space="preserve">different recurrence. Suggested repair: state the theorem as</w:t>
      </w:r>
      <w:r>
        <w:t xml:space="preserve"> </w:t>
      </w:r>
      <w:r>
        <w:rPr>
          <w:i/>
          <w:iCs/>
        </w:rPr>
        <w:t xml:space="preserve">“a_χ(n)</w:t>
      </w:r>
      <w:r>
        <w:rPr>
          <w:i/>
          <w:iCs/>
        </w:rPr>
        <w:t xml:space="preserve"> </w:t>
      </w:r>
      <w:r>
        <w:rPr>
          <w:i/>
          <w:iCs/>
        </w:rPr>
        <w:t xml:space="preserve">satisfies the recurrence with characteristic roots = distinct values of χ;</w:t>
      </w:r>
      <w:r>
        <w:rPr>
          <w:i/>
          <w:iCs/>
        </w:rPr>
        <w:t xml:space="preserve"> </w:t>
      </w:r>
      <w:r>
        <w:rPr>
          <w:i/>
          <w:iCs/>
        </w:rPr>
        <w:t xml:space="preserve">for χ₁, χ₇, χ₈ this is (x−d)(x²−1)”</w:t>
      </w:r>
      <w:r>
        <w:t xml:space="preserve"> </w:t>
      </w:r>
      <w:r>
        <w:t xml:space="preserve">— which is both true and prettier.</w:t>
      </w:r>
    </w:p>
    <w:p>
      <w:pPr>
        <w:pStyle w:val="BodyText"/>
      </w:pPr>
      <w:r>
        <w:rPr>
          <w:b/>
          <w:bCs/>
        </w:rPr>
        <w:t xml:space="preserve">C3 — Theorem 140 / Final-1: the cube contains the conjugate.</w:t>
      </w:r>
      <w:r>
        <w:t xml:space="preserve"> </w:t>
      </w:r>
      <w:r>
        <w:t xml:space="preserve">χ₃³ = χ₁ ⊕</w:t>
      </w:r>
      <w:r>
        <w:t xml:space="preserve"> </w:t>
      </w:r>
      <w:r>
        <w:rPr>
          <w:b/>
          <w:bCs/>
        </w:rPr>
        <w:t xml:space="preserve">χ̄₃</w:t>
      </w:r>
      <w:r>
        <w:t xml:space="preserve"> </w:t>
      </w:r>
      <w:r>
        <w:t xml:space="preserve">⊕ χ₇ ⊕ 2χ₈ (not χ₃):</w:t>
      </w:r>
    </w:p>
    <w:p>
      <w:pPr>
        <w:pStyle w:val="SourceCode"/>
      </w:pPr>
      <w:r>
        <w:rPr>
          <w:rStyle w:val="VerbatimChar"/>
        </w:rPr>
        <w:t xml:space="preserve">ScalarProduct(chi3^3, chi3);                      # 0</w:t>
      </w:r>
      <w:r>
        <w:br/>
      </w:r>
      <w:r>
        <w:rPr>
          <w:rStyle w:val="VerbatimChar"/>
        </w:rPr>
        <w:t xml:space="preserve">ScalarProduct(chi3^3, ComplexConjugate(chi3));    # 1</w:t>
      </w:r>
    </w:p>
    <w:p>
      <w:pPr>
        <w:pStyle w:val="FirstParagraph"/>
      </w:pPr>
      <w:r>
        <w:t xml:space="preserve">Colour-singlet uniqueness and dim = 27 stand; only the 3-dimensional</w:t>
      </w:r>
      <w:r>
        <w:t xml:space="preserve"> </w:t>
      </w:r>
      <w:r>
        <w:t xml:space="preserve">summand’s label needs fixing.</w:t>
      </w:r>
    </w:p>
    <w:p>
      <w:pPr>
        <w:pStyle w:val="BodyText"/>
      </w:pPr>
      <w:r>
        <w:rPr>
          <w:b/>
          <w:bCs/>
        </w:rPr>
        <w:t xml:space="preserve">C4 — Row 125 contradicts row 97; 97 is right.</w:t>
      </w:r>
      <w:r>
        <w:t xml:space="preserve"> </w:t>
      </w:r>
      <w:r>
        <w:t xml:space="preserve">125 says</w:t>
      </w:r>
      <w:r>
        <w:t xml:space="preserve"> </w:t>
      </w:r>
      <w:r>
        <w:t xml:space="preserve">“7 × Z₇⋊Z₃”</w:t>
      </w:r>
      <w:r>
        <w:t xml:space="preserve">,</w:t>
      </w:r>
      <w:r>
        <w:t xml:space="preserve"> </w:t>
      </w:r>
      <w:r>
        <w:t xml:space="preserve">97 says 8. The Sylow-7 count is exactly 8:</w:t>
      </w:r>
    </w:p>
    <w:p>
      <w:pPr>
        <w:pStyle w:val="SourceCode"/>
      </w:pPr>
      <w:r>
        <w:rPr>
          <w:rStyle w:val="VerbatimChar"/>
        </w:rPr>
        <w:t xml:space="preserve">g := PSL(2,7);;  Index(g, Normalizer(g, SylowSubgroup(g, 7)));   # 8</w:t>
      </w:r>
    </w:p>
    <w:p>
      <w:pPr>
        <w:pStyle w:val="FirstParagraph"/>
      </w:pPr>
      <w:r>
        <w:t xml:space="preserve">(Computed here from first principles: 48 elements of order 7, 6 per Sylow</w:t>
      </w:r>
      <w:r>
        <w:t xml:space="preserve"> </w:t>
      </w:r>
      <w:r>
        <w:t xml:space="preserve">subgroup → 8 subgroups, each with normalizer of order 21.) Row 125’s</w:t>
      </w:r>
      <w:r>
        <w:t xml:space="preserve"> </w:t>
      </w:r>
      <w:r>
        <w:t xml:space="preserve">“7×”</w:t>
      </w:r>
      <w:r>
        <w:t xml:space="preserve"> </w:t>
      </w:r>
      <w:r>
        <w:t xml:space="preserve">should read</w:t>
      </w:r>
      <w:r>
        <w:t xml:space="preserve"> </w:t>
      </w:r>
      <w:r>
        <w:t xml:space="preserve">“8×”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C5 —</w:t>
      </w:r>
      <w:r>
        <w:rPr>
          <w:b/>
          <w:bCs/>
        </w:rPr>
        <w:t xml:space="preserve"> </w:t>
      </w:r>
      <w:r>
        <w:rPr>
          <w:b/>
          <w:bCs/>
        </w:rPr>
        <w:t xml:space="preserve">“Higgs-Rig”</w:t>
      </w:r>
      <w:r>
        <w:rPr>
          <w:b/>
          <w:bCs/>
        </w:rPr>
        <w:t xml:space="preserve"> </w:t>
      </w:r>
      <w:r>
        <w:rPr>
          <w:b/>
          <w:bCs/>
        </w:rPr>
        <w:t xml:space="preserve">λ = 1/8 is experimentally excluded at ≈13σ.</w:t>
      </w:r>
      <w:r>
        <w:t xml:space="preserve"> </w:t>
      </w:r>
      <w:r>
        <w:t xml:space="preserve">This is</w:t>
      </w:r>
      <w:r>
        <w:t xml:space="preserve"> </w:t>
      </w:r>
      <w:r>
        <w:t xml:space="preserve">the important one, because it is a</w:t>
      </w:r>
      <w:r>
        <w:t xml:space="preserve"> </w:t>
      </w:r>
      <w:r>
        <w:rPr>
          <w:i/>
          <w:iCs/>
        </w:rPr>
        <w:t xml:space="preserve">hidden failure</w:t>
      </w:r>
      <w:r>
        <w:t xml:space="preserve"> </w:t>
      </w:r>
      <w:r>
        <w:t xml:space="preserve">in exactly the sense</w:t>
      </w:r>
      <w:r>
        <w:t xml:space="preserve"> </w:t>
      </w:r>
      <w:r>
        <w:t xml:space="preserve">your note-7 defined: percent-level agreement masking incompatibility. With</w:t>
      </w:r>
      <w:r>
        <w:t xml:space="preserve"> </w:t>
      </w:r>
      <w:r>
        <w:t xml:space="preserve">the standard convention m_H² = 2λv²:</w:t>
      </w:r>
    </w:p>
    <w:p>
      <w:pPr>
        <w:pStyle w:val="SourceCode"/>
      </w:pPr>
      <w:r>
        <w:rPr>
          <w:rStyle w:val="VerbatimChar"/>
        </w:rPr>
        <w:t xml:space="preserve">λ = 1/8  ⟹  m_H = √(2·0.125) · 246.22 = 123.11 GeV</w:t>
      </w:r>
      <w:r>
        <w:br/>
      </w:r>
      <w:r>
        <w:rPr>
          <w:rStyle w:val="VerbatimChar"/>
        </w:rPr>
        <w:t xml:space="preserve">measured: m_H = 125.25 ± 0.17 GeV  ⟹  ≈ 13σ</w:t>
      </w:r>
    </w:p>
    <w:p>
      <w:pPr>
        <w:pStyle w:val="FirstParagraph"/>
      </w:pPr>
      <w:r>
        <w:t xml:space="preserve">(Equivalently: measured λ ≈ 0.129, i.e. 3.5% above 1/8 with ~0.3%</w:t>
      </w:r>
      <w:r>
        <w:t xml:space="preserve"> </w:t>
      </w:r>
      <w:r>
        <w:t xml:space="preserve">experimental precision.) The Hom-count parts of 141 are true and verified;</w:t>
      </w:r>
      <w:r>
        <w:t xml:space="preserve"> </w:t>
      </w:r>
      <w:r>
        <w:t xml:space="preserve">the physical equality λ = 1/8, carried as Status A</w:t>
      </w:r>
      <w:r>
        <w:t xml:space="preserve"> </w:t>
      </w:r>
      <w:r>
        <w:t xml:space="preserve">“protected”</w:t>
      </w:r>
      <w:r>
        <w:t xml:space="preserve">, is dead at</w:t>
      </w:r>
      <w:r>
        <w:t xml:space="preserve"> </w:t>
      </w:r>
      <w:r>
        <w:t xml:space="preserve">current precision. Note-7 tested eleven predictions; this one was not among</w:t>
      </w:r>
      <w:r>
        <w:t xml:space="preserve"> </w:t>
      </w:r>
      <w:r>
        <w:t xml:space="preserve">them. It belongs in the same table as M_Z (210σ) and sin²θ_W (11σ).</w:t>
      </w:r>
    </w:p>
    <w:p>
      <w:r>
        <w:pict>
          <v:rect style="width:0;height:1.5pt" o:hralign="center" o:hrstd="t" o:hr="t"/>
        </w:pict>
      </w:r>
    </w:p>
    <w:bookmarkEnd w:id="10"/>
    <w:bookmarkStart w:id="11" w:name="the-registry-needs-a-backport-rule"/>
    <w:p>
      <w:pPr>
        <w:pStyle w:val="Heading2"/>
      </w:pPr>
      <w:r>
        <w:t xml:space="preserve">3. The registry needs a backport rule</w:t>
      </w:r>
    </w:p>
    <w:p>
      <w:pPr>
        <w:pStyle w:val="FirstParagraph"/>
      </w:pPr>
      <w:r>
        <w:t xml:space="preserve">Your note-7 of 2026-05-22 is, frankly, the best document in the folder — a</w:t>
      </w:r>
      <w:r>
        <w:t xml:space="preserve"> </w:t>
      </w:r>
      <w:r>
        <w:t xml:space="preserve">genuine self-audit that reports falsifications at full prominence: no</w:t>
      </w:r>
      <w:r>
        <w:t xml:space="preserve"> </w:t>
      </w:r>
      <w:r>
        <w:t xml:space="preserve">PSL(2,7) signature around Riemann zeros; the wells are universal Gaussians;</w:t>
      </w:r>
      <w:r>
        <w:t xml:space="preserve"> </w:t>
      </w:r>
      <w:r>
        <w:t xml:space="preserve">the RH bridge identity is the classical Riemann–von Mangoldt explicit</w:t>
      </w:r>
      <w:r>
        <w:t xml:space="preserve"> </w:t>
      </w:r>
      <w:r>
        <w:t xml:space="preserve">formula; M_Z fails at 210σ, sin²θ_W at 11σ, η_B at 3.4–5.3σ; Theorem 160 at</w:t>
      </w:r>
      <w:r>
        <w:t xml:space="preserve"> </w:t>
      </w:r>
      <w:r>
        <w:t xml:space="preserve">613×; Ω_Λ = 28/41 in ~2σ tension with DESI DR2. That is exactly the</w:t>
      </w:r>
      <w:r>
        <w:t xml:space="preserve"> </w:t>
      </w:r>
      <w:r>
        <w:t xml:space="preserve">discipline my audit lane runs on, and you got there independently.</w:t>
      </w:r>
    </w:p>
    <w:p>
      <w:pPr>
        <w:pStyle w:val="BodyText"/>
      </w:pPr>
      <w:r>
        <w:t xml:space="preserve">But the registry — the document that calls itself</w:t>
      </w:r>
      <w:r>
        <w:t xml:space="preserve"> </w:t>
      </w:r>
      <w:r>
        <w:t xml:space="preserve">“the authoritative record</w:t>
      </w:r>
      <w:r>
        <w:t xml:space="preserve"> </w:t>
      </w:r>
      <w:r>
        <w:t xml:space="preserve">of proven results”</w:t>
      </w:r>
      <w:r>
        <w:t xml:space="preserve"> </w:t>
      </w:r>
      <w:r>
        <w:t xml:space="preserve">— was frozen on 2026-05-15 and never corrected against</w:t>
      </w:r>
      <w:r>
        <w:t xml:space="preserve"> </w:t>
      </w:r>
      <w:r>
        <w:t xml:space="preserve">note-7. A reader who receives only the registry receives claims your own</w:t>
      </w:r>
      <w:r>
        <w:t xml:space="preserve"> </w:t>
      </w:r>
      <w:r>
        <w:t xml:space="preserve">audit had already killed a week after it froze. Two suggestions, adopted</w:t>
      </w:r>
      <w:r>
        <w:t xml:space="preserve"> </w:t>
      </w:r>
      <w:r>
        <w:t xml:space="preserve">from what worked on my side: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errata section inside the registry itself</w:t>
      </w:r>
      <w:r>
        <w:t xml:space="preserve">, where refutations sit at</w:t>
      </w:r>
      <w:r>
        <w:t xml:space="preserve"> </w:t>
      </w:r>
      <w:r>
        <w:t xml:space="preserve">the same prominence as theorems (your S-4</w:t>
      </w:r>
      <w:r>
        <w:t xml:space="preserve"> </w:t>
      </w:r>
      <w:r>
        <w:t xml:space="preserve">“WRONG”</w:t>
      </w:r>
      <w:r>
        <w:t xml:space="preserve"> </w:t>
      </w:r>
      <w:r>
        <w:t xml:space="preserve">row shows you already</w:t>
      </w:r>
      <w:r>
        <w:t xml:space="preserve"> </w:t>
      </w:r>
      <w:r>
        <w:t xml:space="preserve">believe in this — it just needs to be systematic, and to live where the</w:t>
      </w:r>
      <w:r>
        <w:t xml:space="preserve"> </w:t>
      </w:r>
      <w:r>
        <w:t xml:space="preserve">original claims live).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backport rule</w:t>
      </w:r>
      <w:r>
        <w:t xml:space="preserve">: any downstream falsification (note-7, this report,</w:t>
      </w:r>
      <w:r>
        <w:t xml:space="preserve"> </w:t>
      </w:r>
      <w:r>
        <w:t xml:space="preserve">future tests) must be reflected in the registry within one revision.</w:t>
      </w:r>
    </w:p>
    <w:p>
      <w:pPr>
        <w:pStyle w:val="FirstParagraph"/>
      </w:pPr>
      <w:r>
        <w:t xml:space="preserve">Housekeeping caught in passing: the changelog contains two corrupted rows</w:t>
      </w:r>
      <w:r>
        <w:t xml:space="preserve"> </w:t>
      </w:r>
      <w:r>
        <w:t xml:space="preserve">(dozens of entries concatenated into single lines; versions 3.6–4.3 appear</w:t>
      </w:r>
      <w:r>
        <w:t xml:space="preserve"> </w:t>
      </w:r>
      <w:r>
        <w:t xml:space="preserve">twice); the header still says</w:t>
      </w:r>
      <w:r>
        <w:t xml:space="preserve"> </w:t>
      </w:r>
      <w:r>
        <w:t xml:space="preserve">“Total proven: 153”</w:t>
      </w:r>
      <w:r>
        <w:t xml:space="preserve"> </w:t>
      </w:r>
      <w:r>
        <w:t xml:space="preserve">while the changelog ends</w:t>
      </w:r>
      <w:r>
        <w:t xml:space="preserve"> </w:t>
      </w:r>
      <w:r>
        <w:t xml:space="preserve">at 196; S-4-sign appears twice with conflicting Status (A and B); and rows</w:t>
      </w:r>
      <w:r>
        <w:t xml:space="preserve"> </w:t>
      </w:r>
      <w:r>
        <w:t xml:space="preserve">with Method = Observational / Empirical / Structural sit in sections</w:t>
      </w:r>
      <w:r>
        <w:t xml:space="preserve"> </w:t>
      </w:r>
      <w:r>
        <w:t xml:space="preserve">governed by</w:t>
      </w:r>
      <w:r>
        <w:t xml:space="preserve"> </w:t>
      </w:r>
      <w:r>
        <w:t xml:space="preserve">“Only PROVEN results enter this document”</w:t>
      </w:r>
      <w:r>
        <w:t xml:space="preserve"> </w:t>
      </w:r>
      <w:r>
        <w:t xml:space="preserve">— they deserve their</w:t>
      </w:r>
      <w:r>
        <w:t xml:space="preserve"> </w:t>
      </w:r>
      <w:r>
        <w:t xml:space="preserve">own clearly-labelled section rather than deletion.</w:t>
      </w:r>
    </w:p>
    <w:p>
      <w:pPr>
        <w:pStyle w:val="BodyText"/>
      </w:pPr>
      <w:r>
        <w:t xml:space="preserve">One more structural suggestion: rows like 145 (</w:t>
      </w:r>
      <w:r>
        <w:t xml:space="preserve">“DM idempotent encodes dark</w:t>
      </w:r>
      <w:r>
        <w:t xml:space="preserve"> </w:t>
      </w:r>
      <w:r>
        <w:t xml:space="preserve">energy”</w:t>
      </w:r>
      <w:r>
        <w:t xml:space="preserve">), 151 (</w:t>
      </w:r>
      <w:r>
        <w:t xml:space="preserve">“single polynomial encodes full SM”</w:t>
      </w:r>
      <w:r>
        <w:t xml:space="preserve">) and 152–160 carry</w:t>
      </w:r>
      <w:r>
        <w:t xml:space="preserve"> </w:t>
      </w:r>
      <w:r>
        <w:t xml:space="preserve">Status A — unconditional mathematics — for statements whose arithmetic is</w:t>
      </w:r>
      <w:r>
        <w:t xml:space="preserve"> </w:t>
      </w:r>
      <w:r>
        <w:t xml:space="preserve">true but whose</w:t>
      </w:r>
      <w:r>
        <w:t xml:space="preserve"> </w:t>
      </w:r>
      <w:r>
        <w:rPr>
          <w:i/>
          <w:iCs/>
        </w:rPr>
        <w:t xml:space="preserve">encoding claims</w:t>
      </w:r>
      <w:r>
        <w:t xml:space="preserve"> </w:t>
      </w:r>
      <w:r>
        <w:t xml:space="preserve">are physical identifications. Splitting</w:t>
      </w:r>
      <w:r>
        <w:t xml:space="preserve"> </w:t>
      </w:r>
      <w:r>
        <w:t xml:space="preserve">each such row into</w:t>
      </w:r>
      <w:r>
        <w:t xml:space="preserve"> </w:t>
      </w:r>
      <w:r>
        <w:t xml:space="preserve">“the mathematical fact (A)”</w:t>
      </w:r>
      <w:r>
        <w:t xml:space="preserve"> </w:t>
      </w:r>
      <w:r>
        <w:t xml:space="preserve">and</w:t>
      </w:r>
      <w:r>
        <w:t xml:space="preserve"> </w:t>
      </w:r>
      <w:r>
        <w:t xml:space="preserve">“the identification (B,</w:t>
      </w:r>
      <w:r>
        <w:t xml:space="preserve"> </w:t>
      </w:r>
      <w:r>
        <w:t xml:space="preserve">or conjecture)”</w:t>
      </w:r>
      <w:r>
        <w:t xml:space="preserve"> </w:t>
      </w:r>
      <w:r>
        <w:t xml:space="preserve">would make the registry’s genuinely unconditional core —</w:t>
      </w:r>
      <w:r>
        <w:t xml:space="preserve"> </w:t>
      </w:r>
      <w:r>
        <w:t xml:space="preserve">which is large and solid — stand out cleanly.</w:t>
      </w:r>
    </w:p>
    <w:p>
      <w:r>
        <w:pict>
          <v:rect style="width:0;height:1.5pt" o:hralign="center" o:hrstd="t" o:hr="t"/>
        </w:pict>
      </w:r>
    </w:p>
    <w:bookmarkEnd w:id="11"/>
    <w:bookmarkStart w:id="12" w:name="on-the-bridge-numbers-briefly"/>
    <w:p>
      <w:pPr>
        <w:pStyle w:val="Heading2"/>
      </w:pPr>
      <w:r>
        <w:t xml:space="preserve">4. On the bridge numbers (briefly)</w:t>
      </w:r>
    </w:p>
    <w:p>
      <w:pPr>
        <w:pStyle w:val="FirstParagraph"/>
      </w:pPr>
      <w:r>
        <w:t xml:space="preserve">My audit reached the same verdict from both directions on the famous</w:t>
      </w:r>
      <w:r>
        <w:t xml:space="preserve"> </w:t>
      </w:r>
      <w:r>
        <w:t xml:space="preserve">matches, so recording it once here: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4/3</w:t>
      </w:r>
      <w:r>
        <w:t xml:space="preserve">: dim(χ₈)/dim(χ₆) = 4/3 exactly — and my 4/3 entanglement</w:t>
      </w:r>
      <w:r>
        <w:t xml:space="preserve"> </w:t>
      </w:r>
      <w:r>
        <w:t xml:space="preserve">threshold, and the crystal’s antichain homomesy 4/3, are true statements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three different objects</w:t>
      </w:r>
      <w:r>
        <w:t xml:space="preserve">. Small fractions have a high coincidence</w:t>
      </w:r>
      <w:r>
        <w:t xml:space="preserve"> </w:t>
      </w:r>
      <w:r>
        <w:t xml:space="preserve">base rate; the bridge needs a functor, not a fraction (your own</w:t>
      </w:r>
      <w:r>
        <w:t xml:space="preserve"> </w:t>
      </w:r>
      <w:r>
        <w:t xml:space="preserve">“Bridge”</w:t>
      </w:r>
      <w:r>
        <w:t xml:space="preserve"> </w:t>
      </w:r>
      <w:r>
        <w:t xml:space="preserve">conjecture row says exactly this:</w:t>
      </w:r>
      <w:r>
        <w:t xml:space="preserve"> </w:t>
      </w:r>
      <w:r>
        <w:t xml:space="preserve">“explicit functor missing”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Ω_Λ = 28/41</w:t>
      </w:r>
      <w:r>
        <w:t xml:space="preserve"> </w:t>
      </w:r>
      <w:r>
        <w:t xml:space="preserve">appears in both corpora with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derivations.</w:t>
      </w:r>
      <w:r>
        <w:t xml:space="preserve"> </w:t>
      </w:r>
      <w:r>
        <w:t xml:space="preserve">Two grammars hitting one target is coverage, not confirmation — and</w:t>
      </w:r>
      <w:r>
        <w:t xml:space="preserve"> </w:t>
      </w:r>
      <w:r>
        <w:t xml:space="preserve">note-7’s DESI update weakens the target itself.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π²/27</w:t>
      </w:r>
      <w:r>
        <w:t xml:space="preserve"> </w:t>
      </w:r>
      <w:r>
        <w:t xml:space="preserve">likewise does double duty in both corpora; on my side the audit</w:t>
      </w:r>
      <w:r>
        <w:t xml:space="preserve"> </w:t>
      </w:r>
      <w:r>
        <w:t xml:space="preserve">refuted</w:t>
      </w:r>
      <w:r>
        <w:t xml:space="preserve"> </w:t>
      </w:r>
      <w:r>
        <w:t xml:space="preserve">“π²/27 = sin²θ_W”</w:t>
      </w:r>
      <w:r>
        <w:t xml:space="preserve"> </w:t>
      </w:r>
      <w:r>
        <w:t xml:space="preserve">as an equality.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Klein-quartic/Hecke bridge</w:t>
      </w:r>
      <w:r>
        <w:t xml:space="preserve"> </w:t>
      </w:r>
      <w:r>
        <w:t xml:space="preserve">(note-7 §5.5) is real and beautiful</w:t>
      </w:r>
      <w:r>
        <w:t xml:space="preserve"> </w:t>
      </w:r>
      <w:r>
        <w:t xml:space="preserve">mathematics — and classical (Hecke 1928, Elkies 1999). Your own phrasing</w:t>
      </w:r>
      <w:r>
        <w:t xml:space="preserve"> </w:t>
      </w:r>
      <w:r>
        <w:t xml:space="preserve">is the right one:</w:t>
      </w:r>
      <w:r>
        <w:t xml:space="preserve"> </w:t>
      </w:r>
      <w:r>
        <w:t xml:space="preserve">“interpretation, not derivation.”</w:t>
      </w:r>
    </w:p>
    <w:p>
      <w:pPr>
        <w:pStyle w:val="FirstParagraph"/>
      </w:pPr>
      <w:r>
        <w:t xml:space="preserve">The meta-finding after auditing both corpora end to end: in every case where</w:t>
      </w:r>
      <w:r>
        <w:t xml:space="preserve"> </w:t>
      </w:r>
      <w:r>
        <w:t xml:space="preserve">a controlled test was possible,</w:t>
      </w:r>
      <w:r>
        <w:t xml:space="preserve"> </w:t>
      </w:r>
      <w:r>
        <w:t xml:space="preserve">“physics emerges”</w:t>
      </w:r>
      <w:r>
        <w:t xml:space="preserve"> </w:t>
      </w:r>
      <w:r>
        <w:t xml:space="preserve">resolved into the</w:t>
      </w:r>
      <w:r>
        <w:t xml:space="preserve"> </w:t>
      </w:r>
      <w:r>
        <w:t xml:space="preserve">apparatus — and in every case,</w:t>
      </w:r>
      <w:r>
        <w:t xml:space="preserve"> </w:t>
      </w:r>
      <w:r>
        <w:rPr>
          <w:b/>
          <w:bCs/>
        </w:rPr>
        <w:t xml:space="preserve">the underlying finite group theory</w:t>
      </w:r>
      <w:r>
        <w:rPr>
          <w:b/>
          <w:bCs/>
        </w:rPr>
        <w:t xml:space="preserve"> </w:t>
      </w:r>
      <w:r>
        <w:rPr>
          <w:b/>
          <w:bCs/>
        </w:rPr>
        <w:t xml:space="preserve">survived</w:t>
      </w:r>
      <w:r>
        <w:t xml:space="preserve">. On both sides. That shared, verified core (your PSL(2,7)</w:t>
      </w:r>
      <w:r>
        <w:t xml:space="preserve"> </w:t>
      </w:r>
      <w:r>
        <w:t xml:space="preserve">representation ring; my E₆ crystal dynamics) is the honest foundation, and</w:t>
      </w:r>
      <w:r>
        <w:t xml:space="preserve"> </w:t>
      </w:r>
      <w:r>
        <w:t xml:space="preserve">it is not small.</w:t>
      </w:r>
    </w:p>
    <w:p>
      <w:r>
        <w:pict>
          <v:rect style="width:0;height:1.5pt" o:hralign="center" o:hrstd="t" o:hr="t"/>
        </w:pict>
      </w:r>
    </w:p>
    <w:bookmarkEnd w:id="12"/>
    <w:bookmarkStart w:id="13" w:name="enclosed"/>
    <w:p>
      <w:pPr>
        <w:pStyle w:val="Heading2"/>
      </w:pPr>
      <w:r>
        <w:t xml:space="preserve">5. Enclosed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verify_tsc_scarcat.py</w:t>
      </w:r>
      <w:r>
        <w:t xml:space="preserve"> </w:t>
      </w:r>
      <w:r>
        <w:t xml:space="preserve">— the full verifier (Python 3 + numpy; 48 checks;</w:t>
      </w:r>
      <w:r>
        <w:t xml:space="preserve"> </w:t>
      </w:r>
      <w:r>
        <w:t xml:space="preserve">the 2 designed FAILs are C1 and C2 above). Every claim in this report is</w:t>
      </w:r>
      <w:r>
        <w:t xml:space="preserve"> </w:t>
      </w:r>
      <w:r>
        <w:t xml:space="preserve">a line of its output.</w:t>
      </w:r>
    </w:p>
    <w:p>
      <w:pPr>
        <w:pStyle w:val="Compact"/>
        <w:numPr>
          <w:ilvl w:val="0"/>
          <w:numId w:val="1004"/>
        </w:numPr>
      </w:pPr>
      <w:r>
        <w:t xml:space="preserve">On request: the complete audit thread (</w:t>
      </w:r>
      <w:r>
        <w:rPr>
          <w:rStyle w:val="VerbatimChar"/>
        </w:rPr>
        <w:t xml:space="preserve">TSC_SCARCAT.md</w:t>
      </w:r>
      <w:r>
        <w:t xml:space="preserve">) and the whole</w:t>
      </w:r>
      <w:r>
        <w:t xml:space="preserve"> </w:t>
      </w:r>
      <w:r>
        <w:t xml:space="preserve">Corpus_triage lane, including the eighteen threads that did to my corpus</w:t>
      </w:r>
      <w:r>
        <w:t xml:space="preserve"> </w:t>
      </w:r>
      <w:r>
        <w:t xml:space="preserve">what this report does to the registry. The lane’s founding rule, which I</w:t>
      </w:r>
      <w:r>
        <w:t xml:space="preserve"> </w:t>
      </w:r>
      <w:r>
        <w:t xml:space="preserve">offer as the joint standard for the merged registry:</w:t>
      </w:r>
      <w:r>
        <w:t xml:space="preserve"> </w:t>
      </w:r>
      <w:r>
        <w:rPr>
          <w:i/>
          <w:iCs/>
        </w:rPr>
        <w:t xml:space="preserve">compute, never</w:t>
      </w:r>
      <w:r>
        <w:rPr>
          <w:i/>
          <w:iCs/>
        </w:rPr>
        <w:t xml:space="preserve"> </w:t>
      </w:r>
      <w:r>
        <w:rPr>
          <w:i/>
          <w:iCs/>
        </w:rPr>
        <w:t xml:space="preserve">assert; refutations at equal prominence; identifications split from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mathematics; every decimal match is a fit until proven derived.</w:t>
      </w:r>
    </w:p>
    <w:p>
      <w:pPr>
        <w:pStyle w:val="FirstParagraph"/>
      </w:pPr>
      <w:r>
        <w:t xml:space="preserve">With respect for the work — the core holds, and that is rarer than it</w:t>
      </w:r>
      <w:r>
        <w:t xml:space="preserve"> </w:t>
      </w:r>
      <w:r>
        <w:t xml:space="preserve">sounds.</w:t>
      </w:r>
    </w:p>
    <w:p>
      <w:pPr>
        <w:pStyle w:val="BodyText"/>
      </w:pPr>
      <w:r>
        <w:t xml:space="preserve">Selina</w:t>
      </w:r>
      <w:r>
        <w:t xml:space="preserve"> </w:t>
      </w:r>
      <w:r>
        <w:t xml:space="preserve">(prepared with Claude, Anthropic Fable 5, 2026-08-30)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Scar-Cat Master Registry — Independent Verification Report</dc:title>
  <dc:creator>Selina Stenberg, with Claude (Anthropic Fable 5)</dc:creator>
  <cp:keywords/>
  <dcterms:created xsi:type="dcterms:W3CDTF">2026-08-30T05:47:03Z</dcterms:created>
  <dcterms:modified xsi:type="dcterms:W3CDTF">2026-08-30T05:47:03Z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  <property fmtid="{D5CDD505-2E9C-101B-9397-08002B2CF9AE}" pid="3" name="subtitle">
    <vt:lpwstr>An outside re-computation of the PSL(2,7) core, with five corrections and one new experimental comparison</vt:lpwstr>
  </property>
</Properties>
</file>