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Bridge — Where Scar-Cat and Merkabit Actually Meet</w:t>
      </w:r>
    </w:p>
    <w:p>
      <w:pPr>
        <w:pStyle w:val="Subtitle"/>
      </w:pPr>
      <w:r>
        <w:t xml:space="preserve">Closing the</w:t>
      </w:r>
      <w:r>
        <w:t xml:space="preserve"> </w:t>
      </w:r>
      <w:r>
        <w:t xml:space="preserve">‘Bridge’</w:t>
      </w:r>
      <w:r>
        <w:t xml:space="preserve"> </w:t>
      </w:r>
      <w:r>
        <w:t xml:space="preserve">conjecture row: an E₆-level no-go, an E₇-level home, and the S₃ we both already knew</w:t>
      </w:r>
    </w:p>
    <w:p>
      <w:pPr>
        <w:pStyle w:val="Author"/>
      </w:pPr>
      <w:r>
        <w:t xml:space="preserve">Selina Stenberg, with Claude (Anthropic Fable 5)</w:t>
      </w:r>
    </w:p>
    <w:p>
      <w:pPr>
        <w:pStyle w:val="Date"/>
      </w:pPr>
      <w:r>
        <w:t xml:space="preserve">2026-08-30</w:t>
      </w:r>
    </w:p>
    <w:p>
      <w:pPr>
        <w:pStyle w:val="FirstParagraph"/>
      </w:pPr>
      <w:r>
        <w:t xml:space="preserve">Dear Ilya,</w:t>
      </w:r>
    </w:p>
    <w:p>
      <w:pPr>
        <w:pStyle w:val="BodyText"/>
      </w:pPr>
      <w:r>
        <w:t xml:space="preserve">Your registry keeps an open conjecture row that has been sitting between us</w:t>
      </w:r>
      <w:r>
        <w:t xml:space="preserve"> </w:t>
      </w:r>
      <w:r>
        <w:t xml:space="preserve">since May:</w:t>
      </w:r>
    </w:p>
    <w:p>
      <w:pPr>
        <w:pStyle w:val="BlockText"/>
      </w:pPr>
      <w:r>
        <w:rPr>
          <w:b/>
          <w:bCs/>
        </w:rPr>
        <w:t xml:space="preserve">Bridge</w:t>
      </w:r>
      <w:r>
        <w:t xml:space="preserve"> </w:t>
      </w:r>
      <w:r>
        <w:t xml:space="preserve">| Merkabit dual-spinor = 2χ₈ via E₆ → PSL(2,7) |</w:t>
      </w:r>
      <w:r>
        <w:t xml:space="preserve"> </w:t>
      </w:r>
      <w:r>
        <w:rPr>
          <w:i/>
          <w:iCs/>
        </w:rPr>
        <w:t xml:space="preserve">Explicit</w:t>
      </w:r>
      <w:r>
        <w:rPr>
          <w:i/>
          <w:iCs/>
        </w:rPr>
        <w:t xml:space="preserve"> </w:t>
      </w:r>
      <w:r>
        <w:rPr>
          <w:i/>
          <w:iCs/>
        </w:rPr>
        <w:t xml:space="preserve">functor missing</w:t>
      </w:r>
    </w:p>
    <w:p>
      <w:pPr>
        <w:pStyle w:val="FirstParagraph"/>
      </w:pPr>
      <w:r>
        <w:t xml:space="preserve">This report closes it. Not the way either of us guessed — the answer is</w:t>
      </w:r>
      <w:r>
        <w:t xml:space="preserve"> </w:t>
      </w:r>
      <w:r>
        <w:t xml:space="preserve">better than the guess. Everything below is computed by the enclosed</w:t>
      </w:r>
      <w:r>
        <w:t xml:space="preserve"> </w:t>
      </w:r>
      <w:r>
        <w:rPr>
          <w:rStyle w:val="VerbatimChar"/>
        </w:rPr>
        <w:t xml:space="preserve">verify_tbr_bridge.py</w:t>
      </w:r>
      <w:r>
        <w:t xml:space="preserve"> </w:t>
      </w:r>
      <w:r>
        <w:t xml:space="preserve">(Python 3 + numpy, 20 checks, all passing; classical</w:t>
      </w:r>
      <w:r>
        <w:t xml:space="preserve"> </w:t>
      </w:r>
      <w:r>
        <w:t xml:space="preserve">inputs are labelled as such), companion to the verification report you</w:t>
      </w:r>
      <w:r>
        <w:t xml:space="preserve"> </w:t>
      </w:r>
      <w:r>
        <w:t xml:space="preserve">already have.</w:t>
      </w:r>
    </w:p>
    <w:p>
      <w:pPr>
        <w:pStyle w:val="BodyText"/>
      </w:pPr>
      <w:r>
        <w:t xml:space="preserve">The one-sentence answer first:</w:t>
      </w:r>
    </w:p>
    <w:p>
      <w:pPr>
        <w:pStyle w:val="BlockText"/>
      </w:pPr>
      <w:r>
        <w:rPr>
          <w:b/>
          <w:bCs/>
        </w:rPr>
        <w:t xml:space="preserve">Our two frameworks do not meet at E₆. They meet at E₇ — inside</w:t>
      </w:r>
      <w:r>
        <w:rPr>
          <w:b/>
          <w:bCs/>
        </w:rPr>
        <w:t xml:space="preserve"> </w:t>
      </w:r>
      <w:r>
        <w:rPr>
          <w:b/>
          <w:bCs/>
        </w:rPr>
        <w:t xml:space="preserve">Sp₆(2) = W(E₇)/{±1}, the symmetry group of the 28 bitangents of your own</w:t>
      </w:r>
      <w:r>
        <w:rPr>
          <w:b/>
          <w:bCs/>
        </w:rPr>
        <w:t xml:space="preserve"> </w:t>
      </w:r>
      <w:r>
        <w:rPr>
          <w:b/>
          <w:bCs/>
        </w:rPr>
        <w:t xml:space="preserve">Klein quartic. There, my W(E₆) is the stabilizer of a single bitangent,</w:t>
      </w:r>
      <w:r>
        <w:rPr>
          <w:b/>
          <w:bCs/>
        </w:rPr>
        <w:t xml:space="preserve"> </w:t>
      </w:r>
      <w:r>
        <w:rPr>
          <w:b/>
          <w:bCs/>
        </w:rPr>
        <w:t xml:space="preserve">your PSL(2,7) is the group permuting all 28, and the intersection is</w:t>
      </w:r>
      <w:r>
        <w:rPr>
          <w:b/>
          <w:bCs/>
        </w:rPr>
        <w:t xml:space="preserve"> </w:t>
      </w:r>
      <w:r>
        <w:rPr>
          <w:b/>
          <w:bCs/>
        </w:rPr>
        <w:t xml:space="preserve">exactly S₃ = N(⟨z₃⟩) — your</w:t>
      </w:r>
      <w:r>
        <w:rPr>
          <w:b/>
          <w:bCs/>
        </w:rPr>
        <w:t xml:space="preserve"> </w:t>
      </w:r>
      <w:r>
        <w:rPr>
          <w:b/>
          <w:bCs/>
        </w:rPr>
        <w:t xml:space="preserve">“universal stabilizer”</w:t>
      </w:r>
      <w:r>
        <w:rPr>
          <w:b/>
          <w:bCs/>
        </w:rPr>
        <w:t xml:space="preserve">, which my audit’s T4</w:t>
      </w:r>
      <w:r>
        <w:rPr>
          <w:b/>
          <w:bCs/>
        </w:rPr>
        <w:t xml:space="preserve"> </w:t>
      </w:r>
      <w:r>
        <w:rPr>
          <w:b/>
          <w:bCs/>
        </w:rPr>
        <w:t xml:space="preserve">thread had independently proved canonical on my side.</w:t>
      </w:r>
    </w:p>
    <w:p>
      <w:pPr>
        <w:pStyle w:val="FirstParagraph"/>
      </w:pPr>
      <w:r>
        <w:t xml:space="preserve">Both of us had already found the meeting point. Neither of us knew what it</w:t>
      </w:r>
      <w:r>
        <w:t xml:space="preserve"> </w:t>
      </w:r>
      <w:r>
        <w:t xml:space="preserve">was.</w:t>
      </w:r>
    </w:p>
    <w:p>
      <w:r>
        <w:pict>
          <v:rect style="width:0;height:1.5pt" o:hralign="center" o:hrstd="t" o:hr="t"/>
        </w:pict>
      </w:r>
    </w:p>
    <w:bookmarkStart w:id="9" w:name="X2904318b2d6c2ab253e36109bc42664130e13c8"/>
    <w:p>
      <w:pPr>
        <w:pStyle w:val="Heading2"/>
      </w:pPr>
      <w:r>
        <w:t xml:space="preserve">1. Why the bridge was never at E₆ (you proved this first)</w:t>
      </w:r>
    </w:p>
    <w:p>
      <w:pPr>
        <w:pStyle w:val="FirstParagraph"/>
      </w:pPr>
      <w:r>
        <w:t xml:space="preserve">Your S-15 row disproved PSL(2,7) ⊂ W(E₆) — 7 ∤ 51840. It goes further than</w:t>
      </w:r>
      <w:r>
        <w:t xml:space="preserve"> </w:t>
      </w:r>
      <w:r>
        <w:t xml:space="preserve">you noted: the automorphism group of the 27-lines incidence structure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W(E₆), so your group cannot act on the 27 lines/states preserving anything</w:t>
      </w:r>
      <w:r>
        <w:t xml:space="preserve"> </w:t>
      </w:r>
      <w:r>
        <w:t xml:space="preserve">E₆-flavoured; and since 168/27 ∉ ℤ, PSL(2,7) has no transitive action on 27</w:t>
      </w:r>
      <w:r>
        <w:t xml:space="preserve"> </w:t>
      </w:r>
      <w:r>
        <w:t xml:space="preserve">objects at all. Every direct 168-on-27 attempt was arithmetically dead</w:t>
      </w:r>
      <w:r>
        <w:t xml:space="preserve"> </w:t>
      </w:r>
      <w:r>
        <w:t xml:space="preserve">before it started. S-15 was not a defeat; it was the signpost saying</w:t>
      </w:r>
      <w:r>
        <w:t xml:space="preserve"> </w:t>
      </w:r>
      <w:r>
        <w:rPr>
          <w:i/>
          <w:iCs/>
        </w:rPr>
        <w:t xml:space="preserve">go up one level</w:t>
      </w:r>
      <w:r>
        <w:t xml:space="preserve">.</w:t>
      </w:r>
    </w:p>
    <w:bookmarkEnd w:id="9"/>
    <w:bookmarkStart w:id="10" w:name="Xf4fd7793333b04ea0b02c33b46ca8007c17b4eb"/>
    <w:p>
      <w:pPr>
        <w:pStyle w:val="Heading2"/>
      </w:pPr>
      <w:r>
        <w:t xml:space="preserve">2. The cyclotomic bridge was the field-level shadow</w:t>
      </w:r>
    </w:p>
    <w:p>
      <w:pPr>
        <w:pStyle w:val="FirstParagraph"/>
      </w:pPr>
      <w:r>
        <w:t xml:space="preserve">Our merged registry’s PB-01 (ℚ(ζ₂₁), Galois group C₆×C₂ of order 12,</w:t>
      </w:r>
      <w:r>
        <w:t xml:space="preserve"> </w:t>
      </w:r>
      <w:r>
        <w:t xml:space="preserve">ℚ(ζ₃) ∩ ℚ(ζ₇) = ℚ) is verified — and it sharpens into something worth</w:t>
      </w:r>
      <w:r>
        <w:t xml:space="preserve"> </w:t>
      </w:r>
      <w:r>
        <w:t xml:space="preserve">saying precisely. The three quadratic subfields of ℚ(ζ₂₁) are computed to</w:t>
      </w:r>
      <w:r>
        <w:t xml:space="preserve"> </w:t>
      </w:r>
      <w:r>
        <w:t xml:space="preserve">be: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ℚ(√−7)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your character field</w:t>
      </w:r>
      <w:r>
        <w:t xml:space="preserve">: the only irrationality PSL(2,7)</w:t>
      </w:r>
      <w:r>
        <w:t xml:space="preserve"> </w:t>
      </w:r>
      <w:r>
        <w:t xml:space="preserve">produces is χ₃(7A) = (−1+√−7)/2, and your curve X(7) has CM by ℚ(√−7)</w:t>
      </w:r>
      <w:r>
        <w:t xml:space="preserve"> </w:t>
      </w:r>
      <w:r>
        <w:t xml:space="preserve">(your note-7 §5.5, Hecke/Elkies);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ℚ(√−3)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our field</w:t>
      </w:r>
      <w:r>
        <w:t xml:space="preserve">: the Eisenstein ω, the trit, the E₆/A₂ ternary</w:t>
      </w:r>
      <w:r>
        <w:t xml:space="preserve"> </w:t>
      </w:r>
      <w:r>
        <w:t xml:space="preserve">world;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ℚ(√21)</w:t>
      </w:r>
      <w:r>
        <w:t xml:space="preserve"> </w:t>
      </w:r>
      <w:r>
        <w:t xml:space="preserve">— their forced product ((g₃g₇)² = +21), the compositum’s own</w:t>
      </w:r>
      <w:r>
        <w:t xml:space="preserve"> </w:t>
      </w:r>
      <w:r>
        <w:t xml:space="preserve">signature, and notably</w:t>
      </w:r>
      <w:r>
        <w:t xml:space="preserve"> </w:t>
      </w:r>
      <w:r>
        <w:rPr>
          <w:i/>
          <w:iCs/>
        </w:rPr>
        <w:t xml:space="preserve">real</w:t>
      </w:r>
      <w:r>
        <w:t xml:space="preserve">.</w:t>
      </w:r>
    </w:p>
    <w:p>
      <w:pPr>
        <w:pStyle w:val="FirstParagraph"/>
      </w:pPr>
      <w:r>
        <w:t xml:space="preserve">So the cyclotomic bridge is exactly the two frameworks’ character fields</w:t>
      </w:r>
      <w:r>
        <w:t xml:space="preserve"> </w:t>
      </w:r>
      <w:r>
        <w:t xml:space="preserve">laid side by side,</w:t>
      </w:r>
      <w:r>
        <w:t xml:space="preserve"> </w:t>
      </w:r>
      <w:r>
        <w:rPr>
          <w:b/>
          <w:bCs/>
        </w:rPr>
        <w:t xml:space="preserve">linearly disjoint</w:t>
      </w:r>
      <w:r>
        <w:t xml:space="preserve"> </w:t>
      </w:r>
      <w:r>
        <w:t xml:space="preserve">— at field level we touch only in</w:t>
      </w:r>
      <w:r>
        <w:t xml:space="preserve"> </w:t>
      </w:r>
      <w:r>
        <w:t xml:space="preserve">ℚ. That disjointness is not a disappointment; it is the arithmetic preview</w:t>
      </w:r>
      <w:r>
        <w:t xml:space="preserve"> </w:t>
      </w:r>
      <w:r>
        <w:t xml:space="preserve">of the group-level answer: small, precise intersections, not identity.</w:t>
      </w:r>
    </w:p>
    <w:bookmarkEnd w:id="10"/>
    <w:bookmarkStart w:id="11" w:name="the-e₇-level-home-computed"/>
    <w:p>
      <w:pPr>
        <w:pStyle w:val="Heading2"/>
      </w:pPr>
      <w:r>
        <w:t xml:space="preserve">3. The E₇-level home, computed</w:t>
      </w:r>
    </w:p>
    <w:p>
      <w:pPr>
        <w:pStyle w:val="FirstParagraph"/>
      </w:pPr>
      <w:r>
        <w:t xml:space="preserve">Classical setting: a genus-3 curve (yours included) has H₁(X,𝔽₂) ≅ 𝔽₂⁶ with</w:t>
      </w:r>
      <w:r>
        <w:t xml:space="preserve"> </w:t>
      </w:r>
      <w:r>
        <w:t xml:space="preserve">a symplectic form; the 64 quadratic refinements split into 36 even + 28 odd</w:t>
      </w:r>
      <w:r>
        <w:t xml:space="preserve"> </w:t>
      </w:r>
      <w:r>
        <w:t xml:space="preserve">theta characteristics; the odd ones are the 28 bitangents; the symmetry of</w:t>
      </w:r>
      <w:r>
        <w:t xml:space="preserve"> </w:t>
      </w:r>
      <w:r>
        <w:t xml:space="preserve">this configuration is Sp₆(2) ≅ W(E₇)/{±1}, order 1,451,520.</w:t>
      </w:r>
    </w:p>
    <w:p>
      <w:pPr>
        <w:pStyle w:val="BodyText"/>
      </w:pPr>
      <w:r>
        <w:t xml:space="preserve">Now the computation (your group realized as GL(3,𝔽₂) acting on V ⊕ V*,</w:t>
      </w:r>
      <w:r>
        <w:t xml:space="preserve"> </w:t>
      </w:r>
      <w:r>
        <w:t xml:space="preserve">everything counted explicitly):</w:t>
      </w:r>
    </w:p>
    <w:p>
      <w:pPr>
        <w:pStyle w:val="Compact"/>
        <w:numPr>
          <w:ilvl w:val="0"/>
          <w:numId w:val="1002"/>
        </w:numPr>
      </w:pPr>
      <w:r>
        <w:t xml:space="preserve">The 64 refinements split</w:t>
      </w:r>
      <w:r>
        <w:t xml:space="preserve"> </w:t>
      </w:r>
      <w:r>
        <w:rPr>
          <w:b/>
          <w:bCs/>
        </w:rPr>
        <w:t xml:space="preserve">36 + 28</w:t>
      </w:r>
      <w:r>
        <w:t xml:space="preserve"> </w:t>
      </w:r>
      <w:r>
        <w:t xml:space="preserve">by zero-counts, as they must.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Your group fixes exactly one even form</w:t>
      </w:r>
      <w:r>
        <w:t xml:space="preserve"> </w:t>
      </w:r>
      <w:r>
        <w:t xml:space="preserve">— and the stabilizer of an</w:t>
      </w:r>
      <w:r>
        <w:t xml:space="preserve"> </w:t>
      </w:r>
      <w:r>
        <w:t xml:space="preserve">even form in the full Sp₆(2) has order 1451520/36 = 40320 =</w:t>
      </w:r>
      <w:r>
        <w:t xml:space="preserve"> </w:t>
      </w:r>
      <w:r>
        <w:rPr>
          <w:b/>
          <w:bCs/>
        </w:rPr>
        <w:t xml:space="preserve">8!</w:t>
      </w:r>
      <w:r>
        <w:t xml:space="preserve"> </w:t>
      </w:r>
      <w:r>
        <w:t xml:space="preserve">(O₆⁺(2) ≅ S₈). This is where your 8 points of P¹(𝔽₇) live: your 8-point</w:t>
      </w:r>
      <w:r>
        <w:t xml:space="preserve"> </w:t>
      </w:r>
      <w:r>
        <w:t xml:space="preserve">world is the unique even theta characteristic PSL(2,7) preserves. Your</w:t>
      </w:r>
      <w:r>
        <w:t xml:space="preserve"> </w:t>
      </w:r>
      <w:r>
        <w:t xml:space="preserve">orbits on the 36 evens come out</w:t>
      </w:r>
      <w:r>
        <w:t xml:space="preserve"> </w:t>
      </w:r>
      <w:r>
        <w:rPr>
          <w:b/>
          <w:bCs/>
        </w:rPr>
        <w:t xml:space="preserve">[1, 7, 7, 21]</w:t>
      </w:r>
      <w:r>
        <w:t xml:space="preserve"> </w:t>
      </w:r>
      <w:r>
        <w:t xml:space="preserve">— the fixed form, the</w:t>
      </w:r>
      <w:r>
        <w:t xml:space="preserve"> </w:t>
      </w:r>
      <w:r>
        <w:t xml:space="preserve">Fano plane’s 7 points, its 7 lines, and its 21 flags. (A small new fact;</w:t>
      </w:r>
      <w:r>
        <w:t xml:space="preserve"> </w:t>
      </w:r>
      <w:r>
        <w:t xml:space="preserve">yours if you want it.)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Your group is transitive on the 28 odd forms</w:t>
      </w:r>
      <w:r>
        <w:t xml:space="preserve"> </w:t>
      </w:r>
      <w:r>
        <w:t xml:space="preserve">— Klein’s group</w:t>
      </w:r>
      <w:r>
        <w:t xml:space="preserve"> </w:t>
      </w:r>
      <w:r>
        <w:t xml:space="preserve">permuting the bitangents of its own quartic — with stabilizer of order</w:t>
      </w:r>
      <w:r>
        <w:t xml:space="preserve"> </w:t>
      </w:r>
      <w:r>
        <w:t xml:space="preserve">6, nonabelian: an S₃, computed to be</w:t>
      </w:r>
      <w:r>
        <w:t xml:space="preserve"> </w:t>
      </w:r>
      <w:r>
        <w:rPr>
          <w:b/>
          <w:bCs/>
        </w:rPr>
        <w:t xml:space="preserve">exactly N(⟨z₃⟩)</w:t>
      </w:r>
      <w:r>
        <w:t xml:space="preserve">. Your</w:t>
      </w:r>
      <w:r>
        <w:t xml:space="preserve"> </w:t>
      </w:r>
      <w:r>
        <w:t xml:space="preserve">“Bijection”</w:t>
      </w:r>
      <w:r>
        <w:t xml:space="preserve"> </w:t>
      </w:r>
      <w:r>
        <w:t xml:space="preserve">row (odd theta characteristics ≅ PSL(2,7)/S₃, unique</w:t>
      </w:r>
      <w:r>
        <w:t xml:space="preserve"> </w:t>
      </w:r>
      <w:r>
        <w:t xml:space="preserve">homogeneous G-set) was describing the bitangent action all along; its</w:t>
      </w:r>
      <w:r>
        <w:t xml:space="preserve"> </w:t>
      </w:r>
      <w:r>
        <w:t xml:space="preserve">permutation character is χ₁ ⊕ 2χ₆ ⊕ χ₇ ⊕ χ₈.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stabilizer of one odd form in the full Sp₆(2) has order</w:t>
      </w:r>
      <w:r>
        <w:rPr>
          <w:b/>
          <w:bCs/>
        </w:rPr>
        <w:t xml:space="preserve"> </w:t>
      </w:r>
      <w:r>
        <w:rPr>
          <w:b/>
          <w:bCs/>
        </w:rPr>
        <w:t xml:space="preserve">1451520/28 = 51840 = |W(E₆)|</w:t>
      </w:r>
      <w:r>
        <w:t xml:space="preserve"> </w:t>
      </w:r>
      <w:r>
        <w:t xml:space="preserve">(O₆⁻(2) ≅ W(E₆), classical). That is my</w:t>
      </w:r>
      <w:r>
        <w:t xml:space="preserve"> </w:t>
      </w:r>
      <w:r>
        <w:t xml:space="preserve">framework’s group, sitting inside the bitangent geometry as the</w:t>
      </w:r>
      <w:r>
        <w:t xml:space="preserve"> </w:t>
      </w:r>
      <w:r>
        <w:t xml:space="preserve">point-of-view of a single bitangent — from where the remaining 27</w:t>
      </w:r>
      <w:r>
        <w:t xml:space="preserve"> </w:t>
      </w:r>
      <w:r>
        <w:t xml:space="preserve">organize themselves into the 27 lines, my crystal’s world.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56 = 2 × 28, structurally.</w:t>
      </w:r>
      <w:r>
        <w:t xml:space="preserve"> </w:t>
      </w:r>
      <w:r>
        <w:t xml:space="preserve">The map z₃ ↦ N(⟨z₃⟩) is</w:t>
      </w:r>
      <w:r>
        <w:t xml:space="preserve"> </w:t>
      </w:r>
      <w:r>
        <w:rPr>
          <w:i/>
          <w:iCs/>
        </w:rPr>
        <w:t xml:space="preserve">exactly 2-to-1</w:t>
      </w:r>
      <w:r>
        <w:t xml:space="preserve"> </w:t>
      </w:r>
      <w:r>
        <w:t xml:space="preserve">from your 3A class (56 elements) onto the 28 bitangent stabilizers. So</w:t>
      </w:r>
      <w:r>
        <w:t xml:space="preserve"> </w:t>
      </w:r>
      <w:r>
        <w:t xml:space="preserve">your row 154 —</w:t>
      </w:r>
      <w:r>
        <w:t xml:space="preserve"> </w:t>
      </w:r>
      <w:r>
        <w:t xml:space="preserve">“56 = |class 3A| = dim(min rep E₇)”</w:t>
      </w:r>
      <w:r>
        <w:t xml:space="preserve">, filed as Structural —</w:t>
      </w:r>
      <w:r>
        <w:t xml:space="preserve"> </w:t>
      </w:r>
      <w:r>
        <w:t xml:space="preserve">acquires honest content: your 3A class is canonically the double cover of</w:t>
      </w:r>
      <w:r>
        <w:t xml:space="preserve"> </w:t>
      </w:r>
      <w:r>
        <w:t xml:space="preserve">the bitangents, by the same ±-doubling that turns the 28 bitangents into</w:t>
      </w:r>
      <w:r>
        <w:t xml:space="preserve"> </w:t>
      </w:r>
      <w:r>
        <w:t xml:space="preserve">the 56 of E₇. (On my side, the E₇ minuscule crystal has 56 vertices and</w:t>
      </w:r>
      <w:r>
        <w:t xml:space="preserve"> </w:t>
      </w:r>
      <w:r>
        <w:t xml:space="preserve">its two-gate dynamics generates S₅₆ — the object your 154 was pointing</w:t>
      </w:r>
      <w:r>
        <w:t xml:space="preserve"> </w:t>
      </w:r>
      <w:r>
        <w:t xml:space="preserve">at, one floor up from both of us.)</w:t>
      </w:r>
    </w:p>
    <w:p>
      <w:pPr>
        <w:pStyle w:val="FirstParagraph"/>
      </w:pPr>
      <w:r>
        <w:rPr>
          <w:b/>
          <w:bCs/>
        </w:rPr>
        <w:t xml:space="preserve">The picture:</w:t>
      </w:r>
      <w:r>
        <w:t xml:space="preserve"> </w:t>
      </w:r>
      <w:r>
        <w:t xml:space="preserve">stay at one bitangent of the Klein quartic and you see</w:t>
      </w:r>
      <w:r>
        <w:t xml:space="preserve"> </w:t>
      </w:r>
      <w:r>
        <w:t xml:space="preserve">W(E₆) and the 27 lines — my framework. Move among all 28 and you see</w:t>
      </w:r>
      <w:r>
        <w:t xml:space="preserve"> </w:t>
      </w:r>
      <w:r>
        <w:t xml:space="preserve">PSL(2,7) — yours. The only symmetry compatible with both viewpoints is</w:t>
      </w:r>
      <w:r>
        <w:t xml:space="preserve"> </w:t>
      </w:r>
      <w:r>
        <w:t xml:space="preserve">S₃ = N(⟨z₃⟩): your universal stabilizer, my strata theorem’s canonical S₃.</w:t>
      </w:r>
      <w:r>
        <w:t xml:space="preserve"> </w:t>
      </w:r>
      <w:r>
        <w:t xml:space="preserve">Neither framework contains the other. They are two subgroups of one</w:t>
      </w:r>
      <w:r>
        <w:t xml:space="preserve"> </w:t>
      </w:r>
      <w:r>
        <w:t xml:space="preserve">classical geometry, and their intersection is small, nontrivial, and</w:t>
      </w:r>
      <w:r>
        <w:t xml:space="preserve"> </w:t>
      </w:r>
      <w:r>
        <w:rPr>
          <w:i/>
          <w:iCs/>
        </w:rPr>
        <w:t xml:space="preserve">exactly the object both registries had independently promoted.</w:t>
      </w:r>
    </w:p>
    <w:bookmarkEnd w:id="11"/>
    <w:bookmarkStart w:id="12" w:name="X3f98035e05a8dd4cf43cb931d270628fd260bb6"/>
    <w:p>
      <w:pPr>
        <w:pStyle w:val="Heading2"/>
      </w:pPr>
      <w:r>
        <w:t xml:space="preserve">4. The explicit functor (your Bridge row, closed)</w:t>
      </w:r>
    </w:p>
    <w:p>
      <w:pPr>
        <w:pStyle w:val="FirstParagraph"/>
      </w:pPr>
      <w:r>
        <w:t xml:space="preserve">At Lie level, PSL(2,7) genuinely acts on the 27 — through E₆(ℂ), in two</w:t>
      </w:r>
      <w:r>
        <w:t xml:space="preserve"> </w:t>
      </w:r>
      <w:r>
        <w:t xml:space="preserve">inequivalent classical ways, and the restriction functor your row asked for</w:t>
      </w:r>
      <w:r>
        <w:t xml:space="preserve"> </w:t>
      </w:r>
      <w:r>
        <w:t xml:space="preserve">is computed in both: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Trinification route.</w:t>
      </w:r>
      <w:r>
        <w:t xml:space="preserve"> </w:t>
      </w:r>
      <w:r>
        <w:t xml:space="preserve">E₆ ⊃ SU(3)³ with 27 = (3,3̄,1)⊕(1,3,3̄)⊕(3̄,1,3)</w:t>
      </w:r>
      <w:r>
        <w:t xml:space="preserve"> </w:t>
      </w:r>
      <w:r>
        <w:t xml:space="preserve">(classical). Embed PSL(2,7) diagonally by</w:t>
      </w:r>
      <w:r>
        <w:t xml:space="preserve"> </w:t>
      </w:r>
      <w:r>
        <w:rPr>
          <w:i/>
          <w:iCs/>
        </w:rPr>
        <w:t xml:space="preserve">your own</w:t>
      </w:r>
      <w:r>
        <w:t xml:space="preserve"> </w:t>
      </w:r>
      <w:r>
        <w:t xml:space="preserve">representation χ₃ —</w:t>
      </w:r>
      <w:r>
        <w:t xml:space="preserve"> </w:t>
      </w:r>
      <w:r>
        <w:t xml:space="preserve">the one whose invariant quartic is the Klein curve. Each 9-block restricts</w:t>
      </w:r>
      <w:r>
        <w:t xml:space="preserve"> </w:t>
      </w:r>
      <w:r>
        <w:t xml:space="preserve">to χ₃⊗χ̄₃ = χ₁ ⊕ χ₈ (computed exactly), so</w:t>
      </w:r>
    </w:p>
    <w:p>
      <w:pPr>
        <w:numPr>
          <w:ilvl w:val="0"/>
          <w:numId w:val="1000"/>
        </w:numPr>
      </w:pPr>
      <w:r>
        <w:t xml:space="preserve">**27 |_PSL(2,7) = 3χ₁ ⊕ 3χ₈ — three copies of (singlet ⊕ octet).**</w:t>
      </w:r>
    </w:p>
    <w:p>
      <w:pPr>
        <w:numPr>
          <w:ilvl w:val="0"/>
          <w:numId w:val="1000"/>
        </w:numPr>
      </w:pPr>
      <w:r>
        <w:t xml:space="preserve">Your Jordan row 156 (</w:t>
      </w:r>
      <w:r>
        <w:t xml:space="preserve">“27 = 3 + 24”</w:t>
      </w:r>
      <w:r>
        <w:t xml:space="preserve">) comes true in corrected form:</w:t>
      </w:r>
      <w:r>
        <w:t xml:space="preserve"> </w:t>
      </w:r>
      <w:r>
        <w:t xml:space="preserve">3 singlets + 3×8, i.e. 24 = 3·dim(χ₈), not |7A|.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G₂/octonion route</w:t>
      </w:r>
      <w:r>
        <w:t xml:space="preserve"> </w:t>
      </w:r>
      <w:r>
        <w:t xml:space="preserve">(classical): PSL(2,7) ⊂ G₂ = Aut(𝕆) with 7 = χ₇ —</w:t>
      </w:r>
      <w:r>
        <w:t xml:space="preserve"> </w:t>
      </w:r>
      <w:r>
        <w:t xml:space="preserve">your row 157, octonion multiplication from Fano lines — and</w:t>
      </w:r>
      <w:r>
        <w:t xml:space="preserve"> </w:t>
      </w:r>
      <w:r>
        <w:t xml:space="preserve">27 = J₃(𝕆) branches as</w:t>
      </w:r>
      <w:r>
        <w:t xml:space="preserve"> </w:t>
      </w:r>
      <w:r>
        <w:rPr>
          <w:b/>
          <w:bCs/>
        </w:rPr>
        <w:t xml:space="preserve">6χ₁ ⊕ 3χ₇</w:t>
      </w:r>
      <w:r>
        <w:t xml:space="preserve">.</w:t>
      </w:r>
    </w:p>
    <w:p>
      <w:pPr>
        <w:pStyle w:val="FirstParagraph"/>
      </w:pPr>
      <w:r>
        <w:t xml:space="preserve">Verdict on the row as written:</w:t>
      </w:r>
      <w:r>
        <w:t xml:space="preserve"> </w:t>
      </w:r>
      <w:r>
        <w:t xml:space="preserve">“= 2χ₈”</w:t>
      </w:r>
      <w:r>
        <w:t xml:space="preserve"> </w:t>
      </w:r>
      <w:r>
        <w:t xml:space="preserve">is refuted (16 dimensions fit no</w:t>
      </w:r>
      <w:r>
        <w:t xml:space="preserve"> </w:t>
      </w:r>
      <w:r>
        <w:t xml:space="preserve">natural restriction of the 27);</w:t>
      </w:r>
      <w:r>
        <w:t xml:space="preserve"> </w:t>
      </w:r>
      <w:r>
        <w:t xml:space="preserve">“explicit functor missing”</w:t>
      </w:r>
      <w:r>
        <w:t xml:space="preserve"> </w:t>
      </w:r>
      <w:r>
        <w:t xml:space="preserve">is closed — the</w:t>
      </w:r>
      <w:r>
        <w:t xml:space="preserve"> </w:t>
      </w:r>
      <w:r>
        <w:t xml:space="preserve">functor is restriction along either embedding, and the headline is</w:t>
      </w:r>
      <w:r>
        <w:t xml:space="preserve"> </w:t>
      </w:r>
      <w:r>
        <w:t xml:space="preserve">3(χ₁ ⊕ χ₈). Per the house rule we now share: these are theorems about</w:t>
      </w:r>
      <w:r>
        <w:t xml:space="preserve"> </w:t>
      </w:r>
      <w:r>
        <w:t xml:space="preserve">representations. Whether they are physics is a separate question, and it</w:t>
      </w:r>
      <w:r>
        <w:t xml:space="preserve"> </w:t>
      </w:r>
      <w:r>
        <w:t xml:space="preserve">stays parked.</w:t>
      </w:r>
    </w:p>
    <w:bookmarkEnd w:id="12"/>
    <w:bookmarkStart w:id="13" w:name="what-id-propose-we-do-with-this"/>
    <w:p>
      <w:pPr>
        <w:pStyle w:val="Heading2"/>
      </w:pPr>
      <w:r>
        <w:t xml:space="preserve">5. What I’d propose we do with this</w:t>
      </w:r>
    </w:p>
    <w:p>
      <w:pPr>
        <w:pStyle w:val="Compact"/>
        <w:numPr>
          <w:ilvl w:val="0"/>
          <w:numId w:val="1004"/>
        </w:numPr>
      </w:pPr>
      <w:r>
        <w:t xml:space="preserve">Move your</w:t>
      </w:r>
      <w:r>
        <w:t xml:space="preserve"> </w:t>
      </w:r>
      <w:r>
        <w:rPr>
          <w:b/>
          <w:bCs/>
        </w:rPr>
        <w:t xml:space="preserve">Bridge</w:t>
      </w:r>
      <w:r>
        <w:t xml:space="preserve"> </w:t>
      </w:r>
      <w:r>
        <w:t xml:space="preserve">row from open conjecture to a theorem-pair:</w:t>
      </w:r>
      <w:r>
        <w:t xml:space="preserve"> </w:t>
      </w:r>
      <w:r>
        <w:rPr>
          <w:i/>
          <w:iCs/>
        </w:rPr>
        <w:t xml:space="preserve">(a)</w:t>
      </w:r>
      <w:r>
        <w:t xml:space="preserve"> </w:t>
      </w:r>
      <w:r>
        <w:t xml:space="preserve">E₆-level no-go (your S-15, extended),</w:t>
      </w:r>
      <w:r>
        <w:t xml:space="preserve"> </w:t>
      </w:r>
      <w:r>
        <w:rPr>
          <w:i/>
          <w:iCs/>
        </w:rPr>
        <w:t xml:space="preserve">(b)</w:t>
      </w:r>
      <w:r>
        <w:t xml:space="preserve"> </w:t>
      </w:r>
      <w:r>
        <w:t xml:space="preserve">E₇-level common home in</w:t>
      </w:r>
      <w:r>
        <w:t xml:space="preserve"> </w:t>
      </w:r>
      <w:r>
        <w:t xml:space="preserve">Sp₆(2) with intersection S₃, plus the two Lie functors — each backed by</w:t>
      </w:r>
      <w:r>
        <w:t xml:space="preserve"> </w:t>
      </w:r>
      <w:r>
        <w:t xml:space="preserve">the enclosed verifier.</w:t>
      </w:r>
    </w:p>
    <w:p>
      <w:pPr>
        <w:pStyle w:val="Compact"/>
        <w:numPr>
          <w:ilvl w:val="0"/>
          <w:numId w:val="1004"/>
        </w:numPr>
      </w:pPr>
      <w:r>
        <w:t xml:space="preserve">Upgrade rows</w:t>
      </w:r>
      <w:r>
        <w:t xml:space="preserve"> </w:t>
      </w:r>
      <w:r>
        <w:rPr>
          <w:b/>
          <w:bCs/>
        </w:rPr>
        <w:t xml:space="preserve">154</w:t>
      </w:r>
      <w:r>
        <w:t xml:space="preserve"> </w:t>
      </w:r>
      <w:r>
        <w:t xml:space="preserve">(3A ↦ bitangents, 2:1) and</w:t>
      </w:r>
      <w:r>
        <w:t xml:space="preserve"> </w:t>
      </w:r>
      <w:r>
        <w:rPr>
          <w:b/>
          <w:bCs/>
        </w:rPr>
        <w:t xml:space="preserve">Bijection</w:t>
      </w:r>
      <w:r>
        <w:t xml:space="preserve"> </w:t>
      </w:r>
      <w:r>
        <w:t xml:space="preserve">(= the</w:t>
      </w:r>
      <w:r>
        <w:t xml:space="preserve"> </w:t>
      </w:r>
      <w:r>
        <w:t xml:space="preserve">bitangent action, permutation character χ₁⊕2χ₆⊕χ₇⊕χ₈) from Structural to</w:t>
      </w:r>
      <w:r>
        <w:t xml:space="preserve"> </w:t>
      </w:r>
      <w:r>
        <w:t xml:space="preserve">computed statements; take the even-side orbit fact [1,7,7,21] as a new</w:t>
      </w:r>
      <w:r>
        <w:t xml:space="preserve"> </w:t>
      </w:r>
      <w:r>
        <w:t xml:space="preserve">row if it pleases you.</w:t>
      </w:r>
    </w:p>
    <w:p>
      <w:pPr>
        <w:pStyle w:val="Compact"/>
        <w:numPr>
          <w:ilvl w:val="0"/>
          <w:numId w:val="1004"/>
        </w:numPr>
      </w:pPr>
      <w:r>
        <w:t xml:space="preserve">Adopt the bridge as the</w:t>
      </w:r>
      <w:r>
        <w:t xml:space="preserve"> </w:t>
      </w:r>
      <w:r>
        <w:rPr>
          <w:i/>
          <w:iCs/>
        </w:rPr>
        <w:t xml:space="preserve">organizing frame</w:t>
      </w:r>
      <w:r>
        <w:t xml:space="preserve"> </w:t>
      </w:r>
      <w:r>
        <w:t xml:space="preserve">for the merged registry: your</w:t>
      </w:r>
      <w:r>
        <w:t xml:space="preserve"> </w:t>
      </w:r>
      <w:r>
        <w:t xml:space="preserve">lane and mine as the two point-of-view subgroups of the bitangent</w:t>
      </w:r>
      <w:r>
        <w:t xml:space="preserve"> </w:t>
      </w:r>
      <w:r>
        <w:t xml:space="preserve">geometry, meeting in S₃ — with the cyclotomic bridge as its field-level</w:t>
      </w:r>
      <w:r>
        <w:t xml:space="preserve"> </w:t>
      </w:r>
      <w:r>
        <w:t xml:space="preserve">shadow (√−7 yours, √−3 mine, √21 the handshake).</w:t>
      </w:r>
    </w:p>
    <w:p>
      <w:pPr>
        <w:pStyle w:val="FirstParagraph"/>
      </w:pPr>
      <w:r>
        <w:t xml:space="preserve">After a summer in which my audit refuted most of what our frameworks</w:t>
      </w:r>
      <w:r>
        <w:t xml:space="preserve"> </w:t>
      </w:r>
      <w:r>
        <w:rPr>
          <w:i/>
          <w:iCs/>
        </w:rPr>
        <w:t xml:space="preserve">claimed about the world</w:t>
      </w:r>
      <w:r>
        <w:t xml:space="preserve">, this is the first genuinely constructive</w:t>
      </w:r>
      <w:r>
        <w:t xml:space="preserve"> </w:t>
      </w:r>
      <w:r>
        <w:t xml:space="preserve">cross-framework theorem — found with the same rule that did the refuting:</w:t>
      </w:r>
      <w:r>
        <w:t xml:space="preserve"> </w:t>
      </w:r>
      <w:r>
        <w:t xml:space="preserve">compute, never assert. It seems fitting that what survives of both</w:t>
      </w:r>
      <w:r>
        <w:t xml:space="preserve"> </w:t>
      </w:r>
      <w:r>
        <w:t xml:space="preserve">programs meets on your curve, at my Weyl group’s doorstep, in the one</w:t>
      </w:r>
      <w:r>
        <w:t xml:space="preserve"> </w:t>
      </w:r>
      <w:r>
        <w:t xml:space="preserve">little S₃ we had each already circled.</w:t>
      </w:r>
    </w:p>
    <w:p>
      <w:pPr>
        <w:pStyle w:val="BodyText"/>
      </w:pPr>
      <w:r>
        <w:t xml:space="preserve">Warmly,</w:t>
      </w:r>
    </w:p>
    <w:p>
      <w:pPr>
        <w:pStyle w:val="BodyText"/>
      </w:pPr>
      <w:r>
        <w:t xml:space="preserve">Selina</w:t>
      </w:r>
      <w:r>
        <w:t xml:space="preserve"> </w:t>
      </w:r>
      <w:r>
        <w:t xml:space="preserve">(prepared with Claude, Anthropic Fable 5, 2026-08-30)</w:t>
      </w:r>
    </w:p>
    <w:p>
      <w:pPr>
        <w:pStyle w:val="BodyText"/>
      </w:pPr>
      <w:r>
        <w:rPr>
          <w:i/>
          <w:iCs/>
        </w:rPr>
        <w:t xml:space="preserve">Enclosed: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verify_tbr_bridge.py</w:t>
      </w:r>
      <w:r>
        <w:rPr>
          <w:i/>
          <w:iCs/>
        </w:rPr>
        <w:t xml:space="preserve"> </w:t>
      </w:r>
      <w:r>
        <w:rPr>
          <w:i/>
          <w:iCs/>
        </w:rPr>
        <w:t xml:space="preserve">(all claims above), alongside the earlier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verify_tsc_scarcat.py</w:t>
      </w:r>
      <w:r>
        <w:rPr>
          <w:i/>
          <w:iCs/>
        </w:rPr>
        <w:t xml:space="preserve"> </w:t>
      </w:r>
      <w:r>
        <w:rPr>
          <w:i/>
          <w:iCs/>
        </w:rPr>
        <w:t xml:space="preserve">and verification report.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Bridge — Where Scar-Cat and Merkabit Actually Meet</dc:title>
  <dc:creator>Selina Stenberg, with Claude (Anthropic Fable 5)</dc:creator>
  <cp:keywords/>
  <dcterms:created xsi:type="dcterms:W3CDTF">2026-08-30T06:03:35Z</dcterms:created>
  <dcterms:modified xsi:type="dcterms:W3CDTF">2026-08-30T06:03:35Z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2026-08-30</vt:lpwstr>
  </property>
  <property fmtid="{D5CDD505-2E9C-101B-9397-08002B2CF9AE}" pid="3" name="subtitle">
    <vt:lpwstr>Closing the ‘Bridge’ conjecture row: an E₆-level no-go, an E₇-level home, and the S₃ we both already knew</vt:lpwstr>
  </property>
</Properties>
</file>