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Two datasets were used: “intihar sayisi ve kaba intihar hizi” and “temel olumluluk gostergeleri”. The infant mortality and suicide numbers between the years 2009-2022 were investigated.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methodology is simple. Using only a single html file and svg elements, the hard-coded values were plotted. First, an svg object of width 1120 and height 500 px were created. Inside, a title is placed as a &lt;text&gt; object by specifying its `x` and `y` coordinates. Then the axes were defined using &lt;line&gt; objects. The `stroke` property controls the color, and a line is drawn using `x1`, `x2`, `y1`, and `y2`. The y-axes labels were created manually using again &lt;text&gt; objects with `text-anchor` as `end`. In order to create the x-axis labels, a dynamic approach was employed using the &lt;script&gt; tag and simple javascript. Inside a for loop, multiple &lt;text&gt; objects were created with a regular offset from each other.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similar approach was used to plot the bars. Using code, each &lt;rect&gt; object was placed in regular intervals, and their height was set by scaling according to the maximum value of the graph. The equation or scaling is: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scaledValue = (value - minValue) / (maxValue - minValue) * (totalHeightOfGraph)</w:t>
        <w:br w:type="textWrapping"/>
        <w:t xml:space="preserve">Again, using a nested for loop for two datasets, the bars were created. CSS was used with different `fill` properties to give them different colors.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line for mortality rates was drawn using &lt;polyline&gt; because it passes through multiple points. The same scaling function was used for the mortality rates, which is displayed in the right-side axis. Finally, the legends were created, using &lt;line&gt; and &lt;rect&gt;s with appropriate colors. The final graph is as follows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